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60"/>
        <w:spacing w:after="0"/>
        <w:rPr>
          <w:sz w:val="20"/>
          <w:szCs w:val="20"/>
          <w:color w:val="auto"/>
        </w:rPr>
      </w:pPr>
      <w:r>
        <w:rPr>
          <w:rFonts w:ascii="Arial" w:cs="Arial" w:eastAsia="Arial" w:hAnsi="Arial"/>
          <w:sz w:val="20"/>
          <w:szCs w:val="20"/>
          <w:b w:val="1"/>
          <w:bCs w:val="1"/>
          <w:color w:val="auto"/>
        </w:rPr>
        <w:t>UNITED STATES</w:t>
      </w:r>
    </w:p>
    <w:p>
      <w:pPr>
        <w:spacing w:after="0" w:line="33" w:lineRule="exact"/>
        <w:rPr>
          <w:sz w:val="24"/>
          <w:szCs w:val="24"/>
          <w:color w:val="auto"/>
        </w:rPr>
      </w:pPr>
    </w:p>
    <w:p>
      <w:pPr>
        <w:ind w:left="3520"/>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72" w:lineRule="exact"/>
        <w:rPr>
          <w:sz w:val="24"/>
          <w:szCs w:val="24"/>
          <w:color w:val="auto"/>
        </w:rPr>
      </w:pPr>
    </w:p>
    <w:p>
      <w:pPr>
        <w:ind w:left="920" w:hanging="590"/>
        <w:spacing w:after="0"/>
        <w:tabs>
          <w:tab w:leader="none" w:pos="92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QUARTERLY REPORT PURSUANT TO SECTION 13 OR 15(d) OF THE SECURITIES EXCHANGE ACT OF 1934</w:t>
      </w:r>
    </w:p>
    <w:p>
      <w:pPr>
        <w:spacing w:after="0" w:line="70" w:lineRule="exact"/>
        <w:rPr>
          <w:sz w:val="24"/>
          <w:szCs w:val="24"/>
          <w:color w:val="auto"/>
        </w:rPr>
      </w:pPr>
    </w:p>
    <w:p>
      <w:pPr>
        <w:spacing w:after="0"/>
        <w:rPr>
          <w:sz w:val="20"/>
          <w:szCs w:val="20"/>
          <w:color w:val="auto"/>
        </w:rPr>
      </w:pPr>
      <w:r>
        <w:rPr>
          <w:rFonts w:ascii="Arial" w:cs="Arial" w:eastAsia="Arial" w:hAnsi="Arial"/>
          <w:sz w:val="18"/>
          <w:szCs w:val="18"/>
          <w:color w:val="auto"/>
        </w:rPr>
        <w:t>For the quarterly period ended March 31, 2023</w:t>
      </w:r>
    </w:p>
    <w:p>
      <w:pPr>
        <w:spacing w:after="0" w:line="5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OR</w:t>
      </w:r>
    </w:p>
    <w:p>
      <w:pPr>
        <w:spacing w:after="0" w:line="63" w:lineRule="exact"/>
        <w:rPr>
          <w:sz w:val="24"/>
          <w:szCs w:val="24"/>
          <w:color w:val="auto"/>
        </w:rPr>
      </w:pPr>
    </w:p>
    <w:p>
      <w:pPr>
        <w:ind w:left="900" w:right="1180" w:hanging="591"/>
        <w:spacing w:after="0" w:line="279" w:lineRule="auto"/>
        <w:tabs>
          <w:tab w:leader="none" w:pos="900" w:val="left"/>
        </w:tabs>
        <w:numPr>
          <w:ilvl w:val="0"/>
          <w:numId w:val="2"/>
        </w:numPr>
        <w:rPr>
          <w:rFonts w:ascii="MS PGothic" w:cs="MS PGothic" w:eastAsia="MS PGothic" w:hAnsi="MS PGothic"/>
          <w:sz w:val="22"/>
          <w:szCs w:val="22"/>
          <w:color w:val="auto"/>
        </w:rPr>
      </w:pPr>
      <w:r>
        <w:rPr>
          <w:rFonts w:ascii="Arial" w:cs="Arial" w:eastAsia="Arial" w:hAnsi="Arial"/>
          <w:sz w:val="18"/>
          <w:szCs w:val="18"/>
          <w:color w:val="auto"/>
        </w:rPr>
        <w:t>TRANSITION REPORT PURSUANT TO SECTION 13 OR 15(d) OF THE SECURITIES EXCHANGE ACT OF 1934 For the transition period from ______________ to ________________</w:t>
      </w:r>
    </w:p>
    <w:p>
      <w:pPr>
        <w:spacing w:after="0" w:line="89"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0-14112</w:t>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JACK HENRY &amp; ASSOCIATES, INC.</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 w:lineRule="exact"/>
        <w:rPr>
          <w:sz w:val="24"/>
          <w:szCs w:val="24"/>
          <w:color w:val="auto"/>
        </w:rPr>
      </w:pPr>
    </w:p>
    <w:tbl>
      <w:tblPr>
        <w:tblLayout w:type="fixed"/>
        <w:tblInd w:w="1000" w:type="dxa"/>
        <w:tblCellMar>
          <w:top w:w="0" w:type="dxa"/>
          <w:left w:w="0" w:type="dxa"/>
          <w:bottom w:w="0" w:type="dxa"/>
          <w:right w:w="0" w:type="dxa"/>
        </w:tblCellMar>
      </w:tblPr>
      <w:tr>
        <w:trPr>
          <w:trHeight w:val="207"/>
        </w:trPr>
        <w:tc>
          <w:tcPr>
            <w:tcW w:w="1360" w:type="dxa"/>
            <w:vAlign w:val="bottom"/>
          </w:tcPr>
          <w:p>
            <w:pPr>
              <w:spacing w:after="0"/>
              <w:rPr>
                <w:sz w:val="17"/>
                <w:szCs w:val="17"/>
                <w:color w:val="auto"/>
              </w:rPr>
            </w:pPr>
          </w:p>
        </w:tc>
        <w:tc>
          <w:tcPr>
            <w:tcW w:w="3460" w:type="dxa"/>
            <w:vAlign w:val="bottom"/>
            <w:gridSpan w:val="2"/>
          </w:tcPr>
          <w:p>
            <w:pPr>
              <w:jc w:val="center"/>
              <w:ind w:right="2700"/>
              <w:spacing w:after="0"/>
              <w:rPr>
                <w:sz w:val="20"/>
                <w:szCs w:val="20"/>
                <w:color w:val="auto"/>
              </w:rPr>
            </w:pPr>
            <w:r>
              <w:rPr>
                <w:rFonts w:ascii="Arial" w:cs="Arial" w:eastAsia="Arial" w:hAnsi="Arial"/>
                <w:sz w:val="18"/>
                <w:szCs w:val="18"/>
                <w:color w:val="auto"/>
                <w:w w:val="99"/>
              </w:rPr>
              <w:t>Delaware</w:t>
            </w:r>
          </w:p>
        </w:tc>
        <w:tc>
          <w:tcPr>
            <w:tcW w:w="4020" w:type="dxa"/>
            <w:vAlign w:val="bottom"/>
            <w:gridSpan w:val="3"/>
          </w:tcPr>
          <w:p>
            <w:pPr>
              <w:jc w:val="right"/>
              <w:ind w:right="880"/>
              <w:spacing w:after="0"/>
              <w:rPr>
                <w:sz w:val="20"/>
                <w:szCs w:val="20"/>
                <w:color w:val="auto"/>
              </w:rPr>
            </w:pPr>
            <w:r>
              <w:rPr>
                <w:rFonts w:ascii="Arial" w:cs="Arial" w:eastAsia="Arial" w:hAnsi="Arial"/>
                <w:sz w:val="18"/>
                <w:szCs w:val="18"/>
                <w:color w:val="auto"/>
              </w:rPr>
              <w:t>43-1128385</w:t>
            </w:r>
          </w:p>
        </w:tc>
      </w:tr>
      <w:tr>
        <w:trPr>
          <w:trHeight w:val="20"/>
        </w:trPr>
        <w:tc>
          <w:tcPr>
            <w:tcW w:w="13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54"/>
        </w:trPr>
        <w:tc>
          <w:tcPr>
            <w:tcW w:w="4820" w:type="dxa"/>
            <w:vAlign w:val="bottom"/>
            <w:gridSpan w:val="3"/>
          </w:tcPr>
          <w:p>
            <w:pPr>
              <w:jc w:val="center"/>
              <w:ind w:right="1320"/>
              <w:spacing w:after="0"/>
              <w:rPr>
                <w:sz w:val="20"/>
                <w:szCs w:val="20"/>
                <w:color w:val="auto"/>
              </w:rPr>
            </w:pPr>
            <w:r>
              <w:rPr>
                <w:rFonts w:ascii="Arial" w:cs="Arial" w:eastAsia="Arial" w:hAnsi="Arial"/>
                <w:sz w:val="18"/>
                <w:szCs w:val="18"/>
                <w:color w:val="auto"/>
                <w:w w:val="99"/>
              </w:rPr>
              <w:t>(State or Other Jurisdiction of Incorporation)</w:t>
            </w:r>
          </w:p>
        </w:tc>
        <w:tc>
          <w:tcPr>
            <w:tcW w:w="4020" w:type="dxa"/>
            <w:vAlign w:val="bottom"/>
            <w:gridSpan w:val="3"/>
          </w:tcPr>
          <w:p>
            <w:pPr>
              <w:jc w:val="center"/>
              <w:ind w:left="1210"/>
              <w:spacing w:after="0"/>
              <w:rPr>
                <w:sz w:val="20"/>
                <w:szCs w:val="20"/>
                <w:color w:val="auto"/>
              </w:rPr>
            </w:pPr>
            <w:r>
              <w:rPr>
                <w:rFonts w:ascii="Arial" w:cs="Arial" w:eastAsia="Arial" w:hAnsi="Arial"/>
                <w:sz w:val="18"/>
                <w:szCs w:val="18"/>
                <w:color w:val="auto"/>
                <w:w w:val="99"/>
              </w:rPr>
              <w:t>(I.R.S Employer Identification No.)</w:t>
            </w:r>
          </w:p>
        </w:tc>
      </w:tr>
    </w:tbl>
    <w:p>
      <w:pPr>
        <w:spacing w:after="0" w:line="67" w:lineRule="exact"/>
        <w:rPr>
          <w:sz w:val="24"/>
          <w:szCs w:val="24"/>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663 Highway 60, P.O. Box 807, Monett, MO 65708</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(Zip Code)</w:t>
      </w:r>
    </w:p>
    <w:p>
      <w:pPr>
        <w:jc w:val="center"/>
        <w:spacing w:after="0"/>
        <w:rPr>
          <w:sz w:val="20"/>
          <w:szCs w:val="20"/>
          <w:color w:val="auto"/>
        </w:rPr>
      </w:pPr>
      <w:r>
        <w:rPr>
          <w:rFonts w:ascii="Arial" w:cs="Arial" w:eastAsia="Arial" w:hAnsi="Arial"/>
          <w:sz w:val="20"/>
          <w:szCs w:val="20"/>
          <w:b w:val="1"/>
          <w:bCs w:val="1"/>
          <w:u w:val="single" w:color="auto"/>
          <w:color w:val="auto"/>
        </w:rPr>
        <w:t>417-235-6652</w:t>
      </w:r>
    </w:p>
    <w:p>
      <w:pPr>
        <w:spacing w:after="0" w:line="19" w:lineRule="exact"/>
        <w:rPr>
          <w:sz w:val="24"/>
          <w:szCs w:val="24"/>
          <w:color w:val="auto"/>
        </w:rPr>
      </w:pPr>
    </w:p>
    <w:p>
      <w:pPr>
        <w:ind w:left="3720"/>
        <w:spacing w:after="0"/>
        <w:rPr>
          <w:sz w:val="20"/>
          <w:szCs w:val="20"/>
          <w:color w:val="auto"/>
        </w:rPr>
      </w:pPr>
      <w:r>
        <w:rPr>
          <w:rFonts w:ascii="Arial" w:cs="Arial" w:eastAsia="Arial" w:hAnsi="Arial"/>
          <w:sz w:val="16"/>
          <w:szCs w:val="16"/>
          <w:color w:val="auto"/>
        </w:rPr>
        <w:t>(Registrant’s telephone number, including area code)</w:t>
      </w: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7" w:lineRule="exact"/>
        <w:rPr>
          <w:sz w:val="24"/>
          <w:szCs w:val="24"/>
          <w:color w:val="auto"/>
        </w:rPr>
      </w:pPr>
    </w:p>
    <w:tbl>
      <w:tblPr>
        <w:tblLayout w:type="fixed"/>
        <w:tblInd w:w="920" w:type="dxa"/>
        <w:tblCellMar>
          <w:top w:w="0" w:type="dxa"/>
          <w:left w:w="0" w:type="dxa"/>
          <w:bottom w:w="0" w:type="dxa"/>
          <w:right w:w="0" w:type="dxa"/>
        </w:tblCellMar>
      </w:tblPr>
      <w:tr>
        <w:trPr>
          <w:trHeight w:val="207"/>
        </w:trPr>
        <w:tc>
          <w:tcPr>
            <w:tcW w:w="60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Title of each class</w:t>
            </w:r>
          </w:p>
        </w:tc>
        <w:tc>
          <w:tcPr>
            <w:tcW w:w="1180" w:type="dxa"/>
            <w:vAlign w:val="bottom"/>
          </w:tcPr>
          <w:p>
            <w:pPr>
              <w:spacing w:after="0"/>
              <w:rPr>
                <w:sz w:val="17"/>
                <w:szCs w:val="17"/>
                <w:color w:val="auto"/>
              </w:rPr>
            </w:pPr>
          </w:p>
        </w:tc>
        <w:tc>
          <w:tcPr>
            <w:tcW w:w="2800" w:type="dxa"/>
            <w:vAlign w:val="bottom"/>
            <w:gridSpan w:val="3"/>
          </w:tcPr>
          <w:p>
            <w:pPr>
              <w:jc w:val="center"/>
              <w:ind w:right="360"/>
              <w:spacing w:after="0"/>
              <w:rPr>
                <w:sz w:val="20"/>
                <w:szCs w:val="20"/>
                <w:color w:val="auto"/>
              </w:rPr>
            </w:pPr>
            <w:r>
              <w:rPr>
                <w:rFonts w:ascii="Arial" w:cs="Arial" w:eastAsia="Arial" w:hAnsi="Arial"/>
                <w:sz w:val="18"/>
                <w:szCs w:val="18"/>
                <w:color w:val="auto"/>
                <w:w w:val="98"/>
              </w:rPr>
              <w:t>Trading Symbol</w:t>
            </w:r>
          </w:p>
        </w:tc>
        <w:tc>
          <w:tcPr>
            <w:tcW w:w="3560" w:type="dxa"/>
            <w:vAlign w:val="bottom"/>
          </w:tcPr>
          <w:p>
            <w:pPr>
              <w:jc w:val="center"/>
              <w:spacing w:after="0"/>
              <w:rPr>
                <w:sz w:val="20"/>
                <w:szCs w:val="20"/>
                <w:color w:val="auto"/>
              </w:rPr>
            </w:pPr>
            <w:r>
              <w:rPr>
                <w:rFonts w:ascii="Arial" w:cs="Arial" w:eastAsia="Arial" w:hAnsi="Arial"/>
                <w:sz w:val="18"/>
                <w:szCs w:val="18"/>
                <w:color w:val="auto"/>
                <w:w w:val="99"/>
              </w:rPr>
              <w:t>Name of each exchange on which registered</w:t>
            </w:r>
          </w:p>
        </w:tc>
      </w:tr>
      <w:tr>
        <w:trPr>
          <w:trHeight w:val="20"/>
        </w:trPr>
        <w:tc>
          <w:tcPr>
            <w:tcW w:w="6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560" w:type="dxa"/>
            <w:vAlign w:val="bottom"/>
            <w:shd w:val="clear" w:color="auto" w:fill="000000"/>
          </w:tcPr>
          <w:p>
            <w:pPr>
              <w:spacing w:after="0" w:line="20" w:lineRule="exact"/>
              <w:rPr>
                <w:sz w:val="1"/>
                <w:szCs w:val="1"/>
                <w:color w:val="auto"/>
              </w:rPr>
            </w:pPr>
          </w:p>
        </w:tc>
      </w:tr>
      <w:tr>
        <w:trPr>
          <w:trHeight w:val="254"/>
        </w:trPr>
        <w:tc>
          <w:tcPr>
            <w:tcW w:w="3220" w:type="dxa"/>
            <w:vAlign w:val="bottom"/>
            <w:gridSpan w:val="3"/>
          </w:tcPr>
          <w:p>
            <w:pPr>
              <w:jc w:val="center"/>
              <w:ind w:right="580"/>
              <w:spacing w:after="0"/>
              <w:rPr>
                <w:sz w:val="20"/>
                <w:szCs w:val="20"/>
                <w:color w:val="auto"/>
              </w:rPr>
            </w:pPr>
            <w:r>
              <w:rPr>
                <w:rFonts w:ascii="Arial" w:cs="Arial" w:eastAsia="Arial" w:hAnsi="Arial"/>
                <w:sz w:val="18"/>
                <w:szCs w:val="18"/>
                <w:color w:val="auto"/>
                <w:w w:val="99"/>
              </w:rPr>
              <w:t>Common Stock ($0.01 par value)</w:t>
            </w:r>
          </w:p>
        </w:tc>
        <w:tc>
          <w:tcPr>
            <w:tcW w:w="600" w:type="dxa"/>
            <w:vAlign w:val="bottom"/>
          </w:tcPr>
          <w:p>
            <w:pPr>
              <w:spacing w:after="0"/>
              <w:rPr>
                <w:sz w:val="22"/>
                <w:szCs w:val="22"/>
                <w:color w:val="auto"/>
              </w:rPr>
            </w:pPr>
          </w:p>
        </w:tc>
        <w:tc>
          <w:tcPr>
            <w:tcW w:w="2200" w:type="dxa"/>
            <w:vAlign w:val="bottom"/>
            <w:gridSpan w:val="2"/>
          </w:tcPr>
          <w:p>
            <w:pPr>
              <w:jc w:val="center"/>
              <w:ind w:right="940"/>
              <w:spacing w:after="0"/>
              <w:rPr>
                <w:sz w:val="20"/>
                <w:szCs w:val="20"/>
                <w:color w:val="auto"/>
              </w:rPr>
            </w:pPr>
            <w:r>
              <w:rPr>
                <w:rFonts w:ascii="Arial" w:cs="Arial" w:eastAsia="Arial" w:hAnsi="Arial"/>
                <w:sz w:val="18"/>
                <w:szCs w:val="18"/>
                <w:color w:val="auto"/>
                <w:w w:val="99"/>
              </w:rPr>
              <w:t>JKHY</w:t>
            </w:r>
          </w:p>
        </w:tc>
        <w:tc>
          <w:tcPr>
            <w:tcW w:w="3560" w:type="dxa"/>
            <w:vAlign w:val="bottom"/>
          </w:tcPr>
          <w:p>
            <w:pPr>
              <w:jc w:val="center"/>
              <w:spacing w:after="0"/>
              <w:rPr>
                <w:sz w:val="20"/>
                <w:szCs w:val="20"/>
                <w:color w:val="auto"/>
              </w:rPr>
            </w:pPr>
            <w:r>
              <w:rPr>
                <w:rFonts w:ascii="Arial" w:cs="Arial" w:eastAsia="Arial" w:hAnsi="Arial"/>
                <w:sz w:val="18"/>
                <w:szCs w:val="18"/>
                <w:color w:val="auto"/>
                <w:w w:val="99"/>
              </w:rPr>
              <w:t>Nasdaq Global Select Market</w:t>
            </w:r>
          </w:p>
        </w:tc>
      </w:tr>
    </w:tbl>
    <w:p>
      <w:pPr>
        <w:spacing w:after="0" w:line="315" w:lineRule="exact"/>
        <w:rPr>
          <w:sz w:val="24"/>
          <w:szCs w:val="24"/>
          <w:color w:val="auto"/>
        </w:rPr>
      </w:pPr>
    </w:p>
    <w:p>
      <w:pPr>
        <w:jc w:val="both"/>
        <w:spacing w:after="0" w:line="260"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5" w:lineRule="exact"/>
        <w:rPr>
          <w:sz w:val="24"/>
          <w:szCs w:val="24"/>
          <w:color w:val="auto"/>
        </w:rPr>
      </w:pPr>
    </w:p>
    <w:p>
      <w:pPr>
        <w:jc w:val="both"/>
        <w:spacing w:after="0" w:line="265"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5" w:lineRule="exact"/>
        <w:rPr>
          <w:sz w:val="24"/>
          <w:szCs w:val="24"/>
          <w:color w:val="auto"/>
        </w:rPr>
      </w:pPr>
    </w:p>
    <w:p>
      <w:pPr>
        <w:jc w:val="both"/>
        <w:spacing w:after="0" w:line="260"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620" w:type="dxa"/>
            <w:vAlign w:val="bottom"/>
          </w:tcPr>
          <w:p>
            <w:pPr>
              <w:spacing w:after="0"/>
              <w:rPr>
                <w:sz w:val="20"/>
                <w:szCs w:val="20"/>
                <w:color w:val="auto"/>
              </w:rPr>
            </w:pPr>
            <w:r>
              <w:rPr>
                <w:rFonts w:ascii="Arial" w:cs="Arial" w:eastAsia="Arial" w:hAnsi="Arial"/>
                <w:sz w:val="18"/>
                <w:szCs w:val="18"/>
                <w:color w:val="auto"/>
              </w:rPr>
              <w:t>and</w:t>
            </w:r>
          </w:p>
        </w:tc>
        <w:tc>
          <w:tcPr>
            <w:tcW w:w="1660" w:type="dxa"/>
            <w:vAlign w:val="bottom"/>
          </w:tcPr>
          <w:p>
            <w:pPr>
              <w:ind w:left="320"/>
              <w:spacing w:after="0"/>
              <w:rPr>
                <w:sz w:val="20"/>
                <w:szCs w:val="20"/>
                <w:color w:val="auto"/>
              </w:rPr>
            </w:pPr>
            <w:r>
              <w:rPr>
                <w:rFonts w:ascii="Arial" w:cs="Arial" w:eastAsia="Arial" w:hAnsi="Arial"/>
                <w:sz w:val="18"/>
                <w:szCs w:val="18"/>
                <w:color w:val="auto"/>
              </w:rPr>
              <w:t>"emerging</w:t>
            </w:r>
          </w:p>
        </w:tc>
        <w:tc>
          <w:tcPr>
            <w:tcW w:w="960" w:type="dxa"/>
            <w:vAlign w:val="bottom"/>
          </w:tcPr>
          <w:p>
            <w:pPr>
              <w:ind w:left="100"/>
              <w:spacing w:after="0"/>
              <w:rPr>
                <w:sz w:val="20"/>
                <w:szCs w:val="20"/>
                <w:color w:val="auto"/>
              </w:rPr>
            </w:pPr>
            <w:r>
              <w:rPr>
                <w:rFonts w:ascii="Arial" w:cs="Arial" w:eastAsia="Arial" w:hAnsi="Arial"/>
                <w:sz w:val="18"/>
                <w:szCs w:val="18"/>
                <w:color w:val="auto"/>
              </w:rPr>
              <w:t>growth</w:t>
            </w:r>
          </w:p>
        </w:tc>
        <w:tc>
          <w:tcPr>
            <w:tcW w:w="1420" w:type="dxa"/>
            <w:vAlign w:val="bottom"/>
            <w:gridSpan w:val="2"/>
          </w:tcPr>
          <w:p>
            <w:pPr>
              <w:jc w:val="center"/>
              <w:spacing w:after="0"/>
              <w:rPr>
                <w:sz w:val="20"/>
                <w:szCs w:val="20"/>
                <w:color w:val="auto"/>
              </w:rPr>
            </w:pPr>
            <w:r>
              <w:rPr>
                <w:rFonts w:ascii="Arial" w:cs="Arial" w:eastAsia="Arial" w:hAnsi="Arial"/>
                <w:sz w:val="18"/>
                <w:szCs w:val="18"/>
                <w:color w:val="auto"/>
              </w:rPr>
              <w:t>company"</w:t>
            </w:r>
          </w:p>
        </w:tc>
        <w:tc>
          <w:tcPr>
            <w:tcW w:w="1020" w:type="dxa"/>
            <w:vAlign w:val="bottom"/>
          </w:tcPr>
          <w:p>
            <w:pPr>
              <w:ind w:left="320"/>
              <w:spacing w:after="0"/>
              <w:rPr>
                <w:sz w:val="20"/>
                <w:szCs w:val="20"/>
                <w:color w:val="auto"/>
              </w:rPr>
            </w:pPr>
            <w:r>
              <w:rPr>
                <w:rFonts w:ascii="Arial" w:cs="Arial" w:eastAsia="Arial" w:hAnsi="Arial"/>
                <w:sz w:val="18"/>
                <w:szCs w:val="18"/>
                <w:color w:val="auto"/>
              </w:rPr>
              <w:t>in</w:t>
            </w:r>
          </w:p>
        </w:tc>
        <w:tc>
          <w:tcPr>
            <w:tcW w:w="920" w:type="dxa"/>
            <w:vAlign w:val="bottom"/>
          </w:tcPr>
          <w:p>
            <w:pPr>
              <w:ind w:left="60"/>
              <w:spacing w:after="0"/>
              <w:rPr>
                <w:sz w:val="20"/>
                <w:szCs w:val="20"/>
                <w:color w:val="auto"/>
              </w:rPr>
            </w:pPr>
            <w:r>
              <w:rPr>
                <w:rFonts w:ascii="Arial" w:cs="Arial" w:eastAsia="Arial" w:hAnsi="Arial"/>
                <w:sz w:val="18"/>
                <w:szCs w:val="18"/>
                <w:color w:val="auto"/>
              </w:rPr>
              <w:t>Rule</w:t>
            </w:r>
          </w:p>
        </w:tc>
        <w:tc>
          <w:tcPr>
            <w:tcW w:w="920" w:type="dxa"/>
            <w:vAlign w:val="bottom"/>
          </w:tcPr>
          <w:p>
            <w:pPr>
              <w:ind w:left="140"/>
              <w:spacing w:after="0"/>
              <w:rPr>
                <w:sz w:val="20"/>
                <w:szCs w:val="20"/>
                <w:color w:val="auto"/>
              </w:rPr>
            </w:pPr>
            <w:r>
              <w:rPr>
                <w:rFonts w:ascii="Arial" w:cs="Arial" w:eastAsia="Arial" w:hAnsi="Arial"/>
                <w:sz w:val="18"/>
                <w:szCs w:val="18"/>
                <w:color w:val="auto"/>
              </w:rPr>
              <w:t>12b-2</w:t>
            </w:r>
          </w:p>
        </w:tc>
        <w:tc>
          <w:tcPr>
            <w:tcW w:w="780" w:type="dxa"/>
            <w:vAlign w:val="bottom"/>
          </w:tcPr>
          <w:p>
            <w:pPr>
              <w:ind w:left="320"/>
              <w:spacing w:after="0"/>
              <w:rPr>
                <w:sz w:val="20"/>
                <w:szCs w:val="20"/>
                <w:color w:val="auto"/>
              </w:rPr>
            </w:pPr>
            <w:r>
              <w:rPr>
                <w:rFonts w:ascii="Arial" w:cs="Arial" w:eastAsia="Arial" w:hAnsi="Arial"/>
                <w:sz w:val="18"/>
                <w:szCs w:val="18"/>
                <w:color w:val="auto"/>
              </w:rPr>
              <w:t>of</w:t>
            </w:r>
          </w:p>
        </w:tc>
        <w:tc>
          <w:tcPr>
            <w:tcW w:w="780" w:type="dxa"/>
            <w:vAlign w:val="bottom"/>
          </w:tcPr>
          <w:p>
            <w:pPr>
              <w:ind w:left="300"/>
              <w:spacing w:after="0"/>
              <w:rPr>
                <w:sz w:val="20"/>
                <w:szCs w:val="20"/>
                <w:color w:val="auto"/>
              </w:rPr>
            </w:pPr>
            <w:r>
              <w:rPr>
                <w:rFonts w:ascii="Arial" w:cs="Arial" w:eastAsia="Arial" w:hAnsi="Arial"/>
                <w:sz w:val="18"/>
                <w:szCs w:val="18"/>
                <w:color w:val="auto"/>
              </w:rPr>
              <w:t>the</w:t>
            </w:r>
          </w:p>
        </w:tc>
        <w:tc>
          <w:tcPr>
            <w:tcW w:w="1520" w:type="dxa"/>
            <w:vAlign w:val="bottom"/>
          </w:tcPr>
          <w:p>
            <w:pPr>
              <w:ind w:left="400"/>
              <w:spacing w:after="0"/>
              <w:rPr>
                <w:sz w:val="20"/>
                <w:szCs w:val="20"/>
                <w:color w:val="auto"/>
              </w:rPr>
            </w:pPr>
            <w:r>
              <w:rPr>
                <w:rFonts w:ascii="Arial" w:cs="Arial" w:eastAsia="Arial" w:hAnsi="Arial"/>
                <w:sz w:val="18"/>
                <w:szCs w:val="18"/>
                <w:color w:val="auto"/>
              </w:rPr>
              <w:t>Exchange</w:t>
            </w:r>
          </w:p>
        </w:tc>
        <w:tc>
          <w:tcPr>
            <w:tcW w:w="620" w:type="dxa"/>
            <w:vAlign w:val="bottom"/>
          </w:tcPr>
          <w:p>
            <w:pPr>
              <w:ind w:left="320"/>
              <w:spacing w:after="0"/>
              <w:rPr>
                <w:sz w:val="20"/>
                <w:szCs w:val="20"/>
                <w:color w:val="auto"/>
              </w:rPr>
            </w:pPr>
            <w:r>
              <w:rPr>
                <w:rFonts w:ascii="Arial" w:cs="Arial" w:eastAsia="Arial" w:hAnsi="Arial"/>
                <w:sz w:val="18"/>
                <w:szCs w:val="18"/>
                <w:color w:val="auto"/>
                <w:w w:val="90"/>
              </w:rPr>
              <w:t>Act.</w:t>
            </w:r>
          </w:p>
        </w:tc>
      </w:tr>
      <w:tr>
        <w:trPr>
          <w:trHeight w:val="283"/>
        </w:trPr>
        <w:tc>
          <w:tcPr>
            <w:tcW w:w="2280" w:type="dxa"/>
            <w:vAlign w:val="bottom"/>
            <w:gridSpan w:val="2"/>
          </w:tcPr>
          <w:p>
            <w:pPr>
              <w:ind w:left="20"/>
              <w:spacing w:after="0"/>
              <w:rPr>
                <w:sz w:val="20"/>
                <w:szCs w:val="20"/>
                <w:color w:val="auto"/>
              </w:rPr>
            </w:pPr>
            <w:r>
              <w:rPr>
                <w:rFonts w:ascii="Arial" w:cs="Arial" w:eastAsia="Arial" w:hAnsi="Arial"/>
                <w:sz w:val="18"/>
                <w:szCs w:val="18"/>
                <w:color w:val="auto"/>
              </w:rPr>
              <w:t>Large accelerated filer</w:t>
            </w:r>
          </w:p>
        </w:tc>
        <w:tc>
          <w:tcPr>
            <w:tcW w:w="960" w:type="dxa"/>
            <w:vAlign w:val="bottom"/>
          </w:tcPr>
          <w:p>
            <w:pPr>
              <w:spacing w:after="0"/>
              <w:rPr>
                <w:sz w:val="24"/>
                <w:szCs w:val="24"/>
                <w:color w:val="auto"/>
              </w:rPr>
            </w:pPr>
          </w:p>
        </w:tc>
        <w:tc>
          <w:tcPr>
            <w:tcW w:w="940" w:type="dxa"/>
            <w:vAlign w:val="bottom"/>
          </w:tcPr>
          <w:p>
            <w:pPr>
              <w:jc w:val="center"/>
              <w:ind w:left="410"/>
              <w:spacing w:after="0" w:line="181" w:lineRule="exact"/>
              <w:rPr>
                <w:sz w:val="20"/>
                <w:szCs w:val="20"/>
                <w:color w:val="auto"/>
              </w:rPr>
            </w:pPr>
            <w:r>
              <w:rPr>
                <w:rFonts w:ascii="MS PGothic" w:cs="MS PGothic" w:eastAsia="MS PGothic" w:hAnsi="MS PGothic"/>
                <w:sz w:val="18"/>
                <w:szCs w:val="18"/>
                <w:color w:val="auto"/>
                <w:w w:val="88"/>
              </w:rPr>
              <w:t>☒</w:t>
            </w:r>
          </w:p>
        </w:tc>
        <w:tc>
          <w:tcPr>
            <w:tcW w:w="1500" w:type="dxa"/>
            <w:vAlign w:val="bottom"/>
            <w:gridSpan w:val="2"/>
          </w:tcPr>
          <w:p>
            <w:pPr>
              <w:ind w:left="140"/>
              <w:spacing w:after="0"/>
              <w:rPr>
                <w:sz w:val="20"/>
                <w:szCs w:val="20"/>
                <w:color w:val="auto"/>
              </w:rPr>
            </w:pPr>
            <w:r>
              <w:rPr>
                <w:rFonts w:ascii="Arial" w:cs="Arial" w:eastAsia="Arial" w:hAnsi="Arial"/>
                <w:sz w:val="18"/>
                <w:szCs w:val="18"/>
                <w:color w:val="auto"/>
              </w:rPr>
              <w:t>Accelerated filer</w:t>
            </w: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2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620" w:type="dxa"/>
            <w:vAlign w:val="bottom"/>
          </w:tcPr>
          <w:p>
            <w:pPr>
              <w:spacing w:after="0"/>
              <w:rPr>
                <w:sz w:val="24"/>
                <w:szCs w:val="24"/>
                <w:color w:val="auto"/>
              </w:rPr>
            </w:pPr>
          </w:p>
        </w:tc>
      </w:tr>
      <w:tr>
        <w:trPr>
          <w:trHeight w:val="459"/>
        </w:trPr>
        <w:tc>
          <w:tcPr>
            <w:tcW w:w="2280" w:type="dxa"/>
            <w:vAlign w:val="bottom"/>
            <w:gridSpan w:val="2"/>
          </w:tcPr>
          <w:p>
            <w:pPr>
              <w:ind w:left="20"/>
              <w:spacing w:after="0"/>
              <w:rPr>
                <w:sz w:val="20"/>
                <w:szCs w:val="20"/>
                <w:color w:val="auto"/>
              </w:rPr>
            </w:pPr>
            <w:r>
              <w:rPr>
                <w:rFonts w:ascii="Arial" w:cs="Arial" w:eastAsia="Arial" w:hAnsi="Arial"/>
                <w:sz w:val="18"/>
                <w:szCs w:val="18"/>
                <w:color w:val="auto"/>
              </w:rPr>
              <w:t>Non-accelerated filer</w:t>
            </w:r>
          </w:p>
        </w:tc>
        <w:tc>
          <w:tcPr>
            <w:tcW w:w="960" w:type="dxa"/>
            <w:vAlign w:val="bottom"/>
          </w:tcPr>
          <w:p>
            <w:pPr>
              <w:spacing w:after="0"/>
              <w:rPr>
                <w:sz w:val="24"/>
                <w:szCs w:val="24"/>
                <w:color w:val="auto"/>
              </w:rPr>
            </w:pPr>
          </w:p>
        </w:tc>
        <w:tc>
          <w:tcPr>
            <w:tcW w:w="940" w:type="dxa"/>
            <w:vAlign w:val="bottom"/>
          </w:tcPr>
          <w:p>
            <w:pPr>
              <w:jc w:val="center"/>
              <w:ind w:left="410"/>
              <w:spacing w:after="0" w:line="181" w:lineRule="exact"/>
              <w:rPr>
                <w:sz w:val="20"/>
                <w:szCs w:val="20"/>
                <w:color w:val="auto"/>
              </w:rPr>
            </w:pPr>
            <w:r>
              <w:rPr>
                <w:rFonts w:ascii="MS PGothic" w:cs="MS PGothic" w:eastAsia="MS PGothic" w:hAnsi="MS PGothic"/>
                <w:sz w:val="18"/>
                <w:szCs w:val="18"/>
                <w:color w:val="auto"/>
                <w:w w:val="88"/>
              </w:rPr>
              <w:t>☐</w:t>
            </w:r>
          </w:p>
        </w:tc>
        <w:tc>
          <w:tcPr>
            <w:tcW w:w="2420" w:type="dxa"/>
            <w:vAlign w:val="bottom"/>
            <w:gridSpan w:val="3"/>
          </w:tcPr>
          <w:p>
            <w:pPr>
              <w:ind w:left="140"/>
              <w:spacing w:after="0"/>
              <w:rPr>
                <w:sz w:val="20"/>
                <w:szCs w:val="20"/>
                <w:color w:val="auto"/>
              </w:rPr>
            </w:pPr>
            <w:r>
              <w:rPr>
                <w:rFonts w:ascii="Arial" w:cs="Arial" w:eastAsia="Arial" w:hAnsi="Arial"/>
                <w:sz w:val="18"/>
                <w:szCs w:val="18"/>
                <w:color w:val="auto"/>
              </w:rPr>
              <w:t>Smaller reporting company</w:t>
            </w: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2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620" w:type="dxa"/>
            <w:vAlign w:val="bottom"/>
          </w:tcPr>
          <w:p>
            <w:pPr>
              <w:spacing w:after="0"/>
              <w:rPr>
                <w:sz w:val="24"/>
                <w:szCs w:val="24"/>
                <w:color w:val="auto"/>
              </w:rPr>
            </w:pPr>
          </w:p>
        </w:tc>
      </w:tr>
      <w:tr>
        <w:trPr>
          <w:trHeight w:val="324"/>
        </w:trPr>
        <w:tc>
          <w:tcPr>
            <w:tcW w:w="2280" w:type="dxa"/>
            <w:vAlign w:val="bottom"/>
            <w:gridSpan w:val="2"/>
          </w:tcPr>
          <w:p>
            <w:pPr>
              <w:ind w:left="20"/>
              <w:spacing w:after="0"/>
              <w:rPr>
                <w:sz w:val="20"/>
                <w:szCs w:val="20"/>
                <w:color w:val="auto"/>
              </w:rPr>
            </w:pPr>
            <w:r>
              <w:rPr>
                <w:rFonts w:ascii="Arial" w:cs="Arial" w:eastAsia="Arial" w:hAnsi="Arial"/>
                <w:sz w:val="18"/>
                <w:szCs w:val="18"/>
                <w:color w:val="auto"/>
              </w:rPr>
              <w:t>Emerging growth company</w:t>
            </w:r>
          </w:p>
        </w:tc>
        <w:tc>
          <w:tcPr>
            <w:tcW w:w="960" w:type="dxa"/>
            <w:vAlign w:val="bottom"/>
          </w:tcPr>
          <w:p>
            <w:pPr>
              <w:spacing w:after="0"/>
              <w:rPr>
                <w:sz w:val="24"/>
                <w:szCs w:val="24"/>
                <w:color w:val="auto"/>
              </w:rPr>
            </w:pPr>
          </w:p>
        </w:tc>
        <w:tc>
          <w:tcPr>
            <w:tcW w:w="940" w:type="dxa"/>
            <w:vAlign w:val="bottom"/>
          </w:tcPr>
          <w:p>
            <w:pPr>
              <w:jc w:val="center"/>
              <w:ind w:left="410"/>
              <w:spacing w:after="0" w:line="181" w:lineRule="exact"/>
              <w:rPr>
                <w:sz w:val="20"/>
                <w:szCs w:val="20"/>
                <w:color w:val="auto"/>
              </w:rPr>
            </w:pPr>
            <w:r>
              <w:rPr>
                <w:rFonts w:ascii="MS PGothic" w:cs="MS PGothic" w:eastAsia="MS PGothic" w:hAnsi="MS PGothic"/>
                <w:sz w:val="18"/>
                <w:szCs w:val="18"/>
                <w:color w:val="auto"/>
                <w:w w:val="88"/>
              </w:rPr>
              <w:t>☐</w:t>
            </w: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164" w:lineRule="exact"/>
        <w:rPr>
          <w:sz w:val="24"/>
          <w:szCs w:val="24"/>
          <w:color w:val="auto"/>
        </w:rPr>
      </w:pPr>
    </w:p>
    <w:p>
      <w:pPr>
        <w:jc w:val="both"/>
        <w:spacing w:after="0" w:line="235"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99" w:lineRule="exact"/>
        <w:rPr>
          <w:sz w:val="24"/>
          <w:szCs w:val="24"/>
          <w:color w:val="auto"/>
        </w:rPr>
      </w:pPr>
    </w:p>
    <w:p>
      <w:pPr>
        <w:spacing w:after="0"/>
        <w:rPr>
          <w:sz w:val="20"/>
          <w:szCs w:val="20"/>
          <w:color w:val="auto"/>
        </w:rPr>
      </w:pPr>
      <w:r>
        <w:rPr>
          <w:rFonts w:ascii="Arial" w:cs="Arial" w:eastAsia="Arial" w:hAnsi="Arial"/>
          <w:sz w:val="18"/>
          <w:szCs w:val="18"/>
          <w:color w:val="auto"/>
        </w:rPr>
        <w:t>As of April 24, 2023, the Registrant had 72,875,305 shares of Common Stock outstanding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561975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3"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235"/>
        </w:trPr>
        <w:tc>
          <w:tcPr>
            <w:tcW w:w="940" w:type="dxa"/>
            <w:vAlign w:val="bottom"/>
          </w:tcPr>
          <w:p>
            <w:pPr>
              <w:spacing w:after="0"/>
              <w:rPr>
                <w:sz w:val="20"/>
                <w:szCs w:val="20"/>
                <w:color w:val="auto"/>
              </w:rPr>
            </w:pPr>
          </w:p>
        </w:tc>
        <w:tc>
          <w:tcPr>
            <w:tcW w:w="8380" w:type="dxa"/>
            <w:vAlign w:val="bottom"/>
          </w:tcPr>
          <w:p>
            <w:pPr>
              <w:spacing w:after="0"/>
              <w:rPr>
                <w:sz w:val="20"/>
                <w:szCs w:val="20"/>
                <w:color w:val="auto"/>
              </w:rPr>
            </w:pPr>
          </w:p>
        </w:tc>
        <w:tc>
          <w:tcPr>
            <w:tcW w:w="1860" w:type="dxa"/>
            <w:vAlign w:val="bottom"/>
            <w:tcBorders>
              <w:bottom w:val="single" w:sz="8" w:color="auto"/>
            </w:tcBorders>
            <w:gridSpan w:val="4"/>
          </w:tcPr>
          <w:p>
            <w:pPr>
              <w:ind w:left="540"/>
              <w:spacing w:after="0"/>
              <w:rPr>
                <w:sz w:val="20"/>
                <w:szCs w:val="20"/>
                <w:color w:val="auto"/>
              </w:rPr>
            </w:pPr>
            <w:r>
              <w:rPr>
                <w:rFonts w:ascii="Arial" w:cs="Arial" w:eastAsia="Arial" w:hAnsi="Arial"/>
                <w:sz w:val="18"/>
                <w:szCs w:val="18"/>
                <w:color w:val="auto"/>
                <w:w w:val="99"/>
              </w:rPr>
              <w:t>Page Reference</w:t>
            </w:r>
          </w:p>
        </w:tc>
        <w:tc>
          <w:tcPr>
            <w:tcW w:w="0" w:type="dxa"/>
            <w:vAlign w:val="bottom"/>
          </w:tcPr>
          <w:p>
            <w:pPr>
              <w:spacing w:after="0"/>
              <w:rPr>
                <w:sz w:val="1"/>
                <w:szCs w:val="1"/>
                <w:color w:val="auto"/>
              </w:rPr>
            </w:pPr>
          </w:p>
        </w:tc>
      </w:tr>
      <w:tr>
        <w:trPr>
          <w:trHeight w:val="370"/>
        </w:trPr>
        <w:tc>
          <w:tcPr>
            <w:tcW w:w="94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8380" w:type="dxa"/>
            <w:vAlign w:val="bottom"/>
          </w:tcPr>
          <w:p>
            <w:pPr>
              <w:ind w:left="320"/>
              <w:spacing w:after="0"/>
              <w:rPr>
                <w:sz w:val="20"/>
                <w:szCs w:val="20"/>
                <w:color w:val="auto"/>
              </w:rPr>
            </w:pPr>
            <w:r>
              <w:rPr>
                <w:rFonts w:ascii="Arial" w:cs="Arial" w:eastAsia="Arial" w:hAnsi="Arial"/>
                <w:sz w:val="18"/>
                <w:szCs w:val="18"/>
                <w:color w:val="0000FF"/>
              </w:rPr>
              <w:t>FINANCIAL INFORMATION</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940" w:type="dxa"/>
            <w:vAlign w:val="bottom"/>
          </w:tcPr>
          <w:p>
            <w:pPr>
              <w:spacing w:after="0"/>
              <w:rPr>
                <w:sz w:val="20"/>
                <w:szCs w:val="20"/>
                <w:color w:val="auto"/>
              </w:rPr>
            </w:pPr>
            <w:r>
              <w:rPr>
                <w:rFonts w:ascii="Arial" w:cs="Arial" w:eastAsia="Arial" w:hAnsi="Arial"/>
                <w:sz w:val="18"/>
                <w:szCs w:val="18"/>
                <w:color w:val="auto"/>
              </w:rPr>
              <w:t>ITEM 1.</w:t>
            </w:r>
          </w:p>
        </w:tc>
        <w:tc>
          <w:tcPr>
            <w:tcW w:w="8380" w:type="dxa"/>
            <w:vAlign w:val="bottom"/>
          </w:tcPr>
          <w:p>
            <w:pPr>
              <w:ind w:left="320"/>
              <w:spacing w:after="0"/>
              <w:rPr>
                <w:sz w:val="20"/>
                <w:szCs w:val="20"/>
                <w:color w:val="auto"/>
              </w:rPr>
            </w:pPr>
            <w:r>
              <w:rPr>
                <w:rFonts w:ascii="Arial" w:cs="Arial" w:eastAsia="Arial" w:hAnsi="Arial"/>
                <w:sz w:val="18"/>
                <w:szCs w:val="18"/>
                <w:color w:val="0000FF"/>
              </w:rPr>
              <w:t>Condensed Consolidated Balance Sheets as of March 31, 2023, and June 30, 2022 (Unaudited)</w:t>
            </w:r>
          </w:p>
        </w:tc>
        <w:tc>
          <w:tcPr>
            <w:tcW w:w="174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940" w:type="dxa"/>
            <w:vAlign w:val="bottom"/>
          </w:tcPr>
          <w:p>
            <w:pPr>
              <w:spacing w:after="0"/>
              <w:rPr>
                <w:sz w:val="24"/>
                <w:szCs w:val="24"/>
                <w:color w:val="auto"/>
              </w:rPr>
            </w:pPr>
          </w:p>
        </w:tc>
        <w:tc>
          <w:tcPr>
            <w:tcW w:w="8380" w:type="dxa"/>
            <w:vAlign w:val="bottom"/>
          </w:tcPr>
          <w:p>
            <w:pPr>
              <w:ind w:left="320"/>
              <w:spacing w:after="0"/>
              <w:rPr>
                <w:sz w:val="20"/>
                <w:szCs w:val="20"/>
                <w:color w:val="auto"/>
              </w:rPr>
            </w:pPr>
            <w:r>
              <w:rPr>
                <w:rFonts w:ascii="Arial" w:cs="Arial" w:eastAsia="Arial" w:hAnsi="Arial"/>
                <w:sz w:val="18"/>
                <w:szCs w:val="18"/>
                <w:color w:val="0000FF"/>
              </w:rPr>
              <w:t>Condensed Consolidated Statements of Income for the Three and Nine Months Ended March 31,</w:t>
            </w:r>
          </w:p>
        </w:tc>
        <w:tc>
          <w:tcPr>
            <w:tcW w:w="1740" w:type="dxa"/>
            <w:vAlign w:val="bottom"/>
            <w:gridSpan w:val="2"/>
            <w:vMerge w:val="restart"/>
          </w:tcPr>
          <w:p>
            <w:pPr>
              <w:spacing w:after="0"/>
              <w:rPr>
                <w:sz w:val="24"/>
                <w:szCs w:val="24"/>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0000FF"/>
                <w:w w:val="79"/>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940" w:type="dxa"/>
            <w:vAlign w:val="bottom"/>
          </w:tcPr>
          <w:p>
            <w:pPr>
              <w:spacing w:after="0"/>
              <w:rPr>
                <w:sz w:val="17"/>
                <w:szCs w:val="17"/>
                <w:color w:val="auto"/>
              </w:rPr>
            </w:pPr>
          </w:p>
        </w:tc>
        <w:tc>
          <w:tcPr>
            <w:tcW w:w="8380" w:type="dxa"/>
            <w:vAlign w:val="bottom"/>
          </w:tcPr>
          <w:p>
            <w:pPr>
              <w:ind w:left="320"/>
              <w:spacing w:after="0" w:line="202" w:lineRule="exact"/>
              <w:rPr>
                <w:sz w:val="20"/>
                <w:szCs w:val="20"/>
                <w:color w:val="auto"/>
              </w:rPr>
            </w:pPr>
            <w:r>
              <w:rPr>
                <w:rFonts w:ascii="Arial" w:cs="Arial" w:eastAsia="Arial" w:hAnsi="Arial"/>
                <w:sz w:val="18"/>
                <w:szCs w:val="18"/>
                <w:color w:val="0000FF"/>
              </w:rPr>
              <w:t>2023 and 2022 (Unaudited)</w:t>
            </w:r>
          </w:p>
        </w:tc>
        <w:tc>
          <w:tcPr>
            <w:tcW w:w="1740" w:type="dxa"/>
            <w:vAlign w:val="bottom"/>
            <w:gridSpan w:val="2"/>
            <w:vMerge w:val="continue"/>
          </w:tcPr>
          <w:p>
            <w:pPr>
              <w:spacing w:after="0"/>
              <w:rPr>
                <w:sz w:val="17"/>
                <w:szCs w:val="17"/>
                <w:color w:val="auto"/>
              </w:rPr>
            </w:pPr>
          </w:p>
        </w:tc>
        <w:tc>
          <w:tcPr>
            <w:tcW w:w="100" w:type="dxa"/>
            <w:vAlign w:val="bottom"/>
            <w:tcBorders>
              <w:bottom w:val="single" w:sz="8" w:color="0000FF"/>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940" w:type="dxa"/>
            <w:vAlign w:val="bottom"/>
          </w:tcPr>
          <w:p>
            <w:pPr>
              <w:spacing w:after="0"/>
              <w:rPr>
                <w:sz w:val="24"/>
                <w:szCs w:val="24"/>
                <w:color w:val="auto"/>
              </w:rPr>
            </w:pPr>
          </w:p>
        </w:tc>
        <w:tc>
          <w:tcPr>
            <w:tcW w:w="8380" w:type="dxa"/>
            <w:vAlign w:val="bottom"/>
          </w:tcPr>
          <w:p>
            <w:pPr>
              <w:ind w:left="320"/>
              <w:spacing w:after="0"/>
              <w:rPr>
                <w:sz w:val="20"/>
                <w:szCs w:val="20"/>
                <w:color w:val="auto"/>
              </w:rPr>
            </w:pPr>
            <w:r>
              <w:rPr>
                <w:rFonts w:ascii="Arial" w:cs="Arial" w:eastAsia="Arial" w:hAnsi="Arial"/>
                <w:sz w:val="18"/>
                <w:szCs w:val="18"/>
                <w:color w:val="0000FF"/>
              </w:rPr>
              <w:t>Condensed Consolidated Statements of Changes in Stockholders' Equity for the Three and Nine</w:t>
            </w:r>
          </w:p>
        </w:tc>
        <w:tc>
          <w:tcPr>
            <w:tcW w:w="1740" w:type="dxa"/>
            <w:vAlign w:val="bottom"/>
            <w:gridSpan w:val="2"/>
            <w:vMerge w:val="restart"/>
          </w:tcPr>
          <w:p>
            <w:pPr>
              <w:spacing w:after="0"/>
              <w:rPr>
                <w:sz w:val="24"/>
                <w:szCs w:val="24"/>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0000FF"/>
                <w:w w:val="79"/>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940" w:type="dxa"/>
            <w:vAlign w:val="bottom"/>
          </w:tcPr>
          <w:p>
            <w:pPr>
              <w:spacing w:after="0"/>
              <w:rPr>
                <w:sz w:val="17"/>
                <w:szCs w:val="17"/>
                <w:color w:val="auto"/>
              </w:rPr>
            </w:pPr>
          </w:p>
        </w:tc>
        <w:tc>
          <w:tcPr>
            <w:tcW w:w="8380" w:type="dxa"/>
            <w:vAlign w:val="bottom"/>
          </w:tcPr>
          <w:p>
            <w:pPr>
              <w:ind w:left="320"/>
              <w:spacing w:after="0" w:line="202" w:lineRule="exact"/>
              <w:rPr>
                <w:sz w:val="20"/>
                <w:szCs w:val="20"/>
                <w:color w:val="auto"/>
              </w:rPr>
            </w:pPr>
            <w:r>
              <w:rPr>
                <w:rFonts w:ascii="Arial" w:cs="Arial" w:eastAsia="Arial" w:hAnsi="Arial"/>
                <w:sz w:val="18"/>
                <w:szCs w:val="18"/>
                <w:color w:val="0000FF"/>
              </w:rPr>
              <w:t>Months Ended March 31, 2023 and 2022 (Unaudited)</w:t>
            </w:r>
          </w:p>
        </w:tc>
        <w:tc>
          <w:tcPr>
            <w:tcW w:w="1740" w:type="dxa"/>
            <w:vAlign w:val="bottom"/>
            <w:gridSpan w:val="2"/>
            <w:vMerge w:val="continue"/>
          </w:tcPr>
          <w:p>
            <w:pPr>
              <w:spacing w:after="0"/>
              <w:rPr>
                <w:sz w:val="17"/>
                <w:szCs w:val="17"/>
                <w:color w:val="auto"/>
              </w:rPr>
            </w:pPr>
          </w:p>
        </w:tc>
        <w:tc>
          <w:tcPr>
            <w:tcW w:w="100" w:type="dxa"/>
            <w:vAlign w:val="bottom"/>
            <w:tcBorders>
              <w:bottom w:val="single" w:sz="8" w:color="0000FF"/>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940" w:type="dxa"/>
            <w:vAlign w:val="bottom"/>
          </w:tcPr>
          <w:p>
            <w:pPr>
              <w:spacing w:after="0"/>
              <w:rPr>
                <w:sz w:val="24"/>
                <w:szCs w:val="24"/>
                <w:color w:val="auto"/>
              </w:rPr>
            </w:pPr>
          </w:p>
        </w:tc>
        <w:tc>
          <w:tcPr>
            <w:tcW w:w="8380" w:type="dxa"/>
            <w:vAlign w:val="bottom"/>
          </w:tcPr>
          <w:p>
            <w:pPr>
              <w:ind w:left="320"/>
              <w:spacing w:after="0"/>
              <w:rPr>
                <w:sz w:val="20"/>
                <w:szCs w:val="20"/>
                <w:color w:val="auto"/>
              </w:rPr>
            </w:pPr>
            <w:r>
              <w:rPr>
                <w:rFonts w:ascii="Arial" w:cs="Arial" w:eastAsia="Arial" w:hAnsi="Arial"/>
                <w:sz w:val="18"/>
                <w:szCs w:val="18"/>
                <w:color w:val="0000FF"/>
              </w:rPr>
              <w:t>Condensed Consolidated Statements of Cash Flows for the Nine Months Ended March 31, 2023 and</w:t>
            </w:r>
          </w:p>
        </w:tc>
        <w:tc>
          <w:tcPr>
            <w:tcW w:w="1740" w:type="dxa"/>
            <w:vAlign w:val="bottom"/>
            <w:gridSpan w:val="2"/>
            <w:vMerge w:val="restart"/>
          </w:tcPr>
          <w:p>
            <w:pPr>
              <w:spacing w:after="0"/>
              <w:rPr>
                <w:sz w:val="24"/>
                <w:szCs w:val="24"/>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0000FF"/>
                <w:w w:val="79"/>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940" w:type="dxa"/>
            <w:vAlign w:val="bottom"/>
          </w:tcPr>
          <w:p>
            <w:pPr>
              <w:spacing w:after="0"/>
              <w:rPr>
                <w:sz w:val="17"/>
                <w:szCs w:val="17"/>
                <w:color w:val="auto"/>
              </w:rPr>
            </w:pPr>
          </w:p>
        </w:tc>
        <w:tc>
          <w:tcPr>
            <w:tcW w:w="8380" w:type="dxa"/>
            <w:vAlign w:val="bottom"/>
          </w:tcPr>
          <w:p>
            <w:pPr>
              <w:ind w:left="320"/>
              <w:spacing w:after="0" w:line="202" w:lineRule="exact"/>
              <w:rPr>
                <w:sz w:val="20"/>
                <w:szCs w:val="20"/>
                <w:color w:val="auto"/>
              </w:rPr>
            </w:pPr>
            <w:r>
              <w:rPr>
                <w:rFonts w:ascii="Arial" w:cs="Arial" w:eastAsia="Arial" w:hAnsi="Arial"/>
                <w:sz w:val="18"/>
                <w:szCs w:val="18"/>
                <w:color w:val="0000FF"/>
              </w:rPr>
              <w:t>2022 (Unaudited)</w:t>
            </w:r>
          </w:p>
        </w:tc>
        <w:tc>
          <w:tcPr>
            <w:tcW w:w="1740" w:type="dxa"/>
            <w:vAlign w:val="bottom"/>
            <w:gridSpan w:val="2"/>
            <w:vMerge w:val="continue"/>
          </w:tcPr>
          <w:p>
            <w:pPr>
              <w:spacing w:after="0"/>
              <w:rPr>
                <w:sz w:val="17"/>
                <w:szCs w:val="17"/>
                <w:color w:val="auto"/>
              </w:rPr>
            </w:pPr>
          </w:p>
        </w:tc>
        <w:tc>
          <w:tcPr>
            <w:tcW w:w="100" w:type="dxa"/>
            <w:vAlign w:val="bottom"/>
            <w:tcBorders>
              <w:bottom w:val="single" w:sz="8" w:color="0000FF"/>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940" w:type="dxa"/>
            <w:vAlign w:val="bottom"/>
          </w:tcPr>
          <w:p>
            <w:pPr>
              <w:spacing w:after="0"/>
              <w:rPr>
                <w:sz w:val="24"/>
                <w:szCs w:val="24"/>
                <w:color w:val="auto"/>
              </w:rPr>
            </w:pPr>
          </w:p>
        </w:tc>
        <w:tc>
          <w:tcPr>
            <w:tcW w:w="8380" w:type="dxa"/>
            <w:vAlign w:val="bottom"/>
          </w:tcPr>
          <w:p>
            <w:pPr>
              <w:ind w:left="320"/>
              <w:spacing w:after="0"/>
              <w:rPr>
                <w:sz w:val="20"/>
                <w:szCs w:val="20"/>
                <w:color w:val="auto"/>
              </w:rPr>
            </w:pPr>
            <w:r>
              <w:rPr>
                <w:rFonts w:ascii="Arial" w:cs="Arial" w:eastAsia="Arial" w:hAnsi="Arial"/>
                <w:sz w:val="18"/>
                <w:szCs w:val="18"/>
                <w:color w:val="0000FF"/>
              </w:rPr>
              <w:t>Notes to Condensed Consolidated Financial Statements (Unaudited)</w:t>
            </w:r>
          </w:p>
        </w:tc>
        <w:tc>
          <w:tcPr>
            <w:tcW w:w="174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940" w:type="dxa"/>
            <w:vAlign w:val="bottom"/>
          </w:tcPr>
          <w:p>
            <w:pPr>
              <w:spacing w:after="0"/>
              <w:rPr>
                <w:sz w:val="20"/>
                <w:szCs w:val="20"/>
                <w:color w:val="auto"/>
              </w:rPr>
            </w:pPr>
            <w:r>
              <w:rPr>
                <w:rFonts w:ascii="Arial" w:cs="Arial" w:eastAsia="Arial" w:hAnsi="Arial"/>
                <w:sz w:val="18"/>
                <w:szCs w:val="18"/>
                <w:color w:val="auto"/>
              </w:rPr>
              <w:t>ITEM 2.</w:t>
            </w:r>
          </w:p>
        </w:tc>
        <w:tc>
          <w:tcPr>
            <w:tcW w:w="8380" w:type="dxa"/>
            <w:vAlign w:val="bottom"/>
          </w:tcPr>
          <w:p>
            <w:pPr>
              <w:ind w:left="320"/>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940" w:type="dxa"/>
            <w:vAlign w:val="bottom"/>
          </w:tcPr>
          <w:p>
            <w:pPr>
              <w:spacing w:after="0"/>
              <w:rPr>
                <w:sz w:val="20"/>
                <w:szCs w:val="20"/>
                <w:color w:val="auto"/>
              </w:rPr>
            </w:pPr>
            <w:r>
              <w:rPr>
                <w:rFonts w:ascii="Arial" w:cs="Arial" w:eastAsia="Arial" w:hAnsi="Arial"/>
                <w:sz w:val="18"/>
                <w:szCs w:val="18"/>
                <w:color w:val="auto"/>
              </w:rPr>
              <w:t>ITEM 3.</w:t>
            </w:r>
          </w:p>
        </w:tc>
        <w:tc>
          <w:tcPr>
            <w:tcW w:w="8380" w:type="dxa"/>
            <w:vAlign w:val="bottom"/>
          </w:tcPr>
          <w:p>
            <w:pPr>
              <w:ind w:left="320"/>
              <w:spacing w:after="0"/>
              <w:rPr>
                <w:sz w:val="20"/>
                <w:szCs w:val="20"/>
                <w:color w:val="auto"/>
              </w:rPr>
            </w:pPr>
            <w:r>
              <w:rPr>
                <w:rFonts w:ascii="Arial" w:cs="Arial" w:eastAsia="Arial" w:hAnsi="Arial"/>
                <w:sz w:val="18"/>
                <w:szCs w:val="18"/>
                <w:color w:val="0000FF"/>
              </w:rPr>
              <w:t>Quantitative and Qualitative Disclosures about Market Risk</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940" w:type="dxa"/>
            <w:vAlign w:val="bottom"/>
          </w:tcPr>
          <w:p>
            <w:pPr>
              <w:spacing w:after="0"/>
              <w:rPr>
                <w:sz w:val="20"/>
                <w:szCs w:val="20"/>
                <w:color w:val="auto"/>
              </w:rPr>
            </w:pPr>
            <w:r>
              <w:rPr>
                <w:rFonts w:ascii="Arial" w:cs="Arial" w:eastAsia="Arial" w:hAnsi="Arial"/>
                <w:sz w:val="18"/>
                <w:szCs w:val="18"/>
                <w:color w:val="auto"/>
              </w:rPr>
              <w:t>ITEM 4.</w:t>
            </w:r>
          </w:p>
        </w:tc>
        <w:tc>
          <w:tcPr>
            <w:tcW w:w="8380" w:type="dxa"/>
            <w:vAlign w:val="bottom"/>
          </w:tcPr>
          <w:p>
            <w:pPr>
              <w:ind w:left="320"/>
              <w:spacing w:after="0"/>
              <w:rPr>
                <w:sz w:val="20"/>
                <w:szCs w:val="20"/>
                <w:color w:val="auto"/>
              </w:rPr>
            </w:pPr>
            <w:r>
              <w:rPr>
                <w:rFonts w:ascii="Arial" w:cs="Arial" w:eastAsia="Arial" w:hAnsi="Arial"/>
                <w:sz w:val="18"/>
                <w:szCs w:val="18"/>
                <w:color w:val="0000FF"/>
              </w:rPr>
              <w:t>Controls and Procedures</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9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8380" w:type="dxa"/>
            <w:vAlign w:val="bottom"/>
          </w:tcPr>
          <w:p>
            <w:pPr>
              <w:ind w:left="320"/>
              <w:spacing w:after="0"/>
              <w:rPr>
                <w:sz w:val="20"/>
                <w:szCs w:val="20"/>
                <w:color w:val="auto"/>
              </w:rPr>
            </w:pPr>
            <w:r>
              <w:rPr>
                <w:rFonts w:ascii="Arial" w:cs="Arial" w:eastAsia="Arial" w:hAnsi="Arial"/>
                <w:sz w:val="18"/>
                <w:szCs w:val="18"/>
                <w:color w:val="0000FF"/>
              </w:rPr>
              <w:t>OTHER INFORMATION</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ITEM 1.</w:t>
            </w:r>
          </w:p>
        </w:tc>
        <w:tc>
          <w:tcPr>
            <w:tcW w:w="8380" w:type="dxa"/>
            <w:vAlign w:val="bottom"/>
          </w:tcPr>
          <w:p>
            <w:pPr>
              <w:ind w:left="320"/>
              <w:spacing w:after="0"/>
              <w:rPr>
                <w:sz w:val="20"/>
                <w:szCs w:val="20"/>
                <w:color w:val="auto"/>
              </w:rPr>
            </w:pPr>
            <w:r>
              <w:rPr>
                <w:rFonts w:ascii="Arial" w:cs="Arial" w:eastAsia="Arial" w:hAnsi="Arial"/>
                <w:sz w:val="18"/>
                <w:szCs w:val="18"/>
                <w:color w:val="0000FF"/>
              </w:rPr>
              <w:t>Legal Proceedings</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ITEM 2.</w:t>
            </w:r>
          </w:p>
        </w:tc>
        <w:tc>
          <w:tcPr>
            <w:tcW w:w="8380" w:type="dxa"/>
            <w:vAlign w:val="bottom"/>
          </w:tcPr>
          <w:p>
            <w:pPr>
              <w:ind w:left="320"/>
              <w:spacing w:after="0"/>
              <w:rPr>
                <w:sz w:val="20"/>
                <w:szCs w:val="20"/>
                <w:color w:val="auto"/>
              </w:rPr>
            </w:pPr>
            <w:r>
              <w:rPr>
                <w:rFonts w:ascii="Arial" w:cs="Arial" w:eastAsia="Arial" w:hAnsi="Arial"/>
                <w:sz w:val="18"/>
                <w:szCs w:val="18"/>
                <w:color w:val="0000FF"/>
              </w:rPr>
              <w:t>Unregistered Sales of Equity Securities and Use of Proceeds</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940" w:type="dxa"/>
            <w:vAlign w:val="bottom"/>
          </w:tcPr>
          <w:p>
            <w:pPr>
              <w:spacing w:after="0"/>
              <w:rPr>
                <w:sz w:val="20"/>
                <w:szCs w:val="20"/>
                <w:color w:val="auto"/>
              </w:rPr>
            </w:pPr>
            <w:r>
              <w:rPr>
                <w:rFonts w:ascii="Arial" w:cs="Arial" w:eastAsia="Arial" w:hAnsi="Arial"/>
                <w:sz w:val="18"/>
                <w:szCs w:val="18"/>
                <w:color w:val="auto"/>
              </w:rPr>
              <w:t>ITEM 6.</w:t>
            </w:r>
          </w:p>
        </w:tc>
        <w:tc>
          <w:tcPr>
            <w:tcW w:w="8380" w:type="dxa"/>
            <w:vAlign w:val="bottom"/>
          </w:tcPr>
          <w:p>
            <w:pPr>
              <w:ind w:left="320"/>
              <w:spacing w:after="0"/>
              <w:rPr>
                <w:sz w:val="20"/>
                <w:szCs w:val="20"/>
                <w:color w:val="auto"/>
              </w:rPr>
            </w:pPr>
            <w:r>
              <w:rPr>
                <w:rFonts w:ascii="Arial" w:cs="Arial" w:eastAsia="Arial" w:hAnsi="Arial"/>
                <w:sz w:val="18"/>
                <w:szCs w:val="18"/>
                <w:color w:val="0000FF"/>
              </w:rPr>
              <w:t>Exhibits</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40" w:type="dxa"/>
            <w:vAlign w:val="bottom"/>
          </w:tcPr>
          <w:p>
            <w:pPr>
              <w:spacing w:after="0"/>
              <w:rPr>
                <w:sz w:val="24"/>
                <w:szCs w:val="24"/>
                <w:color w:val="auto"/>
              </w:rPr>
            </w:pPr>
          </w:p>
        </w:tc>
        <w:tc>
          <w:tcPr>
            <w:tcW w:w="8380" w:type="dxa"/>
            <w:vAlign w:val="bottom"/>
          </w:tcPr>
          <w:p>
            <w:pPr>
              <w:ind w:left="320"/>
              <w:spacing w:after="0"/>
              <w:rPr>
                <w:sz w:val="20"/>
                <w:szCs w:val="20"/>
                <w:color w:val="auto"/>
              </w:rPr>
            </w:pPr>
            <w:r>
              <w:rPr>
                <w:rFonts w:ascii="Arial" w:cs="Arial" w:eastAsia="Arial" w:hAnsi="Arial"/>
                <w:sz w:val="18"/>
                <w:szCs w:val="18"/>
                <w:color w:val="0000FF"/>
              </w:rPr>
              <w:t>Signatures</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In this report, all references to "Jack Henry," “JKHY,” the “Company,” “we,” “us,” and “our,” refer to Jack Henry &amp; Associates, Inc., and its wholly owned subsidiaries.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Certain statements in this report,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and Section 21E of the Securities Exchange Act of 1934 (the "Exchange Act"). Forward-looking statements may appear throughout this report, including without limitation, in Management's Discussion and Analysis of Financial Condition and Results of Operations. Forward-looking statements generally are identified by the words “believe,” “project,” “expect,” “seek,” “anticipate,” “estimate,” “future,” “intend,” “plan,” “strategy,” “predict,” “likely,” “should,” “will,” “would,” “could,” “can,” “may,” and similar expressions. Forward-looking statements are based only on management’s current beliefs, expectations and assumptions regarding the future of the Company, future plans and strategies, projections, anticipated events and trends, the economy and other future conditions. Because forward-looking statements relate to the future, they are subject to inherent risks and uncertainties that could cause actual results to differ materially from those expressed or implied by such statements. Such risks and uncertainties include, but are not limited to, those discussed in this Quarterly Report on Form 10-Q, those discussed in our Annual Report on Form 10-K for the fiscal year ended June 30, 2022, in particular, those included in Item 1A, “Risk Factors” of such report, and those discussed in other documents we file with the Securities and Exchange Commission (“SEC”). Any forward-looking statement made in this report speaks only as of the date of this report, and the Company expressly disclaims any obligation to publicly update or revise any forward-looking statement, whether because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I.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06" w:right="1440" w:bottom="1440" w:gutter="0" w:footer="0" w:header="0"/>
        </w:sectPr>
      </w:pPr>
    </w:p>
    <w:bookmarkStart w:id="3" w:name="page4"/>
    <w:bookmarkEnd w:id="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gridSpan w:val="2"/>
          </w:tcPr>
          <w:p>
            <w:pPr>
              <w:jc w:val="center"/>
              <w:ind w:left="3050"/>
              <w:spacing w:after="0"/>
              <w:rPr>
                <w:sz w:val="20"/>
                <w:szCs w:val="20"/>
                <w:color w:val="auto"/>
              </w:rPr>
            </w:pPr>
            <w:r>
              <w:rPr>
                <w:rFonts w:ascii="Arial" w:cs="Arial" w:eastAsia="Arial" w:hAnsi="Arial"/>
                <w:sz w:val="18"/>
                <w:szCs w:val="18"/>
                <w:b w:val="1"/>
                <w:bCs w:val="1"/>
                <w:color w:val="auto"/>
                <w:w w:val="99"/>
              </w:rPr>
              <w:t>JACK HENRY &amp; ASSOCIATES, INC. AND SUBSIDIARIES</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580" w:type="dxa"/>
            <w:vAlign w:val="bottom"/>
            <w:gridSpan w:val="4"/>
          </w:tcPr>
          <w:p>
            <w:pPr>
              <w:jc w:val="center"/>
              <w:ind w:left="1590"/>
              <w:spacing w:after="0"/>
              <w:rPr>
                <w:sz w:val="20"/>
                <w:szCs w:val="20"/>
                <w:color w:val="auto"/>
              </w:rPr>
            </w:pPr>
            <w:r>
              <w:rPr>
                <w:rFonts w:ascii="Arial" w:cs="Arial" w:eastAsia="Arial" w:hAnsi="Arial"/>
                <w:sz w:val="18"/>
                <w:szCs w:val="18"/>
                <w:b w:val="1"/>
                <w:bCs w:val="1"/>
                <w:color w:val="auto"/>
                <w:w w:val="99"/>
              </w:rPr>
              <w:t>CONDENSED CONSOLIDATED BALANCE SHEETS (Unaudited)</w:t>
            </w: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820" w:type="dxa"/>
            <w:vAlign w:val="bottom"/>
          </w:tcPr>
          <w:p>
            <w:pPr>
              <w:jc w:val="center"/>
              <w:ind w:left="3330"/>
              <w:spacing w:after="0"/>
              <w:rPr>
                <w:sz w:val="20"/>
                <w:szCs w:val="20"/>
                <w:color w:val="auto"/>
              </w:rPr>
            </w:pPr>
            <w:r>
              <w:rPr>
                <w:rFonts w:ascii="Arial" w:cs="Arial" w:eastAsia="Arial" w:hAnsi="Arial"/>
                <w:sz w:val="18"/>
                <w:szCs w:val="18"/>
                <w:color w:val="auto"/>
              </w:rPr>
              <w:t>(In Thousands, Except Share and Per Share Data)</w:t>
            </w:r>
          </w:p>
        </w:tc>
        <w:tc>
          <w:tcPr>
            <w:tcW w:w="300" w:type="dxa"/>
            <w:vAlign w:val="bottom"/>
          </w:tcPr>
          <w:p>
            <w:pPr>
              <w:spacing w:after="0"/>
              <w:rPr>
                <w:sz w:val="20"/>
                <w:szCs w:val="20"/>
                <w:color w:val="auto"/>
              </w:rPr>
            </w:pPr>
          </w:p>
        </w:tc>
        <w:tc>
          <w:tcPr>
            <w:tcW w:w="146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March 31,</w:t>
            </w:r>
          </w:p>
        </w:tc>
        <w:tc>
          <w:tcPr>
            <w:tcW w:w="300" w:type="dxa"/>
            <w:vAlign w:val="bottom"/>
          </w:tcPr>
          <w:p>
            <w:pPr>
              <w:spacing w:after="0"/>
              <w:rPr>
                <w:sz w:val="20"/>
                <w:szCs w:val="20"/>
                <w:color w:val="auto"/>
              </w:rPr>
            </w:pPr>
          </w:p>
        </w:tc>
        <w:tc>
          <w:tcPr>
            <w:tcW w:w="1360" w:type="dxa"/>
            <w:vAlign w:val="bottom"/>
            <w:vMerge w:val="restart"/>
          </w:tcPr>
          <w:p>
            <w:pPr>
              <w:jc w:val="right"/>
              <w:ind w:right="390"/>
              <w:spacing w:after="0"/>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172"/>
        </w:trPr>
        <w:tc>
          <w:tcPr>
            <w:tcW w:w="7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78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75"/>
        </w:trPr>
        <w:tc>
          <w:tcPr>
            <w:tcW w:w="78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26,552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48,787</w:t>
            </w:r>
          </w:p>
        </w:tc>
        <w:tc>
          <w:tcPr>
            <w:tcW w:w="0" w:type="dxa"/>
            <w:vAlign w:val="bottom"/>
          </w:tcPr>
          <w:p>
            <w:pPr>
              <w:spacing w:after="0"/>
              <w:rPr>
                <w:sz w:val="1"/>
                <w:szCs w:val="1"/>
                <w:color w:val="auto"/>
              </w:rPr>
            </w:pPr>
          </w:p>
        </w:tc>
      </w:tr>
      <w:tr>
        <w:trPr>
          <w:trHeight w:val="229"/>
        </w:trPr>
        <w:tc>
          <w:tcPr>
            <w:tcW w:w="7820" w:type="dxa"/>
            <w:vAlign w:val="bottom"/>
          </w:tcPr>
          <w:p>
            <w:pPr>
              <w:ind w:left="140"/>
              <w:spacing w:after="0"/>
              <w:rPr>
                <w:sz w:val="20"/>
                <w:szCs w:val="20"/>
                <w:color w:val="auto"/>
              </w:rPr>
            </w:pPr>
            <w:r>
              <w:rPr>
                <w:rFonts w:ascii="Arial" w:cs="Arial" w:eastAsia="Arial" w:hAnsi="Arial"/>
                <w:sz w:val="18"/>
                <w:szCs w:val="18"/>
                <w:color w:val="auto"/>
              </w:rPr>
              <w:t>Receivables, net</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238,364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348,072</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receivable</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13,822</w:t>
            </w:r>
          </w:p>
        </w:tc>
        <w:tc>
          <w:tcPr>
            <w:tcW w:w="0" w:type="dxa"/>
            <w:vAlign w:val="bottom"/>
          </w:tcPr>
          <w:p>
            <w:pPr>
              <w:spacing w:after="0"/>
              <w:rPr>
                <w:sz w:val="1"/>
                <w:szCs w:val="1"/>
                <w:color w:val="auto"/>
              </w:rPr>
            </w:pPr>
          </w:p>
        </w:tc>
      </w:tr>
      <w:tr>
        <w:trPr>
          <w:trHeight w:val="229"/>
        </w:trPr>
        <w:tc>
          <w:tcPr>
            <w:tcW w:w="7820" w:type="dxa"/>
            <w:vAlign w:val="bottom"/>
          </w:tcPr>
          <w:p>
            <w:pPr>
              <w:ind w:left="140"/>
              <w:spacing w:after="0"/>
              <w:rPr>
                <w:sz w:val="20"/>
                <w:szCs w:val="20"/>
                <w:color w:val="auto"/>
              </w:rPr>
            </w:pPr>
            <w:r>
              <w:rPr>
                <w:rFonts w:ascii="Arial" w:cs="Arial" w:eastAsia="Arial" w:hAnsi="Arial"/>
                <w:sz w:val="18"/>
                <w:szCs w:val="18"/>
                <w:color w:val="auto"/>
              </w:rPr>
              <w:t>Prepaid expenses and other</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153,492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125,537</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costs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67,904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57,105</w:t>
            </w:r>
          </w:p>
        </w:tc>
        <w:tc>
          <w:tcPr>
            <w:tcW w:w="0" w:type="dxa"/>
            <w:vAlign w:val="bottom"/>
          </w:tcPr>
          <w:p>
            <w:pPr>
              <w:spacing w:after="0"/>
              <w:rPr>
                <w:sz w:val="1"/>
                <w:szCs w:val="1"/>
                <w:color w:val="auto"/>
              </w:rPr>
            </w:pPr>
          </w:p>
        </w:tc>
      </w:tr>
      <w:tr>
        <w:trPr>
          <w:trHeight w:val="230"/>
        </w:trPr>
        <w:tc>
          <w:tcPr>
            <w:tcW w:w="7820" w:type="dxa"/>
            <w:vAlign w:val="bottom"/>
          </w:tcPr>
          <w:p>
            <w:pPr>
              <w:ind w:left="140"/>
              <w:spacing w:after="0"/>
              <w:rPr>
                <w:sz w:val="20"/>
                <w:szCs w:val="20"/>
                <w:color w:val="auto"/>
              </w:rPr>
            </w:pPr>
            <w:r>
              <w:rPr>
                <w:rFonts w:ascii="Arial" w:cs="Arial" w:eastAsia="Arial" w:hAnsi="Arial"/>
                <w:sz w:val="18"/>
                <w:szCs w:val="18"/>
                <w:color w:val="auto"/>
              </w:rPr>
              <w:t>Assets held for sale</w:t>
            </w:r>
          </w:p>
        </w:tc>
        <w:tc>
          <w:tcPr>
            <w:tcW w:w="3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20,201</w:t>
            </w:r>
          </w:p>
        </w:tc>
        <w:tc>
          <w:tcPr>
            <w:tcW w:w="0" w:type="dxa"/>
            <w:vAlign w:val="bottom"/>
          </w:tcPr>
          <w:p>
            <w:pPr>
              <w:spacing w:after="0"/>
              <w:rPr>
                <w:sz w:val="1"/>
                <w:szCs w:val="1"/>
                <w:color w:val="auto"/>
              </w:rPr>
            </w:pPr>
          </w:p>
        </w:tc>
      </w:tr>
      <w:tr>
        <w:trPr>
          <w:trHeight w:val="223"/>
        </w:trPr>
        <w:tc>
          <w:tcPr>
            <w:tcW w:w="7820" w:type="dxa"/>
            <w:vAlign w:val="bottom"/>
            <w:tcBorders>
              <w:top w:val="single" w:sz="8" w:color="CCEEFF"/>
            </w:tcBorders>
            <w:shd w:val="clear" w:color="auto" w:fill="CCEEFF"/>
          </w:tcPr>
          <w:p>
            <w:pPr>
              <w:ind w:left="560"/>
              <w:spacing w:after="0"/>
              <w:rPr>
                <w:sz w:val="20"/>
                <w:szCs w:val="20"/>
                <w:color w:val="auto"/>
              </w:rPr>
            </w:pPr>
            <w:r>
              <w:rPr>
                <w:rFonts w:ascii="Arial" w:cs="Arial" w:eastAsia="Arial" w:hAnsi="Arial"/>
                <w:sz w:val="18"/>
                <w:szCs w:val="18"/>
                <w:b w:val="1"/>
                <w:bCs w:val="1"/>
                <w:color w:val="auto"/>
              </w:rPr>
              <w:t>Total current assets</w:t>
            </w:r>
          </w:p>
        </w:tc>
        <w:tc>
          <w:tcPr>
            <w:tcW w:w="30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488,194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613,524</w:t>
            </w:r>
          </w:p>
        </w:tc>
        <w:tc>
          <w:tcPr>
            <w:tcW w:w="0" w:type="dxa"/>
            <w:vAlign w:val="bottom"/>
          </w:tcPr>
          <w:p>
            <w:pPr>
              <w:spacing w:after="0"/>
              <w:rPr>
                <w:sz w:val="1"/>
                <w:szCs w:val="1"/>
                <w:color w:val="auto"/>
              </w:rPr>
            </w:pP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PROPERTY AND EQUIPMENT, net</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199,787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211,709</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ASSETS: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140"/>
              <w:spacing w:after="0"/>
              <w:rPr>
                <w:sz w:val="20"/>
                <w:szCs w:val="20"/>
                <w:color w:val="auto"/>
              </w:rPr>
            </w:pPr>
            <w:r>
              <w:rPr>
                <w:rFonts w:ascii="Arial" w:cs="Arial" w:eastAsia="Arial" w:hAnsi="Arial"/>
                <w:sz w:val="18"/>
                <w:szCs w:val="18"/>
                <w:color w:val="auto"/>
              </w:rPr>
              <w:t>Non-current deferred costs</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156,245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143,750</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Computer software, net of amortization</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556,596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410,957</w:t>
            </w:r>
          </w:p>
        </w:tc>
        <w:tc>
          <w:tcPr>
            <w:tcW w:w="0" w:type="dxa"/>
            <w:vAlign w:val="bottom"/>
          </w:tcPr>
          <w:p>
            <w:pPr>
              <w:spacing w:after="0"/>
              <w:rPr>
                <w:sz w:val="1"/>
                <w:szCs w:val="1"/>
                <w:color w:val="auto"/>
              </w:rPr>
            </w:pPr>
          </w:p>
        </w:tc>
      </w:tr>
      <w:tr>
        <w:trPr>
          <w:trHeight w:val="229"/>
        </w:trPr>
        <w:tc>
          <w:tcPr>
            <w:tcW w:w="7820" w:type="dxa"/>
            <w:vAlign w:val="bottom"/>
          </w:tcPr>
          <w:p>
            <w:pPr>
              <w:ind w:left="140"/>
              <w:spacing w:after="0"/>
              <w:rPr>
                <w:sz w:val="20"/>
                <w:szCs w:val="20"/>
                <w:color w:val="auto"/>
              </w:rPr>
            </w:pPr>
            <w:r>
              <w:rPr>
                <w:rFonts w:ascii="Arial" w:cs="Arial" w:eastAsia="Arial" w:hAnsi="Arial"/>
                <w:sz w:val="18"/>
                <w:szCs w:val="18"/>
                <w:color w:val="auto"/>
              </w:rPr>
              <w:t>Other non-current assets</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312,458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293,526</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Customer relationships, net of amortization</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67,854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69,503</w:t>
            </w:r>
          </w:p>
        </w:tc>
        <w:tc>
          <w:tcPr>
            <w:tcW w:w="0" w:type="dxa"/>
            <w:vAlign w:val="bottom"/>
          </w:tcPr>
          <w:p>
            <w:pPr>
              <w:spacing w:after="0"/>
              <w:rPr>
                <w:sz w:val="1"/>
                <w:szCs w:val="1"/>
                <w:color w:val="auto"/>
              </w:rPr>
            </w:pPr>
          </w:p>
        </w:tc>
      </w:tr>
      <w:tr>
        <w:trPr>
          <w:trHeight w:val="229"/>
        </w:trPr>
        <w:tc>
          <w:tcPr>
            <w:tcW w:w="7820" w:type="dxa"/>
            <w:vAlign w:val="bottom"/>
          </w:tcPr>
          <w:p>
            <w:pPr>
              <w:ind w:left="140"/>
              <w:spacing w:after="0"/>
              <w:rPr>
                <w:sz w:val="20"/>
                <w:szCs w:val="20"/>
                <w:color w:val="auto"/>
              </w:rPr>
            </w:pPr>
            <w:r>
              <w:rPr>
                <w:rFonts w:ascii="Arial" w:cs="Arial" w:eastAsia="Arial" w:hAnsi="Arial"/>
                <w:sz w:val="18"/>
                <w:szCs w:val="18"/>
                <w:color w:val="auto"/>
              </w:rPr>
              <w:t>Other intangible assets, net of amortization</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21,666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25,137</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Goodwill</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804,797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687,458</w:t>
            </w:r>
          </w:p>
        </w:tc>
        <w:tc>
          <w:tcPr>
            <w:tcW w:w="0" w:type="dxa"/>
            <w:vAlign w:val="bottom"/>
          </w:tcPr>
          <w:p>
            <w:pPr>
              <w:spacing w:after="0"/>
              <w:rPr>
                <w:sz w:val="1"/>
                <w:szCs w:val="1"/>
                <w:color w:val="auto"/>
              </w:rPr>
            </w:pPr>
          </w:p>
        </w:tc>
      </w:tr>
      <w:tr>
        <w:trPr>
          <w:trHeight w:val="223"/>
        </w:trPr>
        <w:tc>
          <w:tcPr>
            <w:tcW w:w="7820" w:type="dxa"/>
            <w:vAlign w:val="bottom"/>
            <w:tcBorders>
              <w:bottom w:val="single" w:sz="8" w:color="CCEEFF"/>
            </w:tcBorders>
          </w:tcPr>
          <w:p>
            <w:pPr>
              <w:ind w:left="560"/>
              <w:spacing w:after="0"/>
              <w:rPr>
                <w:sz w:val="20"/>
                <w:szCs w:val="20"/>
                <w:color w:val="auto"/>
              </w:rPr>
            </w:pPr>
            <w:r>
              <w:rPr>
                <w:rFonts w:ascii="Arial" w:cs="Arial" w:eastAsia="Arial" w:hAnsi="Arial"/>
                <w:sz w:val="18"/>
                <w:szCs w:val="18"/>
                <w:b w:val="1"/>
                <w:bCs w:val="1"/>
                <w:color w:val="auto"/>
              </w:rPr>
              <w:t>Total other assets</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1,919,616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1,630,331</w:t>
            </w:r>
          </w:p>
        </w:tc>
        <w:tc>
          <w:tcPr>
            <w:tcW w:w="0" w:type="dxa"/>
            <w:vAlign w:val="bottom"/>
          </w:tcPr>
          <w:p>
            <w:pPr>
              <w:spacing w:after="0"/>
              <w:rPr>
                <w:sz w:val="1"/>
                <w:szCs w:val="1"/>
                <w:color w:val="auto"/>
              </w:rPr>
            </w:pPr>
          </w:p>
        </w:tc>
      </w:tr>
      <w:tr>
        <w:trPr>
          <w:trHeight w:val="248"/>
        </w:trPr>
        <w:tc>
          <w:tcPr>
            <w:tcW w:w="78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2,607,597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2,455,564</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3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13,789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21,034</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expenses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150,005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192,042</w:t>
            </w:r>
          </w:p>
        </w:tc>
        <w:tc>
          <w:tcPr>
            <w:tcW w:w="0" w:type="dxa"/>
            <w:vAlign w:val="bottom"/>
          </w:tcPr>
          <w:p>
            <w:pPr>
              <w:spacing w:after="0"/>
              <w:rPr>
                <w:sz w:val="1"/>
                <w:szCs w:val="1"/>
                <w:color w:val="auto"/>
              </w:rPr>
            </w:pPr>
          </w:p>
        </w:tc>
      </w:tr>
      <w:tr>
        <w:trPr>
          <w:trHeight w:val="230"/>
        </w:trPr>
        <w:tc>
          <w:tcPr>
            <w:tcW w:w="7820" w:type="dxa"/>
            <w:vAlign w:val="bottom"/>
          </w:tcPr>
          <w:p>
            <w:pPr>
              <w:ind w:left="140"/>
              <w:spacing w:after="0"/>
              <w:rPr>
                <w:sz w:val="20"/>
                <w:szCs w:val="20"/>
                <w:color w:val="auto"/>
              </w:rPr>
            </w:pPr>
            <w:r>
              <w:rPr>
                <w:rFonts w:ascii="Arial" w:cs="Arial" w:eastAsia="Arial" w:hAnsi="Arial"/>
                <w:sz w:val="18"/>
                <w:szCs w:val="18"/>
                <w:color w:val="auto"/>
              </w:rPr>
              <w:t>Notes payable and current maturities of long-term debt</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revenues</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156,761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330,687</w:t>
            </w:r>
          </w:p>
        </w:tc>
        <w:tc>
          <w:tcPr>
            <w:tcW w:w="0" w:type="dxa"/>
            <w:vAlign w:val="bottom"/>
          </w:tcPr>
          <w:p>
            <w:pPr>
              <w:spacing w:after="0"/>
              <w:rPr>
                <w:sz w:val="1"/>
                <w:szCs w:val="1"/>
                <w:color w:val="auto"/>
              </w:rPr>
            </w:pPr>
          </w:p>
        </w:tc>
      </w:tr>
      <w:tr>
        <w:trPr>
          <w:trHeight w:val="223"/>
        </w:trPr>
        <w:tc>
          <w:tcPr>
            <w:tcW w:w="7820" w:type="dxa"/>
            <w:vAlign w:val="bottom"/>
          </w:tcPr>
          <w:p>
            <w:pPr>
              <w:ind w:left="560"/>
              <w:spacing w:after="0"/>
              <w:rPr>
                <w:sz w:val="20"/>
                <w:szCs w:val="20"/>
                <w:color w:val="auto"/>
              </w:rPr>
            </w:pPr>
            <w:r>
              <w:rPr>
                <w:rFonts w:ascii="Arial" w:cs="Arial" w:eastAsia="Arial" w:hAnsi="Arial"/>
                <w:sz w:val="18"/>
                <w:szCs w:val="18"/>
                <w:b w:val="1"/>
                <w:bCs w:val="1"/>
                <w:color w:val="auto"/>
              </w:rPr>
              <w:t>Total current liabilities</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320,556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543,830</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LONG-TERM LIABILITIES: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140"/>
              <w:spacing w:after="0"/>
              <w:rPr>
                <w:sz w:val="20"/>
                <w:szCs w:val="20"/>
                <w:color w:val="auto"/>
              </w:rPr>
            </w:pPr>
            <w:r>
              <w:rPr>
                <w:rFonts w:ascii="Arial" w:cs="Arial" w:eastAsia="Arial" w:hAnsi="Arial"/>
                <w:sz w:val="18"/>
                <w:szCs w:val="18"/>
                <w:color w:val="auto"/>
              </w:rPr>
              <w:t>Non-current deferred revenues</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69,385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71,485</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income tax liability</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256,260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292,630</w:t>
            </w:r>
          </w:p>
        </w:tc>
        <w:tc>
          <w:tcPr>
            <w:tcW w:w="0" w:type="dxa"/>
            <w:vAlign w:val="bottom"/>
          </w:tcPr>
          <w:p>
            <w:pPr>
              <w:spacing w:after="0"/>
              <w:rPr>
                <w:sz w:val="1"/>
                <w:szCs w:val="1"/>
                <w:color w:val="auto"/>
              </w:rPr>
            </w:pPr>
          </w:p>
        </w:tc>
      </w:tr>
      <w:tr>
        <w:trPr>
          <w:trHeight w:val="230"/>
        </w:trPr>
        <w:tc>
          <w:tcPr>
            <w:tcW w:w="7820" w:type="dxa"/>
            <w:vAlign w:val="bottom"/>
          </w:tcPr>
          <w:p>
            <w:pPr>
              <w:ind w:left="140"/>
              <w:spacing w:after="0"/>
              <w:rPr>
                <w:sz w:val="20"/>
                <w:szCs w:val="20"/>
                <w:color w:val="auto"/>
              </w:rPr>
            </w:pPr>
            <w:r>
              <w:rPr>
                <w:rFonts w:ascii="Arial" w:cs="Arial" w:eastAsia="Arial" w:hAnsi="Arial"/>
                <w:sz w:val="18"/>
                <w:szCs w:val="18"/>
                <w:color w:val="auto"/>
              </w:rPr>
              <w:t>Debt, net of current maturities</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375,000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115,000</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long-term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48,087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50,996</w:t>
            </w:r>
          </w:p>
        </w:tc>
        <w:tc>
          <w:tcPr>
            <w:tcW w:w="0" w:type="dxa"/>
            <w:vAlign w:val="bottom"/>
          </w:tcPr>
          <w:p>
            <w:pPr>
              <w:spacing w:after="0"/>
              <w:rPr>
                <w:sz w:val="1"/>
                <w:szCs w:val="1"/>
                <w:color w:val="auto"/>
              </w:rPr>
            </w:pPr>
          </w:p>
        </w:tc>
      </w:tr>
      <w:tr>
        <w:trPr>
          <w:trHeight w:val="223"/>
        </w:trPr>
        <w:tc>
          <w:tcPr>
            <w:tcW w:w="7820" w:type="dxa"/>
            <w:vAlign w:val="bottom"/>
            <w:tcBorders>
              <w:bottom w:val="single" w:sz="8" w:color="CCEEFF"/>
            </w:tcBorders>
          </w:tcPr>
          <w:p>
            <w:pPr>
              <w:ind w:left="560"/>
              <w:spacing w:after="0"/>
              <w:rPr>
                <w:sz w:val="20"/>
                <w:szCs w:val="20"/>
                <w:color w:val="auto"/>
              </w:rPr>
            </w:pPr>
            <w:r>
              <w:rPr>
                <w:rFonts w:ascii="Arial" w:cs="Arial" w:eastAsia="Arial" w:hAnsi="Arial"/>
                <w:sz w:val="18"/>
                <w:szCs w:val="18"/>
                <w:b w:val="1"/>
                <w:bCs w:val="1"/>
                <w:color w:val="auto"/>
              </w:rPr>
              <w:t>Total long-term liabilities</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748,732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530,111</w:t>
            </w: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Total liabilities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1,069,288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1,073,941</w:t>
            </w:r>
          </w:p>
        </w:tc>
        <w:tc>
          <w:tcPr>
            <w:tcW w:w="0" w:type="dxa"/>
            <w:vAlign w:val="bottom"/>
          </w:tcPr>
          <w:p>
            <w:pPr>
              <w:spacing w:after="0"/>
              <w:rPr>
                <w:sz w:val="1"/>
                <w:szCs w:val="1"/>
                <w:color w:val="auto"/>
              </w:rPr>
            </w:pPr>
          </w:p>
        </w:tc>
      </w:tr>
      <w:tr>
        <w:trPr>
          <w:trHeight w:val="229"/>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Preferred stock - $1 par value; 500,000 shares authorized, none issued</w:t>
            </w:r>
          </w:p>
        </w:tc>
        <w:tc>
          <w:tcPr>
            <w:tcW w:w="3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7820" w:type="dxa"/>
            <w:vAlign w:val="bottom"/>
          </w:tcPr>
          <w:p>
            <w:pPr>
              <w:ind w:left="140"/>
              <w:spacing w:after="0" w:line="176" w:lineRule="exact"/>
              <w:rPr>
                <w:sz w:val="20"/>
                <w:szCs w:val="20"/>
                <w:color w:val="auto"/>
              </w:rPr>
            </w:pPr>
            <w:r>
              <w:rPr>
                <w:rFonts w:ascii="Arial" w:cs="Arial" w:eastAsia="Arial" w:hAnsi="Arial"/>
                <w:sz w:val="18"/>
                <w:szCs w:val="18"/>
                <w:color w:val="auto"/>
              </w:rPr>
              <w:t>Common stock - $0.01 par value; 250,000,000 shares authorized;</w:t>
            </w:r>
          </w:p>
        </w:tc>
        <w:tc>
          <w:tcPr>
            <w:tcW w:w="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820" w:type="dxa"/>
            <w:vAlign w:val="bottom"/>
          </w:tcPr>
          <w:p>
            <w:pPr>
              <w:ind w:left="400"/>
              <w:spacing w:after="0" w:line="183" w:lineRule="exact"/>
              <w:rPr>
                <w:sz w:val="20"/>
                <w:szCs w:val="20"/>
                <w:color w:val="auto"/>
              </w:rPr>
            </w:pPr>
            <w:r>
              <w:rPr>
                <w:rFonts w:ascii="Arial" w:cs="Arial" w:eastAsia="Arial" w:hAnsi="Arial"/>
                <w:sz w:val="18"/>
                <w:szCs w:val="18"/>
                <w:color w:val="auto"/>
              </w:rPr>
              <w:t>104,060,645 shares issued at March 31, 2023;</w:t>
            </w:r>
          </w:p>
        </w:tc>
        <w:tc>
          <w:tcPr>
            <w:tcW w:w="30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1,040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35"/>
        </w:trPr>
        <w:tc>
          <w:tcPr>
            <w:tcW w:w="7820" w:type="dxa"/>
            <w:vAlign w:val="bottom"/>
          </w:tcPr>
          <w:p>
            <w:pPr>
              <w:ind w:left="400"/>
              <w:spacing w:after="0"/>
              <w:rPr>
                <w:sz w:val="20"/>
                <w:szCs w:val="20"/>
                <w:color w:val="auto"/>
              </w:rPr>
            </w:pPr>
            <w:r>
              <w:rPr>
                <w:rFonts w:ascii="Arial" w:cs="Arial" w:eastAsia="Arial" w:hAnsi="Arial"/>
                <w:sz w:val="18"/>
                <w:szCs w:val="18"/>
                <w:color w:val="auto"/>
              </w:rPr>
              <w:t>103,921,724 shares issued at June 30, 2022</w:t>
            </w:r>
          </w:p>
        </w:tc>
        <w:tc>
          <w:tcPr>
            <w:tcW w:w="300" w:type="dxa"/>
            <w:vAlign w:val="bottom"/>
          </w:tcPr>
          <w:p>
            <w:pPr>
              <w:spacing w:after="0"/>
              <w:rPr>
                <w:sz w:val="20"/>
                <w:szCs w:val="20"/>
                <w:color w:val="auto"/>
              </w:rPr>
            </w:pPr>
          </w:p>
        </w:tc>
        <w:tc>
          <w:tcPr>
            <w:tcW w:w="13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573,518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551,360</w:t>
            </w:r>
          </w:p>
        </w:tc>
        <w:tc>
          <w:tcPr>
            <w:tcW w:w="0" w:type="dxa"/>
            <w:vAlign w:val="bottom"/>
          </w:tcPr>
          <w:p>
            <w:pPr>
              <w:spacing w:after="0"/>
              <w:rPr>
                <w:sz w:val="1"/>
                <w:szCs w:val="1"/>
                <w:color w:val="auto"/>
              </w:rPr>
            </w:pPr>
          </w:p>
        </w:tc>
      </w:tr>
      <w:tr>
        <w:trPr>
          <w:trHeight w:val="230"/>
        </w:trPr>
        <w:tc>
          <w:tcPr>
            <w:tcW w:w="782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2,795,869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2,636,342</w:t>
            </w:r>
          </w:p>
        </w:tc>
        <w:tc>
          <w:tcPr>
            <w:tcW w:w="0" w:type="dxa"/>
            <w:vAlign w:val="bottom"/>
          </w:tcPr>
          <w:p>
            <w:pPr>
              <w:spacing w:after="0"/>
              <w:rPr>
                <w:sz w:val="1"/>
                <w:szCs w:val="1"/>
                <w:color w:val="auto"/>
              </w:rPr>
            </w:pPr>
          </w:p>
        </w:tc>
      </w:tr>
      <w:tr>
        <w:trPr>
          <w:trHeight w:val="175"/>
        </w:trPr>
        <w:tc>
          <w:tcPr>
            <w:tcW w:w="78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Less treasury stock at cost</w:t>
            </w:r>
          </w:p>
        </w:tc>
        <w:tc>
          <w:tcPr>
            <w:tcW w:w="3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820" w:type="dxa"/>
            <w:vAlign w:val="bottom"/>
            <w:shd w:val="clear" w:color="auto" w:fill="CCEEFF"/>
          </w:tcPr>
          <w:p>
            <w:pPr>
              <w:ind w:left="400"/>
              <w:spacing w:after="0" w:line="183" w:lineRule="exact"/>
              <w:rPr>
                <w:sz w:val="20"/>
                <w:szCs w:val="20"/>
                <w:color w:val="auto"/>
              </w:rPr>
            </w:pPr>
            <w:r>
              <w:rPr>
                <w:rFonts w:ascii="Arial" w:cs="Arial" w:eastAsia="Arial" w:hAnsi="Arial"/>
                <w:sz w:val="18"/>
                <w:szCs w:val="18"/>
                <w:color w:val="auto"/>
              </w:rPr>
              <w:t>31,194,351 shares at March 31, 2023;</w:t>
            </w:r>
          </w:p>
        </w:tc>
        <w:tc>
          <w:tcPr>
            <w:tcW w:w="30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(1,832,118)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(1,807,118)</w:t>
            </w:r>
          </w:p>
        </w:tc>
        <w:tc>
          <w:tcPr>
            <w:tcW w:w="0" w:type="dxa"/>
            <w:vAlign w:val="bottom"/>
          </w:tcPr>
          <w:p>
            <w:pPr>
              <w:spacing w:after="0"/>
              <w:rPr>
                <w:sz w:val="1"/>
                <w:szCs w:val="1"/>
                <w:color w:val="auto"/>
              </w:rPr>
            </w:pPr>
          </w:p>
        </w:tc>
      </w:tr>
      <w:tr>
        <w:trPr>
          <w:trHeight w:val="235"/>
        </w:trPr>
        <w:tc>
          <w:tcPr>
            <w:tcW w:w="7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31,042,903 shares at June 30, 2022</w:t>
            </w:r>
          </w:p>
        </w:tc>
        <w:tc>
          <w:tcPr>
            <w:tcW w:w="3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820" w:type="dxa"/>
            <w:vAlign w:val="bottom"/>
            <w:tcBorders>
              <w:bottom w:val="single" w:sz="8" w:color="CCEEFF"/>
            </w:tcBorders>
          </w:tcPr>
          <w:p>
            <w:pPr>
              <w:ind w:left="560"/>
              <w:spacing w:after="0"/>
              <w:rPr>
                <w:sz w:val="20"/>
                <w:szCs w:val="20"/>
                <w:color w:val="auto"/>
              </w:rPr>
            </w:pPr>
            <w:r>
              <w:rPr>
                <w:rFonts w:ascii="Arial" w:cs="Arial" w:eastAsia="Arial" w:hAnsi="Arial"/>
                <w:sz w:val="18"/>
                <w:szCs w:val="18"/>
                <w:b w:val="1"/>
                <w:bCs w:val="1"/>
                <w:color w:val="auto"/>
              </w:rPr>
              <w:t>Total stockholders' equity</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1,538,309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1,381,623</w:t>
            </w:r>
          </w:p>
        </w:tc>
        <w:tc>
          <w:tcPr>
            <w:tcW w:w="0" w:type="dxa"/>
            <w:vAlign w:val="bottom"/>
          </w:tcPr>
          <w:p>
            <w:pPr>
              <w:spacing w:after="0"/>
              <w:rPr>
                <w:sz w:val="1"/>
                <w:szCs w:val="1"/>
                <w:color w:val="auto"/>
              </w:rPr>
            </w:pPr>
          </w:p>
        </w:tc>
      </w:tr>
      <w:tr>
        <w:trPr>
          <w:trHeight w:val="248"/>
        </w:trPr>
        <w:tc>
          <w:tcPr>
            <w:tcW w:w="78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b w:val="1"/>
                <w:bCs w:val="1"/>
                <w:color w:val="auto"/>
              </w:rPr>
              <w:t>Total liabilities and equity</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2,607,597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2,455,564</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7920" w:type="dxa"/>
            <w:vAlign w:val="bottom"/>
            <w:gridSpan w:val="8"/>
          </w:tcPr>
          <w:p>
            <w:pPr>
              <w:jc w:val="center"/>
              <w:ind w:left="3050"/>
              <w:spacing w:after="0"/>
              <w:rPr>
                <w:sz w:val="20"/>
                <w:szCs w:val="20"/>
                <w:color w:val="auto"/>
              </w:rPr>
            </w:pPr>
            <w:r>
              <w:rPr>
                <w:rFonts w:ascii="Arial" w:cs="Arial" w:eastAsia="Arial" w:hAnsi="Arial"/>
                <w:sz w:val="18"/>
                <w:szCs w:val="18"/>
                <w:b w:val="1"/>
                <w:bCs w:val="1"/>
                <w:color w:val="auto"/>
                <w:w w:val="99"/>
              </w:rPr>
              <w:t>JACK HENRY &amp; ASSOCIATES, INC. AND SUBSIDIARIES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9540" w:type="dxa"/>
            <w:vAlign w:val="bottom"/>
            <w:gridSpan w:val="11"/>
          </w:tcPr>
          <w:p>
            <w:pPr>
              <w:jc w:val="center"/>
              <w:ind w:left="1410"/>
              <w:spacing w:after="0"/>
              <w:rPr>
                <w:sz w:val="20"/>
                <w:szCs w:val="20"/>
                <w:color w:val="auto"/>
              </w:rPr>
            </w:pPr>
            <w:r>
              <w:rPr>
                <w:rFonts w:ascii="Arial" w:cs="Arial" w:eastAsia="Arial" w:hAnsi="Arial"/>
                <w:sz w:val="18"/>
                <w:szCs w:val="18"/>
                <w:b w:val="1"/>
                <w:bCs w:val="1"/>
                <w:color w:val="auto"/>
                <w:w w:val="99"/>
              </w:rPr>
              <w:t>CONDENSED CONSOLIDATED STATEMENTS OF INCOME (Unaudited)</w:t>
            </w: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3780" w:type="dxa"/>
            <w:vAlign w:val="bottom"/>
          </w:tcPr>
          <w:p>
            <w:pPr>
              <w:spacing w:after="0"/>
              <w:rPr>
                <w:sz w:val="19"/>
                <w:szCs w:val="19"/>
                <w:color w:val="auto"/>
              </w:rPr>
            </w:pPr>
          </w:p>
        </w:tc>
        <w:tc>
          <w:tcPr>
            <w:tcW w:w="4140" w:type="dxa"/>
            <w:vAlign w:val="bottom"/>
            <w:gridSpan w:val="7"/>
          </w:tcPr>
          <w:p>
            <w:pPr>
              <w:jc w:val="center"/>
              <w:ind w:right="660"/>
              <w:spacing w:after="0"/>
              <w:rPr>
                <w:sz w:val="20"/>
                <w:szCs w:val="20"/>
                <w:color w:val="auto"/>
              </w:rPr>
            </w:pPr>
            <w:r>
              <w:rPr>
                <w:rFonts w:ascii="Arial" w:cs="Arial" w:eastAsia="Arial" w:hAnsi="Arial"/>
                <w:sz w:val="18"/>
                <w:szCs w:val="18"/>
                <w:color w:val="auto"/>
              </w:rPr>
              <w:t>(In Thousands, Except Per Share Data)</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3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120" w:type="dxa"/>
            <w:vAlign w:val="bottom"/>
            <w:gridSpan w:val="5"/>
          </w:tcPr>
          <w:p>
            <w:pPr>
              <w:ind w:left="44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9"/>
                <w:szCs w:val="19"/>
                <w:color w:val="auto"/>
              </w:rPr>
            </w:pPr>
          </w:p>
        </w:tc>
        <w:tc>
          <w:tcPr>
            <w:tcW w:w="278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Nine Months Ended</w:t>
            </w:r>
          </w:p>
        </w:tc>
      </w:tr>
      <w:tr>
        <w:trPr>
          <w:trHeight w:val="235"/>
        </w:trPr>
        <w:tc>
          <w:tcPr>
            <w:tcW w:w="3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March 31,</w:t>
            </w: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March 31,</w:t>
            </w:r>
          </w:p>
        </w:tc>
        <w:tc>
          <w:tcPr>
            <w:tcW w:w="1040" w:type="dxa"/>
            <w:vAlign w:val="bottom"/>
            <w:tcBorders>
              <w:bottom w:val="single" w:sz="8" w:color="auto"/>
            </w:tcBorders>
          </w:tcPr>
          <w:p>
            <w:pPr>
              <w:spacing w:after="0"/>
              <w:rPr>
                <w:sz w:val="20"/>
                <w:szCs w:val="20"/>
                <w:color w:val="auto"/>
              </w:rPr>
            </w:pPr>
          </w:p>
        </w:tc>
      </w:tr>
      <w:tr>
        <w:trPr>
          <w:trHeight w:val="223"/>
        </w:trPr>
        <w:tc>
          <w:tcPr>
            <w:tcW w:w="3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r>
      <w:tr>
        <w:trPr>
          <w:trHeight w:val="236"/>
        </w:trPr>
        <w:tc>
          <w:tcPr>
            <w:tcW w:w="3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0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508,552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478,260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1,543,069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1,460,212</w:t>
            </w:r>
          </w:p>
        </w:tc>
      </w:tr>
      <w:tr>
        <w:trPr>
          <w:trHeight w:val="257"/>
        </w:trPr>
        <w:tc>
          <w:tcPr>
            <w:tcW w:w="37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EXPENSES</w:t>
            </w:r>
          </w:p>
        </w:tc>
        <w:tc>
          <w:tcPr>
            <w:tcW w:w="6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3780" w:type="dxa"/>
            <w:vAlign w:val="bottom"/>
          </w:tcPr>
          <w:p>
            <w:pPr>
              <w:ind w:left="140"/>
              <w:spacing w:after="0"/>
              <w:rPr>
                <w:sz w:val="20"/>
                <w:szCs w:val="20"/>
                <w:color w:val="auto"/>
              </w:rPr>
            </w:pPr>
            <w:r>
              <w:rPr>
                <w:rFonts w:ascii="Arial" w:cs="Arial" w:eastAsia="Arial" w:hAnsi="Arial"/>
                <w:sz w:val="18"/>
                <w:szCs w:val="18"/>
                <w:color w:val="auto"/>
              </w:rPr>
              <w:t>Cost of Revenue</w:t>
            </w: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307,345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282,339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910,195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841,799</w:t>
            </w:r>
          </w:p>
        </w:tc>
      </w:tr>
      <w:tr>
        <w:trPr>
          <w:trHeight w:val="230"/>
        </w:trPr>
        <w:tc>
          <w:tcPr>
            <w:tcW w:w="3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6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34,625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104,179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87,394</w:t>
            </w:r>
          </w:p>
        </w:tc>
      </w:tr>
      <w:tr>
        <w:trPr>
          <w:trHeight w:val="229"/>
        </w:trPr>
        <w:tc>
          <w:tcPr>
            <w:tcW w:w="37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Selling, General, and Administrative</w:t>
            </w:r>
          </w:p>
        </w:tc>
        <w:tc>
          <w:tcPr>
            <w:tcW w:w="6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58,192</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53,607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172,205</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160,172</w:t>
            </w:r>
          </w:p>
        </w:tc>
      </w:tr>
      <w:tr>
        <w:trPr>
          <w:trHeight w:val="223"/>
        </w:trPr>
        <w:tc>
          <w:tcPr>
            <w:tcW w:w="378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Total Expenses</w:t>
            </w:r>
          </w:p>
        </w:tc>
        <w:tc>
          <w:tcPr>
            <w:tcW w:w="6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400,162</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366,671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1,186,579</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1,089,365</w:t>
            </w:r>
          </w:p>
        </w:tc>
      </w:tr>
      <w:tr>
        <w:trPr>
          <w:trHeight w:val="236"/>
        </w:trPr>
        <w:tc>
          <w:tcPr>
            <w:tcW w:w="3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6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108,390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356,490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370,847</w:t>
            </w:r>
          </w:p>
        </w:tc>
      </w:tr>
      <w:tr>
        <w:trPr>
          <w:trHeight w:val="257"/>
        </w:trPr>
        <w:tc>
          <w:tcPr>
            <w:tcW w:w="37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INTEREST INCOME (EXPENSE)</w:t>
            </w:r>
          </w:p>
        </w:tc>
        <w:tc>
          <w:tcPr>
            <w:tcW w:w="6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3780" w:type="dxa"/>
            <w:vAlign w:val="bottom"/>
          </w:tcPr>
          <w:p>
            <w:pPr>
              <w:ind w:left="140"/>
              <w:spacing w:after="0"/>
              <w:rPr>
                <w:sz w:val="20"/>
                <w:szCs w:val="20"/>
                <w:color w:val="auto"/>
              </w:rPr>
            </w:pPr>
            <w:r>
              <w:rPr>
                <w:rFonts w:ascii="Arial" w:cs="Arial" w:eastAsia="Arial" w:hAnsi="Arial"/>
                <w:sz w:val="18"/>
                <w:szCs w:val="18"/>
                <w:color w:val="auto"/>
              </w:rPr>
              <w:t>Interest Income</w:t>
            </w: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2,391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3,783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3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6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(4,666)</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(9,649)</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w:t>
            </w:r>
          </w:p>
        </w:tc>
      </w:tr>
      <w:tr>
        <w:trPr>
          <w:trHeight w:val="223"/>
        </w:trPr>
        <w:tc>
          <w:tcPr>
            <w:tcW w:w="3780" w:type="dxa"/>
            <w:vAlign w:val="bottom"/>
            <w:tcBorders>
              <w:bottom w:val="single" w:sz="8" w:color="CCEEFF"/>
            </w:tcBorders>
          </w:tcPr>
          <w:p>
            <w:pPr>
              <w:ind w:left="560"/>
              <w:spacing w:after="0"/>
              <w:rPr>
                <w:sz w:val="20"/>
                <w:szCs w:val="20"/>
                <w:color w:val="auto"/>
              </w:rPr>
            </w:pPr>
            <w:r>
              <w:rPr>
                <w:rFonts w:ascii="Arial" w:cs="Arial" w:eastAsia="Arial" w:hAnsi="Arial"/>
                <w:sz w:val="18"/>
                <w:szCs w:val="18"/>
                <w:b w:val="1"/>
                <w:bCs w:val="1"/>
                <w:color w:val="auto"/>
              </w:rPr>
              <w:t>Total Interest Income (Expense)</w:t>
            </w:r>
          </w:p>
        </w:tc>
        <w:tc>
          <w:tcPr>
            <w:tcW w:w="6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(2,275)</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(5,866)</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(1,371)</w:t>
            </w:r>
          </w:p>
        </w:tc>
      </w:tr>
      <w:tr>
        <w:trPr>
          <w:trHeight w:val="237"/>
        </w:trPr>
        <w:tc>
          <w:tcPr>
            <w:tcW w:w="37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106,115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110,901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350,624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369,476</w:t>
            </w:r>
          </w:p>
        </w:tc>
      </w:tr>
      <w:tr>
        <w:trPr>
          <w:trHeight w:val="257"/>
        </w:trPr>
        <w:tc>
          <w:tcPr>
            <w:tcW w:w="37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b w:val="1"/>
                <w:bCs w:val="1"/>
                <w:color w:val="auto"/>
              </w:rPr>
              <w:t>PROVISION FOR INCOME TAXES</w:t>
            </w: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24,566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26,194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81,751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86,986</w:t>
            </w:r>
          </w:p>
        </w:tc>
      </w:tr>
      <w:tr>
        <w:trPr>
          <w:trHeight w:val="257"/>
        </w:trPr>
        <w:tc>
          <w:tcPr>
            <w:tcW w:w="37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spacing w:after="0"/>
              <w:rPr>
                <w:sz w:val="22"/>
                <w:szCs w:val="22"/>
                <w:color w:val="auto"/>
              </w:rPr>
            </w:pPr>
          </w:p>
        </w:tc>
      </w:tr>
      <w:tr>
        <w:trPr>
          <w:trHeight w:val="223"/>
        </w:trPr>
        <w:tc>
          <w:tcPr>
            <w:tcW w:w="378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64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81,549</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84,707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268,873</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282,490</w:t>
            </w:r>
          </w:p>
        </w:tc>
      </w:tr>
      <w:tr>
        <w:trPr>
          <w:trHeight w:val="20"/>
        </w:trPr>
        <w:tc>
          <w:tcPr>
            <w:tcW w:w="37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3"/>
        </w:trPr>
        <w:tc>
          <w:tcPr>
            <w:tcW w:w="37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Basic earnings per share</w:t>
            </w:r>
          </w:p>
        </w:tc>
        <w:tc>
          <w:tcPr>
            <w:tcW w:w="102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1.12</w:t>
            </w:r>
          </w:p>
        </w:tc>
        <w:tc>
          <w:tcPr>
            <w:tcW w:w="12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3.69</w:t>
            </w:r>
          </w:p>
        </w:tc>
        <w:tc>
          <w:tcPr>
            <w:tcW w:w="12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3.84</w:t>
            </w: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weighted average shares outstanding</w:t>
            </w:r>
          </w:p>
        </w:tc>
        <w:tc>
          <w:tcPr>
            <w:tcW w:w="6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72,935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72,931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73,477</w:t>
            </w:r>
          </w:p>
        </w:tc>
      </w:tr>
      <w:tr>
        <w:trPr>
          <w:trHeight w:val="256"/>
        </w:trPr>
        <w:tc>
          <w:tcPr>
            <w:tcW w:w="37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10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r>
      <w:tr>
        <w:trPr>
          <w:trHeight w:val="247"/>
        </w:trPr>
        <w:tc>
          <w:tcPr>
            <w:tcW w:w="3780" w:type="dxa"/>
            <w:vAlign w:val="bottom"/>
          </w:tcPr>
          <w:p>
            <w:pPr>
              <w:ind w:left="20"/>
              <w:spacing w:after="0"/>
              <w:rPr>
                <w:sz w:val="20"/>
                <w:szCs w:val="20"/>
                <w:color w:val="auto"/>
              </w:rPr>
            </w:pPr>
            <w:r>
              <w:rPr>
                <w:rFonts w:ascii="Arial" w:cs="Arial" w:eastAsia="Arial" w:hAnsi="Arial"/>
                <w:sz w:val="18"/>
                <w:szCs w:val="18"/>
                <w:color w:val="auto"/>
              </w:rPr>
              <w:t>Diluted weighted average shares outstanding</w:t>
            </w:r>
          </w:p>
        </w:tc>
        <w:tc>
          <w:tcPr>
            <w:tcW w:w="6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73,074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73,019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73,119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73,619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40" w:type="dxa"/>
            <w:vAlign w:val="bottom"/>
            <w:gridSpan w:val="7"/>
          </w:tcPr>
          <w:p>
            <w:pPr>
              <w:jc w:val="center"/>
              <w:ind w:left="2930"/>
              <w:spacing w:after="0"/>
              <w:rPr>
                <w:sz w:val="20"/>
                <w:szCs w:val="20"/>
                <w:color w:val="auto"/>
              </w:rPr>
            </w:pPr>
            <w:r>
              <w:rPr>
                <w:rFonts w:ascii="Arial" w:cs="Arial" w:eastAsia="Arial" w:hAnsi="Arial"/>
                <w:sz w:val="18"/>
                <w:szCs w:val="18"/>
                <w:b w:val="1"/>
                <w:bCs w:val="1"/>
                <w:color w:val="auto"/>
                <w:w w:val="99"/>
              </w:rPr>
              <w:t>JACK HENRY &amp; ASSOCIATES, INC. AND SUBSIDIARIES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10160" w:type="dxa"/>
            <w:vAlign w:val="bottom"/>
            <w:gridSpan w:val="11"/>
          </w:tcPr>
          <w:p>
            <w:pPr>
              <w:jc w:val="center"/>
              <w:ind w:left="990"/>
              <w:spacing w:after="0"/>
              <w:rPr>
                <w:sz w:val="20"/>
                <w:szCs w:val="20"/>
                <w:color w:val="auto"/>
              </w:rPr>
            </w:pPr>
            <w:r>
              <w:rPr>
                <w:rFonts w:ascii="Arial" w:cs="Arial" w:eastAsia="Arial" w:hAnsi="Arial"/>
                <w:sz w:val="18"/>
                <w:szCs w:val="18"/>
                <w:b w:val="1"/>
                <w:bCs w:val="1"/>
                <w:color w:val="auto"/>
                <w:w w:val="99"/>
              </w:rPr>
              <w:t>CONDENSED CONSOLIDATED STATEMENTS OF CHANGES IN STOCKHOLDERS' EQUITY (Unaudited)</w:t>
            </w:r>
          </w:p>
        </w:tc>
        <w:tc>
          <w:tcPr>
            <w:tcW w:w="1080" w:type="dxa"/>
            <w:vAlign w:val="bottom"/>
          </w:tcPr>
          <w:p>
            <w:pPr>
              <w:spacing w:after="0"/>
              <w:rPr>
                <w:sz w:val="19"/>
                <w:szCs w:val="19"/>
                <w:color w:val="auto"/>
              </w:rPr>
            </w:pPr>
          </w:p>
        </w:tc>
      </w:tr>
      <w:tr>
        <w:trPr>
          <w:trHeight w:val="229"/>
        </w:trPr>
        <w:tc>
          <w:tcPr>
            <w:tcW w:w="8240" w:type="dxa"/>
            <w:vAlign w:val="bottom"/>
            <w:gridSpan w:val="7"/>
          </w:tcPr>
          <w:p>
            <w:pPr>
              <w:jc w:val="center"/>
              <w:ind w:left="2910"/>
              <w:spacing w:after="0"/>
              <w:rPr>
                <w:sz w:val="20"/>
                <w:szCs w:val="20"/>
                <w:color w:val="auto"/>
              </w:rPr>
            </w:pPr>
            <w:r>
              <w:rPr>
                <w:rFonts w:ascii="Arial" w:cs="Arial" w:eastAsia="Arial" w:hAnsi="Arial"/>
                <w:sz w:val="18"/>
                <w:szCs w:val="18"/>
                <w:color w:val="auto"/>
              </w:rPr>
              <w:t>(In Thousands, Except Share and Per Share Data)</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5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60" w:type="dxa"/>
            <w:vAlign w:val="bottom"/>
            <w:gridSpan w:val="5"/>
          </w:tcPr>
          <w:p>
            <w:pPr>
              <w:ind w:left="36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9"/>
                <w:szCs w:val="19"/>
                <w:color w:val="auto"/>
              </w:rPr>
            </w:pPr>
          </w:p>
        </w:tc>
        <w:tc>
          <w:tcPr>
            <w:tcW w:w="276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Nine Months Ended</w:t>
            </w:r>
          </w:p>
        </w:tc>
      </w:tr>
      <w:tr>
        <w:trPr>
          <w:trHeight w:val="235"/>
        </w:trPr>
        <w:tc>
          <w:tcPr>
            <w:tcW w:w="5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1080" w:type="dxa"/>
            <w:vAlign w:val="bottom"/>
            <w:tcBorders>
              <w:bottom w:val="single" w:sz="8" w:color="auto"/>
            </w:tcBorders>
          </w:tcPr>
          <w:p>
            <w:pPr>
              <w:spacing w:after="0"/>
              <w:rPr>
                <w:sz w:val="20"/>
                <w:szCs w:val="20"/>
                <w:color w:val="auto"/>
              </w:rPr>
            </w:pPr>
          </w:p>
        </w:tc>
      </w:tr>
      <w:tr>
        <w:trPr>
          <w:trHeight w:val="223"/>
        </w:trPr>
        <w:tc>
          <w:tcPr>
            <w:tcW w:w="5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2022</w:t>
            </w:r>
          </w:p>
        </w:tc>
      </w:tr>
      <w:tr>
        <w:trPr>
          <w:trHeight w:val="248"/>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PREFERRED SHARES:</w:t>
            </w: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COMMON SHARES: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5140" w:type="dxa"/>
            <w:vAlign w:val="bottom"/>
          </w:tcPr>
          <w:p>
            <w:pPr>
              <w:ind w:left="220"/>
              <w:spacing w:after="0"/>
              <w:rPr>
                <w:sz w:val="20"/>
                <w:szCs w:val="20"/>
                <w:color w:val="auto"/>
              </w:rPr>
            </w:pPr>
            <w:r>
              <w:rPr>
                <w:rFonts w:ascii="Arial" w:cs="Arial" w:eastAsia="Arial" w:hAnsi="Arial"/>
                <w:sz w:val="18"/>
                <w:szCs w:val="18"/>
                <w:color w:val="auto"/>
              </w:rPr>
              <w:t>Shares, beginning of period</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104,027,008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97"/>
              </w:rPr>
              <w:t>103,860,246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103,921,724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97"/>
              </w:rPr>
              <w:t>103,795,169</w:t>
            </w:r>
          </w:p>
        </w:tc>
      </w:tr>
      <w:tr>
        <w:trPr>
          <w:trHeight w:val="230"/>
        </w:trPr>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issued for equity-based payment arrangements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9,660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59,177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41,586</w:t>
            </w:r>
          </w:p>
        </w:tc>
      </w:tr>
      <w:tr>
        <w:trPr>
          <w:trHeight w:val="229"/>
        </w:trPr>
        <w:tc>
          <w:tcPr>
            <w:tcW w:w="51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Shares issued for Employee Stock Purchase Plan</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23,977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20,635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79,744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59,179</w:t>
            </w:r>
          </w:p>
        </w:tc>
      </w:tr>
      <w:tr>
        <w:trPr>
          <w:trHeight w:val="248"/>
        </w:trPr>
        <w:tc>
          <w:tcPr>
            <w:tcW w:w="51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Shares, end of period</w:t>
            </w: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104,060,645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103,895,934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104,060,645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103,895,934</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9"/>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COMMON STOCK - PAR VALUE $0.01 PER SHARE:</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5140" w:type="dxa"/>
            <w:vAlign w:val="bottom"/>
          </w:tcPr>
          <w:p>
            <w:pPr>
              <w:ind w:left="220"/>
              <w:spacing w:after="0"/>
              <w:rPr>
                <w:sz w:val="20"/>
                <w:szCs w:val="20"/>
                <w:color w:val="auto"/>
              </w:rPr>
            </w:pPr>
            <w:r>
              <w:rPr>
                <w:rFonts w:ascii="Arial" w:cs="Arial" w:eastAsia="Arial" w:hAnsi="Arial"/>
                <w:sz w:val="18"/>
                <w:szCs w:val="18"/>
                <w:color w:val="auto"/>
              </w:rPr>
              <w:t>Balance, beginning of period</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1,040</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1,039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1,039</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1,038</w:t>
            </w:r>
          </w:p>
        </w:tc>
      </w:tr>
      <w:tr>
        <w:trPr>
          <w:trHeight w:val="229"/>
        </w:trPr>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issued for Employee Stock Purchase Plan</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514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Balance, end of period</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1,040</w:t>
            </w:r>
          </w:p>
        </w:tc>
        <w:tc>
          <w:tcPr>
            <w:tcW w:w="1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1,039</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1,040</w:t>
            </w:r>
          </w:p>
        </w:tc>
        <w:tc>
          <w:tcPr>
            <w:tcW w:w="1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1,039</w:t>
            </w:r>
          </w:p>
        </w:tc>
      </w:tr>
      <w:tr>
        <w:trPr>
          <w:trHeight w:val="250"/>
        </w:trPr>
        <w:tc>
          <w:tcPr>
            <w:tcW w:w="5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ADDITIONAL PAID-IN CAPITAL:</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Balance, beginning of period</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564,856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535,493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551,360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518,960</w:t>
            </w:r>
          </w:p>
        </w:tc>
      </w:tr>
      <w:tr>
        <w:trPr>
          <w:trHeight w:val="230"/>
        </w:trPr>
        <w:tc>
          <w:tcPr>
            <w:tcW w:w="5140" w:type="dxa"/>
            <w:vAlign w:val="bottom"/>
          </w:tcPr>
          <w:p>
            <w:pPr>
              <w:ind w:left="220"/>
              <w:spacing w:after="0"/>
              <w:rPr>
                <w:sz w:val="20"/>
                <w:szCs w:val="20"/>
                <w:color w:val="auto"/>
              </w:rPr>
            </w:pPr>
            <w:r>
              <w:rPr>
                <w:rFonts w:ascii="Arial" w:cs="Arial" w:eastAsia="Arial" w:hAnsi="Arial"/>
                <w:sz w:val="18"/>
                <w:szCs w:val="18"/>
                <w:color w:val="auto"/>
              </w:rPr>
              <w:t>Tax withholding related to share-based compensation</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(1,575)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(8,306)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(3,709)</w:t>
            </w:r>
          </w:p>
        </w:tc>
      </w:tr>
      <w:tr>
        <w:trPr>
          <w:trHeight w:val="229"/>
        </w:trPr>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issued for Employee Stock Purchase Plan</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3,322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9,005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8,523</w:t>
            </w:r>
          </w:p>
        </w:tc>
      </w:tr>
      <w:tr>
        <w:trPr>
          <w:trHeight w:val="230"/>
        </w:trPr>
        <w:tc>
          <w:tcPr>
            <w:tcW w:w="51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Stock-based compensation expense</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6,915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21,459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19,303</w:t>
            </w:r>
          </w:p>
        </w:tc>
      </w:tr>
      <w:tr>
        <w:trPr>
          <w:trHeight w:val="223"/>
        </w:trPr>
        <w:tc>
          <w:tcPr>
            <w:tcW w:w="51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Balance, end of period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573,518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543,077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573,518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543,077</w:t>
            </w:r>
          </w:p>
        </w:tc>
      </w:tr>
      <w:tr>
        <w:trPr>
          <w:trHeight w:val="250"/>
        </w:trPr>
        <w:tc>
          <w:tcPr>
            <w:tcW w:w="5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RETAINED EARNINGS: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5140" w:type="dxa"/>
            <w:vAlign w:val="bottom"/>
          </w:tcPr>
          <w:p>
            <w:pPr>
              <w:ind w:left="220"/>
              <w:spacing w:after="0"/>
              <w:rPr>
                <w:sz w:val="20"/>
                <w:szCs w:val="20"/>
                <w:color w:val="auto"/>
              </w:rPr>
            </w:pPr>
            <w:r>
              <w:rPr>
                <w:rFonts w:ascii="Arial" w:cs="Arial" w:eastAsia="Arial" w:hAnsi="Arial"/>
                <w:sz w:val="18"/>
                <w:szCs w:val="18"/>
                <w:color w:val="auto"/>
              </w:rPr>
              <w:t>Balance, beginning of period</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2,752,212</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2,542,583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2,636,342</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2,412,496</w:t>
            </w:r>
          </w:p>
        </w:tc>
      </w:tr>
      <w:tr>
        <w:trPr>
          <w:trHeight w:val="229"/>
        </w:trPr>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81,549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268,873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282,490</w:t>
            </w:r>
          </w:p>
        </w:tc>
      </w:tr>
      <w:tr>
        <w:trPr>
          <w:trHeight w:val="230"/>
        </w:trPr>
        <w:tc>
          <w:tcPr>
            <w:tcW w:w="51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Dividends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(37,892)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(35,680)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(109,346)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(103,376)</w:t>
            </w:r>
          </w:p>
        </w:tc>
      </w:tr>
      <w:tr>
        <w:trPr>
          <w:trHeight w:val="223"/>
        </w:trPr>
        <w:tc>
          <w:tcPr>
            <w:tcW w:w="51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Balance, end of period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2,795,869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2,591,610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2,795,869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2,591,610</w:t>
            </w:r>
          </w:p>
        </w:tc>
      </w:tr>
      <w:tr>
        <w:trPr>
          <w:trHeight w:val="250"/>
        </w:trPr>
        <w:tc>
          <w:tcPr>
            <w:tcW w:w="5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TREASURY STOCK:</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5140" w:type="dxa"/>
            <w:vAlign w:val="bottom"/>
          </w:tcPr>
          <w:p>
            <w:pPr>
              <w:ind w:left="220"/>
              <w:spacing w:after="0"/>
              <w:rPr>
                <w:sz w:val="20"/>
                <w:szCs w:val="20"/>
                <w:color w:val="auto"/>
              </w:rPr>
            </w:pPr>
            <w:r>
              <w:rPr>
                <w:rFonts w:ascii="Arial" w:cs="Arial" w:eastAsia="Arial" w:hAnsi="Arial"/>
                <w:sz w:val="18"/>
                <w:szCs w:val="18"/>
                <w:color w:val="auto"/>
              </w:rPr>
              <w:t>Balance, beginning of period</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(1,807,118)</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(1,807,118)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(1,807,118)</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(1,613,202)</w:t>
            </w:r>
          </w:p>
        </w:tc>
      </w:tr>
      <w:tr>
        <w:trPr>
          <w:trHeight w:val="229"/>
        </w:trPr>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 of treasury shares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(25,000)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(25,000)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(193,916)</w:t>
            </w:r>
          </w:p>
        </w:tc>
      </w:tr>
      <w:tr>
        <w:trPr>
          <w:trHeight w:val="223"/>
        </w:trPr>
        <w:tc>
          <w:tcPr>
            <w:tcW w:w="514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Balance, end of period</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(1,832,118)</w:t>
            </w:r>
          </w:p>
        </w:tc>
        <w:tc>
          <w:tcPr>
            <w:tcW w:w="1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(1,807,118)</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(1,832,118)</w:t>
            </w:r>
          </w:p>
        </w:tc>
        <w:tc>
          <w:tcPr>
            <w:tcW w:w="1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(1,807,118)</w:t>
            </w:r>
          </w:p>
        </w:tc>
      </w:tr>
      <w:tr>
        <w:trPr>
          <w:trHeight w:val="250"/>
        </w:trPr>
        <w:tc>
          <w:tcPr>
            <w:tcW w:w="514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spacing w:after="0"/>
              <w:rPr>
                <w:sz w:val="21"/>
                <w:szCs w:val="21"/>
                <w:color w:val="auto"/>
              </w:rPr>
            </w:pPr>
          </w:p>
        </w:tc>
      </w:tr>
      <w:tr>
        <w:trPr>
          <w:trHeight w:val="223"/>
        </w:trPr>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1,538,309</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1,328,608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1,538,309</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1,328,608</w:t>
            </w: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7"/>
        </w:trPr>
        <w:tc>
          <w:tcPr>
            <w:tcW w:w="5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47"/>
        </w:trPr>
        <w:tc>
          <w:tcPr>
            <w:tcW w:w="5140" w:type="dxa"/>
            <w:vAlign w:val="bottom"/>
          </w:tcPr>
          <w:p>
            <w:pPr>
              <w:ind w:left="20"/>
              <w:spacing w:after="0"/>
              <w:rPr>
                <w:sz w:val="20"/>
                <w:szCs w:val="20"/>
                <w:color w:val="auto"/>
              </w:rPr>
            </w:pPr>
            <w:r>
              <w:rPr>
                <w:rFonts w:ascii="Arial" w:cs="Arial" w:eastAsia="Arial" w:hAnsi="Arial"/>
                <w:sz w:val="18"/>
                <w:szCs w:val="18"/>
                <w:color w:val="auto"/>
              </w:rPr>
              <w:t>Dividends declared per share</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0.52</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1.50</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20" w:type="dxa"/>
            <w:vAlign w:val="bottom"/>
            <w:gridSpan w:val="2"/>
          </w:tcPr>
          <w:p>
            <w:pPr>
              <w:jc w:val="center"/>
              <w:ind w:left="2950"/>
              <w:spacing w:after="0"/>
              <w:rPr>
                <w:sz w:val="20"/>
                <w:szCs w:val="20"/>
                <w:color w:val="auto"/>
              </w:rPr>
            </w:pPr>
            <w:r>
              <w:rPr>
                <w:rFonts w:ascii="Arial" w:cs="Arial" w:eastAsia="Arial" w:hAnsi="Arial"/>
                <w:sz w:val="18"/>
                <w:szCs w:val="18"/>
                <w:b w:val="1"/>
                <w:bCs w:val="1"/>
                <w:color w:val="auto"/>
                <w:w w:val="99"/>
              </w:rPr>
              <w:t>JACK HENRY &amp; ASSOCIATES, INC. AND SUBSIDIARIES</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580" w:type="dxa"/>
            <w:vAlign w:val="bottom"/>
            <w:gridSpan w:val="4"/>
          </w:tcPr>
          <w:p>
            <w:pPr>
              <w:jc w:val="center"/>
              <w:ind w:left="1570"/>
              <w:spacing w:after="0"/>
              <w:rPr>
                <w:sz w:val="20"/>
                <w:szCs w:val="20"/>
                <w:color w:val="auto"/>
              </w:rPr>
            </w:pPr>
            <w:r>
              <w:rPr>
                <w:rFonts w:ascii="Arial" w:cs="Arial" w:eastAsia="Arial" w:hAnsi="Arial"/>
                <w:sz w:val="18"/>
                <w:szCs w:val="18"/>
                <w:b w:val="1"/>
                <w:bCs w:val="1"/>
                <w:color w:val="auto"/>
                <w:w w:val="99"/>
              </w:rPr>
              <w:t>CONDENSED CONSOLIDATED STATEMENTS OF CASH FLOWS (Unaudited)</w:t>
            </w:r>
          </w:p>
        </w:tc>
        <w:tc>
          <w:tcPr>
            <w:tcW w:w="5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820" w:type="dxa"/>
            <w:vAlign w:val="bottom"/>
          </w:tcPr>
          <w:p>
            <w:pPr>
              <w:jc w:val="center"/>
              <w:ind w:left="3330"/>
              <w:spacing w:after="0"/>
              <w:rPr>
                <w:sz w:val="20"/>
                <w:szCs w:val="20"/>
                <w:color w:val="auto"/>
              </w:rPr>
            </w:pPr>
            <w:r>
              <w:rPr>
                <w:rFonts w:ascii="Arial" w:cs="Arial" w:eastAsia="Arial" w:hAnsi="Arial"/>
                <w:sz w:val="18"/>
                <w:szCs w:val="18"/>
                <w:color w:val="auto"/>
                <w:w w:val="99"/>
              </w:rPr>
              <w:t>(In Thousands)</w:t>
            </w:r>
          </w:p>
        </w:tc>
        <w:tc>
          <w:tcPr>
            <w:tcW w:w="400" w:type="dxa"/>
            <w:vAlign w:val="bottom"/>
          </w:tcPr>
          <w:p>
            <w:pPr>
              <w:spacing w:after="0"/>
              <w:rPr>
                <w:sz w:val="20"/>
                <w:szCs w:val="20"/>
                <w:color w:val="auto"/>
              </w:rPr>
            </w:pPr>
          </w:p>
        </w:tc>
        <w:tc>
          <w:tcPr>
            <w:tcW w:w="3020" w:type="dxa"/>
            <w:vAlign w:val="bottom"/>
            <w:gridSpan w:val="4"/>
            <w:vMerge w:val="restart"/>
          </w:tcPr>
          <w:p>
            <w:pPr>
              <w:jc w:val="right"/>
              <w:ind w:right="79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0"/>
        </w:trPr>
        <w:tc>
          <w:tcPr>
            <w:tcW w:w="7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2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78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March 31,</w:t>
            </w: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8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420"/>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78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400" w:type="dxa"/>
            <w:vAlign w:val="bottom"/>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268,873</w:t>
            </w:r>
          </w:p>
        </w:tc>
        <w:tc>
          <w:tcPr>
            <w:tcW w:w="10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282,490</w:t>
            </w:r>
          </w:p>
        </w:tc>
        <w:tc>
          <w:tcPr>
            <w:tcW w:w="0" w:type="dxa"/>
            <w:vAlign w:val="bottom"/>
          </w:tcPr>
          <w:p>
            <w:pPr>
              <w:spacing w:after="0"/>
              <w:rPr>
                <w:sz w:val="1"/>
                <w:szCs w:val="1"/>
                <w:color w:val="auto"/>
              </w:rPr>
            </w:pPr>
          </w:p>
        </w:tc>
      </w:tr>
      <w:tr>
        <w:trPr>
          <w:trHeight w:val="176"/>
        </w:trPr>
        <w:tc>
          <w:tcPr>
            <w:tcW w:w="78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Adjustments to reconcile net income from operations</w:t>
            </w:r>
          </w:p>
        </w:tc>
        <w:tc>
          <w:tcPr>
            <w:tcW w:w="4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 net cash from operating activities:</w:t>
            </w: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220"/>
              <w:spacing w:after="0"/>
              <w:rPr>
                <w:sz w:val="20"/>
                <w:szCs w:val="20"/>
                <w:color w:val="auto"/>
              </w:rPr>
            </w:pPr>
            <w:r>
              <w:rPr>
                <w:rFonts w:ascii="Arial" w:cs="Arial" w:eastAsia="Arial" w:hAnsi="Arial"/>
                <w:sz w:val="18"/>
                <w:szCs w:val="18"/>
                <w:color w:val="auto"/>
              </w:rPr>
              <w:t>Depreciation</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36,740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38,339</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105,609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94,563</w:t>
            </w:r>
          </w:p>
        </w:tc>
        <w:tc>
          <w:tcPr>
            <w:tcW w:w="0" w:type="dxa"/>
            <w:vAlign w:val="bottom"/>
          </w:tcPr>
          <w:p>
            <w:pPr>
              <w:spacing w:after="0"/>
              <w:rPr>
                <w:sz w:val="1"/>
                <w:szCs w:val="1"/>
                <w:color w:val="auto"/>
              </w:rPr>
            </w:pPr>
          </w:p>
        </w:tc>
      </w:tr>
      <w:tr>
        <w:trPr>
          <w:trHeight w:val="229"/>
        </w:trPr>
        <w:tc>
          <w:tcPr>
            <w:tcW w:w="7820" w:type="dxa"/>
            <w:vAlign w:val="bottom"/>
          </w:tcPr>
          <w:p>
            <w:pPr>
              <w:ind w:left="220"/>
              <w:spacing w:after="0"/>
              <w:rPr>
                <w:sz w:val="20"/>
                <w:szCs w:val="20"/>
                <w:color w:val="auto"/>
              </w:rPr>
            </w:pPr>
            <w:r>
              <w:rPr>
                <w:rFonts w:ascii="Arial" w:cs="Arial" w:eastAsia="Arial" w:hAnsi="Arial"/>
                <w:sz w:val="18"/>
                <w:szCs w:val="18"/>
                <w:color w:val="auto"/>
              </w:rPr>
              <w:t>Change in deferred income taxes</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(36,370)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15,681</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Expense for stock-based compensation</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21,459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19,303</w:t>
            </w:r>
          </w:p>
        </w:tc>
        <w:tc>
          <w:tcPr>
            <w:tcW w:w="0" w:type="dxa"/>
            <w:vAlign w:val="bottom"/>
          </w:tcPr>
          <w:p>
            <w:pPr>
              <w:spacing w:after="0"/>
              <w:rPr>
                <w:sz w:val="1"/>
                <w:szCs w:val="1"/>
                <w:color w:val="auto"/>
              </w:rPr>
            </w:pPr>
          </w:p>
        </w:tc>
      </w:tr>
      <w:tr>
        <w:trPr>
          <w:trHeight w:val="229"/>
        </w:trPr>
        <w:tc>
          <w:tcPr>
            <w:tcW w:w="7820" w:type="dxa"/>
            <w:vAlign w:val="bottom"/>
          </w:tcPr>
          <w:p>
            <w:pPr>
              <w:ind w:left="220"/>
              <w:spacing w:after="0"/>
              <w:rPr>
                <w:sz w:val="20"/>
                <w:szCs w:val="20"/>
                <w:color w:val="auto"/>
              </w:rPr>
            </w:pPr>
            <w:r>
              <w:rPr>
                <w:rFonts w:ascii="Arial" w:cs="Arial" w:eastAsia="Arial" w:hAnsi="Arial"/>
                <w:sz w:val="18"/>
                <w:szCs w:val="18"/>
                <w:color w:val="auto"/>
              </w:rPr>
              <w:t>(Gain)/loss on disposal of assets</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(7,234)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220"/>
              <w:spacing w:after="0"/>
              <w:rPr>
                <w:sz w:val="20"/>
                <w:szCs w:val="20"/>
                <w:color w:val="auto"/>
              </w:rPr>
            </w:pPr>
            <w:r>
              <w:rPr>
                <w:rFonts w:ascii="Arial" w:cs="Arial" w:eastAsia="Arial" w:hAnsi="Arial"/>
                <w:sz w:val="18"/>
                <w:szCs w:val="18"/>
                <w:color w:val="auto"/>
              </w:rPr>
              <w:t>Change in receivables</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110,686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83,868</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prepaid expenses, deferred costs and other</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(68,885)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(51,255)</w:t>
            </w:r>
          </w:p>
        </w:tc>
        <w:tc>
          <w:tcPr>
            <w:tcW w:w="0" w:type="dxa"/>
            <w:vAlign w:val="bottom"/>
          </w:tcPr>
          <w:p>
            <w:pPr>
              <w:spacing w:after="0"/>
              <w:rPr>
                <w:sz w:val="1"/>
                <w:szCs w:val="1"/>
                <w:color w:val="auto"/>
              </w:rPr>
            </w:pPr>
          </w:p>
        </w:tc>
      </w:tr>
      <w:tr>
        <w:trPr>
          <w:trHeight w:val="230"/>
        </w:trPr>
        <w:tc>
          <w:tcPr>
            <w:tcW w:w="7820" w:type="dxa"/>
            <w:vAlign w:val="bottom"/>
          </w:tcPr>
          <w:p>
            <w:pPr>
              <w:ind w:left="220"/>
              <w:spacing w:after="0"/>
              <w:rPr>
                <w:sz w:val="20"/>
                <w:szCs w:val="20"/>
                <w:color w:val="auto"/>
              </w:rPr>
            </w:pPr>
            <w:r>
              <w:rPr>
                <w:rFonts w:ascii="Arial" w:cs="Arial" w:eastAsia="Arial" w:hAnsi="Arial"/>
                <w:sz w:val="18"/>
                <w:szCs w:val="18"/>
                <w:color w:val="auto"/>
              </w:rPr>
              <w:t>Change in accounts payable</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(5,654)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2,609</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accrued expenses</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(48,319)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(33,400)</w:t>
            </w:r>
          </w:p>
        </w:tc>
        <w:tc>
          <w:tcPr>
            <w:tcW w:w="0" w:type="dxa"/>
            <w:vAlign w:val="bottom"/>
          </w:tcPr>
          <w:p>
            <w:pPr>
              <w:spacing w:after="0"/>
              <w:rPr>
                <w:sz w:val="1"/>
                <w:szCs w:val="1"/>
                <w:color w:val="auto"/>
              </w:rPr>
            </w:pPr>
          </w:p>
        </w:tc>
      </w:tr>
      <w:tr>
        <w:trPr>
          <w:trHeight w:val="229"/>
        </w:trPr>
        <w:tc>
          <w:tcPr>
            <w:tcW w:w="7820" w:type="dxa"/>
            <w:vAlign w:val="bottom"/>
          </w:tcPr>
          <w:p>
            <w:pPr>
              <w:ind w:left="220"/>
              <w:spacing w:after="0"/>
              <w:rPr>
                <w:sz w:val="20"/>
                <w:szCs w:val="20"/>
                <w:color w:val="auto"/>
              </w:rPr>
            </w:pPr>
            <w:r>
              <w:rPr>
                <w:rFonts w:ascii="Arial" w:cs="Arial" w:eastAsia="Arial" w:hAnsi="Arial"/>
                <w:sz w:val="18"/>
                <w:szCs w:val="18"/>
                <w:color w:val="auto"/>
              </w:rPr>
              <w:t>Change in income taxes</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14,256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26,885</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deferred revenues</w:t>
            </w: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(184,130)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(177,987)</w:t>
            </w:r>
          </w:p>
        </w:tc>
        <w:tc>
          <w:tcPr>
            <w:tcW w:w="0" w:type="dxa"/>
            <w:vAlign w:val="bottom"/>
          </w:tcPr>
          <w:p>
            <w:pPr>
              <w:spacing w:after="0"/>
              <w:rPr>
                <w:sz w:val="1"/>
                <w:szCs w:val="1"/>
                <w:color w:val="auto"/>
              </w:rPr>
            </w:pPr>
          </w:p>
        </w:tc>
      </w:tr>
      <w:tr>
        <w:trPr>
          <w:trHeight w:val="223"/>
        </w:trPr>
        <w:tc>
          <w:tcPr>
            <w:tcW w:w="7820" w:type="dxa"/>
            <w:vAlign w:val="bottom"/>
          </w:tcPr>
          <w:p>
            <w:pPr>
              <w:ind w:left="480"/>
              <w:spacing w:after="0"/>
              <w:rPr>
                <w:sz w:val="20"/>
                <w:szCs w:val="20"/>
                <w:color w:val="auto"/>
              </w:rPr>
            </w:pPr>
            <w:r>
              <w:rPr>
                <w:rFonts w:ascii="Arial" w:cs="Arial" w:eastAsia="Arial" w:hAnsi="Arial"/>
                <w:sz w:val="18"/>
                <w:szCs w:val="18"/>
                <w:b w:val="1"/>
                <w:bCs w:val="1"/>
                <w:color w:val="auto"/>
              </w:rPr>
              <w:t>Net cash from operating activities</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207,031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301,397</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 for acquisitions, net of cash acquired</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(229,628)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20" w:type="dxa"/>
            <w:vAlign w:val="bottom"/>
          </w:tcPr>
          <w:p>
            <w:pPr>
              <w:ind w:left="220"/>
              <w:spacing w:after="0"/>
              <w:rPr>
                <w:sz w:val="20"/>
                <w:szCs w:val="20"/>
                <w:color w:val="auto"/>
              </w:rPr>
            </w:pPr>
            <w:r>
              <w:rPr>
                <w:rFonts w:ascii="Arial" w:cs="Arial" w:eastAsia="Arial" w:hAnsi="Arial"/>
                <w:sz w:val="18"/>
                <w:szCs w:val="18"/>
                <w:color w:val="auto"/>
              </w:rPr>
              <w:t>Capital expenditures</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(27,237)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(28,386)</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dispositions</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27,885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7820" w:type="dxa"/>
            <w:vAlign w:val="bottom"/>
          </w:tcPr>
          <w:p>
            <w:pPr>
              <w:ind w:left="220"/>
              <w:spacing w:after="0"/>
              <w:rPr>
                <w:sz w:val="20"/>
                <w:szCs w:val="20"/>
                <w:color w:val="auto"/>
              </w:rPr>
            </w:pPr>
            <w:r>
              <w:rPr>
                <w:rFonts w:ascii="Arial" w:cs="Arial" w:eastAsia="Arial" w:hAnsi="Arial"/>
                <w:sz w:val="18"/>
                <w:szCs w:val="18"/>
                <w:color w:val="auto"/>
              </w:rPr>
              <w:t>Purchased software</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(1,471)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(7,726)</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Computer software developed</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(124,110)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(108,950)</w:t>
            </w:r>
          </w:p>
        </w:tc>
        <w:tc>
          <w:tcPr>
            <w:tcW w:w="0" w:type="dxa"/>
            <w:vAlign w:val="bottom"/>
          </w:tcPr>
          <w:p>
            <w:pPr>
              <w:spacing w:after="0"/>
              <w:rPr>
                <w:sz w:val="1"/>
                <w:szCs w:val="1"/>
                <w:color w:val="auto"/>
              </w:rPr>
            </w:pPr>
          </w:p>
        </w:tc>
      </w:tr>
      <w:tr>
        <w:trPr>
          <w:trHeight w:val="230"/>
        </w:trPr>
        <w:tc>
          <w:tcPr>
            <w:tcW w:w="78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Purchase of investments</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Net cash from investing activities</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(355,561)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(145,024)</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tcPr>
          <w:p>
            <w:pPr>
              <w:ind w:left="220"/>
              <w:spacing w:after="0"/>
              <w:rPr>
                <w:sz w:val="20"/>
                <w:szCs w:val="20"/>
                <w:color w:val="auto"/>
              </w:rPr>
            </w:pPr>
            <w:r>
              <w:rPr>
                <w:rFonts w:ascii="Arial" w:cs="Arial" w:eastAsia="Arial" w:hAnsi="Arial"/>
                <w:sz w:val="18"/>
                <w:szCs w:val="18"/>
                <w:color w:val="auto"/>
              </w:rPr>
              <w:t>Borrowings on credit facilities</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550,000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292,000</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Repayments on credit facilities and financing leases</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(290,059)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(167,091)</w:t>
            </w:r>
          </w:p>
        </w:tc>
        <w:tc>
          <w:tcPr>
            <w:tcW w:w="0" w:type="dxa"/>
            <w:vAlign w:val="bottom"/>
          </w:tcPr>
          <w:p>
            <w:pPr>
              <w:spacing w:after="0"/>
              <w:rPr>
                <w:sz w:val="1"/>
                <w:szCs w:val="1"/>
                <w:color w:val="auto"/>
              </w:rPr>
            </w:pPr>
          </w:p>
        </w:tc>
      </w:tr>
      <w:tr>
        <w:trPr>
          <w:trHeight w:val="230"/>
        </w:trPr>
        <w:tc>
          <w:tcPr>
            <w:tcW w:w="7820" w:type="dxa"/>
            <w:vAlign w:val="bottom"/>
          </w:tcPr>
          <w:p>
            <w:pPr>
              <w:ind w:left="220"/>
              <w:spacing w:after="0"/>
              <w:rPr>
                <w:sz w:val="20"/>
                <w:szCs w:val="20"/>
                <w:color w:val="auto"/>
              </w:rPr>
            </w:pPr>
            <w:r>
              <w:rPr>
                <w:rFonts w:ascii="Arial" w:cs="Arial" w:eastAsia="Arial" w:hAnsi="Arial"/>
                <w:sz w:val="18"/>
                <w:szCs w:val="18"/>
                <w:color w:val="auto"/>
              </w:rPr>
              <w:t>Purchase of treasury stock</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(25,000)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(193,916)</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Dividends paid</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(109,346)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(103,376)</w:t>
            </w:r>
          </w:p>
        </w:tc>
        <w:tc>
          <w:tcPr>
            <w:tcW w:w="0" w:type="dxa"/>
            <w:vAlign w:val="bottom"/>
          </w:tcPr>
          <w:p>
            <w:pPr>
              <w:spacing w:after="0"/>
              <w:rPr>
                <w:sz w:val="1"/>
                <w:szCs w:val="1"/>
                <w:color w:val="auto"/>
              </w:rPr>
            </w:pPr>
          </w:p>
        </w:tc>
      </w:tr>
      <w:tr>
        <w:trPr>
          <w:trHeight w:val="229"/>
        </w:trPr>
        <w:tc>
          <w:tcPr>
            <w:tcW w:w="7820" w:type="dxa"/>
            <w:vAlign w:val="bottom"/>
          </w:tcPr>
          <w:p>
            <w:pPr>
              <w:ind w:left="220"/>
              <w:spacing w:after="0"/>
              <w:rPr>
                <w:sz w:val="20"/>
                <w:szCs w:val="20"/>
                <w:color w:val="auto"/>
              </w:rPr>
            </w:pPr>
            <w:r>
              <w:rPr>
                <w:rFonts w:ascii="Arial" w:cs="Arial" w:eastAsia="Arial" w:hAnsi="Arial"/>
                <w:sz w:val="18"/>
                <w:szCs w:val="18"/>
                <w:color w:val="auto"/>
              </w:rPr>
              <w:t>Tax withholding payments related to share-based compensation</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(8,306)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(3,709)</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sale of common stock</w:t>
            </w: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9,006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8,524</w:t>
            </w:r>
          </w:p>
        </w:tc>
        <w:tc>
          <w:tcPr>
            <w:tcW w:w="0" w:type="dxa"/>
            <w:vAlign w:val="bottom"/>
          </w:tcPr>
          <w:p>
            <w:pPr>
              <w:spacing w:after="0"/>
              <w:rPr>
                <w:sz w:val="1"/>
                <w:szCs w:val="1"/>
                <w:color w:val="auto"/>
              </w:rPr>
            </w:pPr>
          </w:p>
        </w:tc>
      </w:tr>
      <w:tr>
        <w:trPr>
          <w:trHeight w:val="223"/>
        </w:trPr>
        <w:tc>
          <w:tcPr>
            <w:tcW w:w="7820" w:type="dxa"/>
            <w:vAlign w:val="bottom"/>
            <w:tcBorders>
              <w:bottom w:val="single" w:sz="8" w:color="CCEEFF"/>
            </w:tcBorders>
          </w:tcPr>
          <w:p>
            <w:pPr>
              <w:ind w:left="480"/>
              <w:spacing w:after="0"/>
              <w:rPr>
                <w:sz w:val="20"/>
                <w:szCs w:val="20"/>
                <w:color w:val="auto"/>
              </w:rPr>
            </w:pPr>
            <w:r>
              <w:rPr>
                <w:rFonts w:ascii="Arial" w:cs="Arial" w:eastAsia="Arial" w:hAnsi="Arial"/>
                <w:sz w:val="18"/>
                <w:szCs w:val="18"/>
                <w:b w:val="1"/>
                <w:bCs w:val="1"/>
                <w:color w:val="auto"/>
              </w:rPr>
              <w:t>Net cash from financing activities</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126,295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(167,568)</w:t>
            </w: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CHANGE IN CASH AND CASH EQUIVALENTS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(22,235)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(11,195)</w:t>
            </w:r>
          </w:p>
        </w:tc>
        <w:tc>
          <w:tcPr>
            <w:tcW w:w="0" w:type="dxa"/>
            <w:vAlign w:val="bottom"/>
          </w:tcPr>
          <w:p>
            <w:pPr>
              <w:spacing w:after="0"/>
              <w:rPr>
                <w:sz w:val="1"/>
                <w:szCs w:val="1"/>
                <w:color w:val="auto"/>
              </w:rPr>
            </w:pPr>
          </w:p>
        </w:tc>
      </w:tr>
      <w:tr>
        <w:trPr>
          <w:trHeight w:val="230"/>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CASH AND CASH EQUIVALENTS, BEGINNING OF PERIOD</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48,787</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50,992</w:t>
            </w:r>
          </w:p>
        </w:tc>
        <w:tc>
          <w:tcPr>
            <w:tcW w:w="0" w:type="dxa"/>
            <w:vAlign w:val="bottom"/>
          </w:tcPr>
          <w:p>
            <w:pPr>
              <w:spacing w:after="0"/>
              <w:rPr>
                <w:sz w:val="1"/>
                <w:szCs w:val="1"/>
                <w:color w:val="auto"/>
              </w:rPr>
            </w:pPr>
          </w:p>
        </w:tc>
      </w:tr>
      <w:tr>
        <w:trPr>
          <w:trHeight w:val="248"/>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END OF PERIOD</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26,552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39,797</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jc w:val="center"/>
        <w:ind w:left="340" w:right="2160"/>
        <w:spacing w:after="0" w:line="268" w:lineRule="auto"/>
        <w:rPr>
          <w:sz w:val="20"/>
          <w:szCs w:val="20"/>
          <w:color w:val="auto"/>
        </w:rPr>
      </w:pPr>
      <w:r>
        <w:rPr>
          <w:rFonts w:ascii="Arial" w:cs="Arial" w:eastAsia="Arial" w:hAnsi="Arial"/>
          <w:sz w:val="18"/>
          <w:szCs w:val="18"/>
          <w:b w:val="1"/>
          <w:bCs w:val="1"/>
          <w:color w:val="auto"/>
        </w:rPr>
        <w:t xml:space="preserve">JACK HENRY &amp; ASSOCIATES, INC. AND SUBSIDIARIES NOTES TO CONDENSED CONSOLIDATED FINANCIAL STATEMENTS (Unaudited) </w:t>
      </w:r>
      <w:r>
        <w:rPr>
          <w:rFonts w:ascii="Arial" w:cs="Arial" w:eastAsia="Arial" w:hAnsi="Arial"/>
          <w:sz w:val="18"/>
          <w:szCs w:val="18"/>
          <w:color w:val="auto"/>
        </w:rPr>
        <w:t>(In Thousands, Except Per Share Amounts)</w:t>
      </w:r>
    </w:p>
    <w:p>
      <w:pPr>
        <w:spacing w:after="0" w:line="198" w:lineRule="exact"/>
        <w:rPr>
          <w:sz w:val="20"/>
          <w:szCs w:val="20"/>
          <w:color w:val="auto"/>
        </w:rPr>
      </w:pPr>
    </w:p>
    <w:p>
      <w:pPr>
        <w:ind w:right="3060"/>
        <w:spacing w:after="0" w:line="352" w:lineRule="auto"/>
        <w:rPr>
          <w:sz w:val="20"/>
          <w:szCs w:val="20"/>
          <w:color w:val="auto"/>
        </w:rPr>
      </w:pPr>
      <w:r>
        <w:rPr>
          <w:rFonts w:ascii="Arial" w:cs="Arial" w:eastAsia="Arial" w:hAnsi="Arial"/>
          <w:sz w:val="18"/>
          <w:szCs w:val="18"/>
          <w:color w:val="auto"/>
        </w:rPr>
        <w:t xml:space="preserve">NOTE 1. NATURE OF OPERATIONS AND SUMMARY OF SIGNIFICANT ACCOUNTING POLICIES </w:t>
      </w:r>
      <w:r>
        <w:rPr>
          <w:rFonts w:ascii="Arial" w:cs="Arial" w:eastAsia="Arial" w:hAnsi="Arial"/>
          <w:sz w:val="18"/>
          <w:szCs w:val="18"/>
          <w:b w:val="1"/>
          <w:bCs w:val="1"/>
          <w:color w:val="auto"/>
        </w:rPr>
        <w:t>Description of the Company</w:t>
      </w:r>
    </w:p>
    <w:p>
      <w:pPr>
        <w:jc w:val="both"/>
        <w:spacing w:after="0" w:line="262" w:lineRule="auto"/>
        <w:rPr>
          <w:sz w:val="20"/>
          <w:szCs w:val="20"/>
          <w:color w:val="auto"/>
        </w:rPr>
      </w:pPr>
      <w:r>
        <w:rPr>
          <w:rFonts w:ascii="Arial" w:cs="Arial" w:eastAsia="Arial" w:hAnsi="Arial"/>
          <w:sz w:val="18"/>
          <w:szCs w:val="18"/>
          <w:color w:val="auto"/>
        </w:rPr>
        <w:t>Jack Henry &amp; Associates, Inc. and subsidiaries ("Jack Henry," "JKHY," or the "Company") is a well-rounded financial technology company. JKHY was founded in 1976 as a provider of core information processing solutions for banks. Today, the Company’s extensive array of products and services includes processing transactions, automating business processes, and managing information for approximately 7,700 financial institutions and diverse corporate entities.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w:t>
      </w:r>
    </w:p>
    <w:p>
      <w:pPr>
        <w:spacing w:after="0" w:line="10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condensed consolidated financial statements include the accounts of JKHY and all of its subsidiaries, which are wholly owned, and all intercompany accounts and transactions have been eliminated.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for the three and nine months ended March 31, 2023 and 2022, equals the Company’s net income.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Credit Losses</w:t>
      </w:r>
    </w:p>
    <w:p>
      <w:pPr>
        <w:spacing w:after="0" w:line="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monitors trade and other receivable balances and contract assets and estimates the allowance for lifetime expected credit losses. Estimates of expected credit losses are based on historical collection experience and other factors, including those related to current market conditions and events.</w:t>
      </w:r>
    </w:p>
    <w:p>
      <w:pPr>
        <w:spacing w:after="0" w:line="63"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The following table summarizes allowance for credit losses activity for the fiscal quarter and year-to-date periods ended March 31, 2023, and 2022:</w:t>
      </w:r>
    </w:p>
    <w:tbl>
      <w:tblPr>
        <w:tblLayout w:type="fixed"/>
        <w:tblInd w:w="0" w:type="dxa"/>
        <w:tblCellMar>
          <w:top w:w="0" w:type="dxa"/>
          <w:left w:w="0" w:type="dxa"/>
          <w:bottom w:w="0" w:type="dxa"/>
          <w:right w:w="0" w:type="dxa"/>
        </w:tblCellMar>
      </w:tblPr>
      <w:tr>
        <w:trPr>
          <w:trHeight w:val="235"/>
        </w:trPr>
        <w:tc>
          <w:tcPr>
            <w:tcW w:w="3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0" w:type="dxa"/>
            <w:vAlign w:val="bottom"/>
            <w:gridSpan w:val="8"/>
          </w:tcPr>
          <w:p>
            <w:pPr>
              <w:ind w:left="220"/>
              <w:spacing w:after="0"/>
              <w:rPr>
                <w:sz w:val="20"/>
                <w:szCs w:val="20"/>
                <w:color w:val="auto"/>
              </w:rPr>
            </w:pPr>
            <w:r>
              <w:rPr>
                <w:rFonts w:ascii="Arial" w:cs="Arial" w:eastAsia="Arial" w:hAnsi="Arial"/>
                <w:sz w:val="18"/>
                <w:szCs w:val="18"/>
                <w:color w:val="auto"/>
              </w:rPr>
              <w:t>Three Months Ended March 31,</w:t>
            </w:r>
          </w:p>
        </w:tc>
        <w:tc>
          <w:tcPr>
            <w:tcW w:w="380" w:type="dxa"/>
            <w:vAlign w:val="bottom"/>
          </w:tcPr>
          <w:p>
            <w:pPr>
              <w:spacing w:after="0"/>
              <w:rPr>
                <w:sz w:val="20"/>
                <w:szCs w:val="20"/>
                <w:color w:val="auto"/>
              </w:rPr>
            </w:pPr>
          </w:p>
        </w:tc>
        <w:tc>
          <w:tcPr>
            <w:tcW w:w="3300" w:type="dxa"/>
            <w:vAlign w:val="bottom"/>
            <w:gridSpan w:val="8"/>
          </w:tcPr>
          <w:p>
            <w:pPr>
              <w:jc w:val="right"/>
              <w:ind w:right="620"/>
              <w:spacing w:after="0"/>
              <w:rPr>
                <w:sz w:val="20"/>
                <w:szCs w:val="20"/>
                <w:color w:val="auto"/>
              </w:rPr>
            </w:pPr>
            <w:r>
              <w:rPr>
                <w:rFonts w:ascii="Arial" w:cs="Arial" w:eastAsia="Arial" w:hAnsi="Arial"/>
                <w:sz w:val="18"/>
                <w:szCs w:val="18"/>
                <w:color w:val="auto"/>
              </w:rPr>
              <w:t>Nine Months Ended March 31,</w:t>
            </w:r>
          </w:p>
        </w:tc>
        <w:tc>
          <w:tcPr>
            <w:tcW w:w="0" w:type="dxa"/>
            <w:vAlign w:val="bottom"/>
          </w:tcPr>
          <w:p>
            <w:pPr>
              <w:spacing w:after="0"/>
              <w:rPr>
                <w:sz w:val="1"/>
                <w:szCs w:val="1"/>
                <w:color w:val="auto"/>
              </w:rPr>
            </w:pPr>
          </w:p>
        </w:tc>
      </w:tr>
      <w:tr>
        <w:trPr>
          <w:trHeight w:val="182"/>
        </w:trPr>
        <w:tc>
          <w:tcPr>
            <w:tcW w:w="382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gridSpan w:val="3"/>
          </w:tcPr>
          <w:p>
            <w:pPr>
              <w:jc w:val="right"/>
              <w:ind w:right="610"/>
              <w:spacing w:after="0" w:line="182" w:lineRule="exact"/>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gridSpan w:val="2"/>
          </w:tcPr>
          <w:p>
            <w:pPr>
              <w:jc w:val="right"/>
              <w:ind w:right="610"/>
              <w:spacing w:after="0" w:line="182" w:lineRule="exact"/>
              <w:rPr>
                <w:sz w:val="20"/>
                <w:szCs w:val="20"/>
                <w:color w:val="auto"/>
              </w:rPr>
            </w:pPr>
            <w:r>
              <w:rPr>
                <w:rFonts w:ascii="Arial" w:cs="Arial" w:eastAsia="Arial" w:hAnsi="Arial"/>
                <w:sz w:val="18"/>
                <w:szCs w:val="18"/>
                <w:color w:val="auto"/>
                <w:w w:val="94"/>
              </w:rPr>
              <w:t>2022</w:t>
            </w:r>
          </w:p>
        </w:tc>
        <w:tc>
          <w:tcPr>
            <w:tcW w:w="8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gridSpan w:val="3"/>
          </w:tcPr>
          <w:p>
            <w:pPr>
              <w:jc w:val="right"/>
              <w:ind w:right="680"/>
              <w:spacing w:after="0" w:line="182" w:lineRule="exact"/>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gridSpan w:val="3"/>
          </w:tcPr>
          <w:p>
            <w:pPr>
              <w:jc w:val="right"/>
              <w:ind w:right="700"/>
              <w:spacing w:after="0" w:line="182" w:lineRule="exact"/>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1"/>
        </w:trPr>
        <w:tc>
          <w:tcPr>
            <w:tcW w:w="3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Allowance for credit losses - beginning balance $</w:t>
            </w: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8,184</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7,733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7,616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7,267</w:t>
            </w:r>
          </w:p>
        </w:tc>
        <w:tc>
          <w:tcPr>
            <w:tcW w:w="0" w:type="dxa"/>
            <w:vAlign w:val="bottom"/>
          </w:tcPr>
          <w:p>
            <w:pPr>
              <w:spacing w:after="0"/>
              <w:rPr>
                <w:sz w:val="1"/>
                <w:szCs w:val="1"/>
                <w:color w:val="auto"/>
              </w:rPr>
            </w:pPr>
          </w:p>
        </w:tc>
      </w:tr>
      <w:tr>
        <w:trPr>
          <w:trHeight w:val="230"/>
        </w:trPr>
        <w:tc>
          <w:tcPr>
            <w:tcW w:w="3820" w:type="dxa"/>
            <w:vAlign w:val="bottom"/>
          </w:tcPr>
          <w:p>
            <w:pPr>
              <w:ind w:left="240"/>
              <w:spacing w:after="0"/>
              <w:rPr>
                <w:sz w:val="20"/>
                <w:szCs w:val="20"/>
                <w:color w:val="auto"/>
              </w:rPr>
            </w:pPr>
            <w:r>
              <w:rPr>
                <w:rFonts w:ascii="Arial" w:cs="Arial" w:eastAsia="Arial" w:hAnsi="Arial"/>
                <w:sz w:val="18"/>
                <w:szCs w:val="18"/>
                <w:color w:val="auto"/>
              </w:rPr>
              <w:t>Current provision for expected credit losses</w:t>
            </w:r>
          </w:p>
        </w:tc>
        <w:tc>
          <w:tcPr>
            <w:tcW w:w="340" w:type="dxa"/>
            <w:vAlign w:val="bottom"/>
          </w:tcPr>
          <w:p>
            <w:pPr>
              <w:spacing w:after="0"/>
              <w:rPr>
                <w:sz w:val="19"/>
                <w:szCs w:val="19"/>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360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gridSpan w:val="3"/>
          </w:tcPr>
          <w:p>
            <w:pPr>
              <w:jc w:val="right"/>
              <w:ind w:right="60"/>
              <w:spacing w:after="0"/>
              <w:rPr>
                <w:sz w:val="20"/>
                <w:szCs w:val="20"/>
                <w:color w:val="auto"/>
              </w:rPr>
            </w:pPr>
            <w:r>
              <w:rPr>
                <w:rFonts w:ascii="Arial" w:cs="Arial" w:eastAsia="Arial" w:hAnsi="Arial"/>
                <w:sz w:val="18"/>
                <w:szCs w:val="18"/>
                <w:color w:val="auto"/>
              </w:rPr>
              <w:t>1,380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gridSpan w:val="3"/>
          </w:tcPr>
          <w:p>
            <w:pPr>
              <w:jc w:val="right"/>
              <w:ind w:right="8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Write-offs charged against allowance</w:t>
            </w:r>
          </w:p>
        </w:tc>
        <w:tc>
          <w:tcPr>
            <w:tcW w:w="34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(834)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30"/>
        </w:trPr>
        <w:tc>
          <w:tcPr>
            <w:tcW w:w="3820" w:type="dxa"/>
            <w:vAlign w:val="bottom"/>
          </w:tcPr>
          <w:p>
            <w:pPr>
              <w:ind w:left="240"/>
              <w:spacing w:after="0"/>
              <w:rPr>
                <w:sz w:val="20"/>
                <w:szCs w:val="20"/>
                <w:color w:val="auto"/>
              </w:rPr>
            </w:pPr>
            <w:r>
              <w:rPr>
                <w:rFonts w:ascii="Arial" w:cs="Arial" w:eastAsia="Arial" w:hAnsi="Arial"/>
                <w:sz w:val="18"/>
                <w:szCs w:val="18"/>
                <w:color w:val="auto"/>
              </w:rPr>
              <w:t>Recoveries of amounts previously written off</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55"/>
        </w:trPr>
        <w:tc>
          <w:tcPr>
            <w:tcW w:w="382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Allowance for credit losses - ending</w:t>
            </w:r>
          </w:p>
        </w:tc>
        <w:tc>
          <w:tcPr>
            <w:tcW w:w="34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top w:val="single" w:sz="8" w:color="auto"/>
            </w:tcBorders>
            <w:gridSpan w:val="3"/>
            <w:vMerge w:val="restart"/>
          </w:tcPr>
          <w:p>
            <w:pPr>
              <w:jc w:val="right"/>
              <w:spacing w:after="0"/>
              <w:rPr>
                <w:sz w:val="20"/>
                <w:szCs w:val="20"/>
                <w:color w:val="auto"/>
              </w:rPr>
            </w:pPr>
            <w:r>
              <w:rPr>
                <w:rFonts w:ascii="Arial" w:cs="Arial" w:eastAsia="Arial" w:hAnsi="Arial"/>
                <w:sz w:val="18"/>
                <w:szCs w:val="18"/>
                <w:b w:val="1"/>
                <w:bCs w:val="1"/>
                <w:color w:val="auto"/>
              </w:rPr>
              <w:t>8,160</w:t>
            </w:r>
          </w:p>
        </w:tc>
        <w:tc>
          <w:tcPr>
            <w:tcW w:w="100" w:type="dxa"/>
            <w:vAlign w:val="bottom"/>
          </w:tcPr>
          <w:p>
            <w:pPr>
              <w:spacing w:after="0"/>
              <w:rPr>
                <w:sz w:val="13"/>
                <w:szCs w:val="13"/>
                <w:color w:val="auto"/>
              </w:rPr>
            </w:pPr>
          </w:p>
        </w:tc>
        <w:tc>
          <w:tcPr>
            <w:tcW w:w="680" w:type="dxa"/>
            <w:vAlign w:val="bottom"/>
            <w:tcBorders>
              <w:top w:val="single" w:sz="8" w:color="auto"/>
            </w:tcBorders>
            <w:vMerge w:val="restart"/>
          </w:tcPr>
          <w:p>
            <w:pPr>
              <w:jc w:val="right"/>
              <w:ind w:right="49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8"/>
                <w:szCs w:val="18"/>
                <w:b w:val="1"/>
                <w:bCs w:val="1"/>
                <w:color w:val="auto"/>
              </w:rPr>
              <w:t>7,712</w:t>
            </w:r>
          </w:p>
        </w:tc>
        <w:tc>
          <w:tcPr>
            <w:tcW w:w="80" w:type="dxa"/>
            <w:vAlign w:val="bottom"/>
          </w:tcPr>
          <w:p>
            <w:pPr>
              <w:spacing w:after="0"/>
              <w:rPr>
                <w:sz w:val="13"/>
                <w:szCs w:val="13"/>
                <w:color w:val="auto"/>
              </w:rPr>
            </w:pPr>
          </w:p>
        </w:tc>
        <w:tc>
          <w:tcPr>
            <w:tcW w:w="380" w:type="dxa"/>
            <w:vAlign w:val="bottom"/>
            <w:tcBorders>
              <w:top w:val="single" w:sz="8" w:color="auto"/>
            </w:tcBorders>
            <w:vMerge w:val="restart"/>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top w:val="single" w:sz="8" w:color="auto"/>
            </w:tcBorders>
            <w:gridSpan w:val="3"/>
            <w:vMerge w:val="restart"/>
          </w:tcPr>
          <w:p>
            <w:pPr>
              <w:jc w:val="right"/>
              <w:ind w:right="60"/>
              <w:spacing w:after="0"/>
              <w:rPr>
                <w:sz w:val="20"/>
                <w:szCs w:val="20"/>
                <w:color w:val="auto"/>
              </w:rPr>
            </w:pPr>
            <w:r>
              <w:rPr>
                <w:rFonts w:ascii="Arial" w:cs="Arial" w:eastAsia="Arial" w:hAnsi="Arial"/>
                <w:sz w:val="18"/>
                <w:szCs w:val="18"/>
                <w:b w:val="1"/>
                <w:bCs w:val="1"/>
                <w:color w:val="auto"/>
              </w:rPr>
              <w:t>8,160</w:t>
            </w:r>
          </w:p>
        </w:tc>
        <w:tc>
          <w:tcPr>
            <w:tcW w:w="100" w:type="dxa"/>
            <w:vAlign w:val="bottom"/>
          </w:tcPr>
          <w:p>
            <w:pPr>
              <w:spacing w:after="0"/>
              <w:rPr>
                <w:sz w:val="13"/>
                <w:szCs w:val="13"/>
                <w:color w:val="auto"/>
              </w:rPr>
            </w:pPr>
          </w:p>
        </w:tc>
        <w:tc>
          <w:tcPr>
            <w:tcW w:w="420" w:type="dxa"/>
            <w:vAlign w:val="bottom"/>
            <w:tcBorders>
              <w:top w:val="single" w:sz="8" w:color="auto"/>
            </w:tcBorders>
            <w:vMerge w:val="restart"/>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top w:val="single" w:sz="8" w:color="auto"/>
            </w:tcBorders>
            <w:gridSpan w:val="3"/>
            <w:vMerge w:val="restart"/>
          </w:tcPr>
          <w:p>
            <w:pPr>
              <w:jc w:val="right"/>
              <w:ind w:right="80"/>
              <w:spacing w:after="0"/>
              <w:rPr>
                <w:sz w:val="20"/>
                <w:szCs w:val="20"/>
                <w:color w:val="auto"/>
              </w:rPr>
            </w:pPr>
            <w:r>
              <w:rPr>
                <w:rFonts w:ascii="Arial" w:cs="Arial" w:eastAsia="Arial" w:hAnsi="Arial"/>
                <w:sz w:val="18"/>
                <w:szCs w:val="18"/>
                <w:b w:val="1"/>
                <w:bCs w:val="1"/>
                <w:color w:val="auto"/>
              </w:rPr>
              <w:t>7,712</w:t>
            </w:r>
          </w:p>
        </w:tc>
        <w:tc>
          <w:tcPr>
            <w:tcW w:w="0" w:type="dxa"/>
            <w:vAlign w:val="bottom"/>
          </w:tcPr>
          <w:p>
            <w:pPr>
              <w:spacing w:after="0"/>
              <w:rPr>
                <w:sz w:val="1"/>
                <w:szCs w:val="1"/>
                <w:color w:val="auto"/>
              </w:rPr>
            </w:pPr>
          </w:p>
        </w:tc>
      </w:tr>
      <w:tr>
        <w:trPr>
          <w:trHeight w:val="221"/>
        </w:trPr>
        <w:tc>
          <w:tcPr>
            <w:tcW w:w="3820" w:type="dxa"/>
            <w:vAlign w:val="bottom"/>
          </w:tcPr>
          <w:p>
            <w:pPr>
              <w:ind w:left="20"/>
              <w:spacing w:after="0"/>
              <w:rPr>
                <w:sz w:val="20"/>
                <w:szCs w:val="20"/>
                <w:color w:val="auto"/>
              </w:rPr>
            </w:pPr>
            <w:r>
              <w:rPr>
                <w:rFonts w:ascii="Arial" w:cs="Arial" w:eastAsia="Arial" w:hAnsi="Arial"/>
                <w:sz w:val="18"/>
                <w:szCs w:val="18"/>
                <w:b w:val="1"/>
                <w:bCs w:val="1"/>
                <w:color w:val="auto"/>
              </w:rPr>
              <w:t>balance</w:t>
            </w:r>
          </w:p>
        </w:tc>
        <w:tc>
          <w:tcPr>
            <w:tcW w:w="340" w:type="dxa"/>
            <w:vAlign w:val="bottom"/>
            <w:tcBorders>
              <w:bottom w:val="single" w:sz="8" w:color="auto"/>
            </w:tcBorders>
            <w:vMerge w:val="continue"/>
          </w:tcPr>
          <w:p>
            <w:pPr>
              <w:spacing w:after="0"/>
              <w:rPr>
                <w:sz w:val="18"/>
                <w:szCs w:val="18"/>
                <w:color w:val="auto"/>
              </w:rPr>
            </w:pPr>
          </w:p>
        </w:tc>
        <w:tc>
          <w:tcPr>
            <w:tcW w:w="1440" w:type="dxa"/>
            <w:vAlign w:val="bottom"/>
            <w:tcBorders>
              <w:bottom w:val="single" w:sz="8" w:color="auto"/>
            </w:tcBorders>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1400" w:type="dxa"/>
            <w:vAlign w:val="bottom"/>
            <w:tcBorders>
              <w:bottom w:val="single" w:sz="8" w:color="auto"/>
            </w:tcBorders>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vMerge w:val="continue"/>
          </w:tcPr>
          <w:p>
            <w:pPr>
              <w:spacing w:after="0"/>
              <w:rPr>
                <w:sz w:val="18"/>
                <w:szCs w:val="18"/>
                <w:color w:val="auto"/>
              </w:rPr>
            </w:pPr>
          </w:p>
        </w:tc>
        <w:tc>
          <w:tcPr>
            <w:tcW w:w="138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is recorded at cost and depreciated using the straight-line method over the estimated useful lives of the 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Accumulated depreciation at March 31, 2023, totaled $468,650 and at June 30, 2022, totaled $454,879.</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10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Intangible assets consist of goodwill, customer relationships, computer software, and trade names acquired in business acquisitions in addition to internally developed computer software. The amounts are amortized, with the exception of those intangible assets with an indefinite life (such as goodwill), over an estimated economic benefit period, generally 3 to 20 years. Accumulated amortization of intangible assets totaled $1,114,890 and $1,030,800 at March 31, 2023, and June 30, 2022, respectively.</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March 31, 2023, and June 30, 2022, the Company had an investment in the preferred stock of Autobooks, Inc ("Autobooks") of $18,250, which represented a non-controlling share of the voting equity as of that date. The total investment was recorded at cost and is included within other non-current assets on the Company's balance sheet. There have been no events or changes in circumstances that would indicate an impairment and no price changes resulting from observing a similar or identical investment. An impairment and/or an observable price change would be an adjustment to recorded cost. Fair value will not be estimated unless there are identified events or changes in circumstances that may have a significant adverse effect on the fair value of the investment.</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Board of Directors has authorized the Company to repurchase shares of its common stock. Under this authorization, the Company may finance its share repurchases with available cash reserves or borrowings on its existing line of credit. The share repurchase program does not include specific price targets or timetables and may be suspended at any time. At March 31, 2023, there were 31,194 shares in treasury stock and the Company had the remaining authority to repurchase up to 3,796 additional shares. The total cost of treasury shares at March 31, 2023, was $ 1,832,118. During the first nine months of fiscal 2023, the Company repurchased 151 shares. At June 30, 2022, there were 31,043 shares in treasury stock and the Company had the remaining authority to repurchase up to 3,948 additional shares. The total cost of treasury shares at June 30, 2022, was $1,807,118. During the first nine months of fiscal 2022, the Company repurchased 1,250 shares.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0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Deferred tax liabilities and assets are recognized for the tax effects of differences between the financial statement and tax basis of assets and liabilities. A valuation allowance would be established to reduce deferred tax assets if it is more likely than not that a deferred tax asset will not be realized.</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recognizes the tax benefit from an uncertain tax position only if it is more likely than not that the tax position will be sustained on examination by the taxing authorities, based upon the technical merits of the position. The tax benefit recognized in the financial statements from such a position is measured based on the largest benefit that has a greater than 50% likelihood of being realized upon ultimate settlement. Also, interest and penalties expenses are recognized on the full amount of unrecognized benefits for uncertain tax positions. The Company's policy is to include interest and penalties related to unrecognized tax benefits in income tax expense.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Interim Financial Statements</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condensed consolidated financial statements have been prepared in accordance with the instructions to Form 10-Q of the Securities and Exchange Commission ("SEC") and in accordance with accounting principles generally accepted in the United States of America ("U.S. GAAP") applicable to interim condensed consolidated financial statements, and do not include all of the information and footnotes required by accounting principles generally accepted in the United States of America for complete consolidated financial statements. The condensed consolidated financial statements should be read in conjunction with the Company’s audited consolidated financial statements and accompanying notes, which are included in its Annual Report on Form 10-K (“Form 10-K”) for the fiscal year ended June 30, 2022. The accounting policies followed by the Company are set forth in Note 1 to the Company's consolidated financial statements included in its Form 10-K for the fiscal year ended June 30, 2022, with updates to certain policies included in this Note 1.</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opinion of the management of the Company, the accompanying unaudited condensed consolidated financial statements reflect all adjustments necessary (consisting of normal recurring adjustments) to state fairly in all material respects the financial position of the Company as of March 31, 2023, the results of its operations for the three and nine months ended March 31, 2023 and 2022, changes in stockholders' equity for the three and nine months ended March 31, 2023 and 2022, and its cash flows for the nine months ended March 31, 2023 and 2022. The condensed consolidated balance sheet at June 30, 2022, was derived from audited annual financial statements, but does not contain all of the footnote disclosures from the annual financial statements.</w:t>
      </w:r>
    </w:p>
    <w:p>
      <w:pPr>
        <w:spacing w:after="0" w:line="4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results of operations for the three and nine months ended March 31, 2023, are not necessarily indicative of the results to be expected for the entire fiscal year.</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0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Actual results could differ from those estimates.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and Uncertainties</w:t>
      </w:r>
    </w:p>
    <w:p>
      <w:pPr>
        <w:spacing w:after="0" w:line="8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has determined there was not a material impact to the Company’s condensed consolidated financial statements as of and for the quarter ended March 31, 2023, as a result of the continuing impact of the COVID-19 pandemic. However, the extent to which the COVID-19 pandemic may impact the Company's future operational and financial performance remains uncertain and difficult to predict. The Company will continue to monitor developments related to the COVID-19 pandemic.</w:t>
      </w:r>
    </w:p>
    <w:p>
      <w:pPr>
        <w:spacing w:after="0" w:line="12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NOTE 2.</w:t>
      </w:r>
      <w:r>
        <w:rPr>
          <w:sz w:val="20"/>
          <w:szCs w:val="20"/>
          <w:color w:val="auto"/>
        </w:rPr>
        <w:tab/>
      </w:r>
      <w:r>
        <w:rPr>
          <w:rFonts w:ascii="Arial" w:cs="Arial" w:eastAsia="Arial" w:hAnsi="Arial"/>
          <w:sz w:val="17"/>
          <w:szCs w:val="17"/>
          <w:color w:val="auto"/>
        </w:rPr>
        <w:t>RECENT ACCOUNTING PRONOUNCEMENTS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 Yet Adopted</w:t>
      </w:r>
    </w:p>
    <w:p>
      <w:pPr>
        <w:spacing w:after="0" w:line="11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October 2021, the FASB issued ASU No. 2021-08, Business Combinations (Topic 805): Accounting for Contract Assets and Contract Liabilities from Contracts with Customers, which improves the accounting for acquired revenue contracts with customers in a business combination by addressing diversity in practice and inconsistency related to recognition of an acquired contract liability and payment terms and their effect on subsequent revenue recognized by the acquirer. The ASU is effective for fiscal years beginning after December 15, 2022, and interim periods within those fiscal years. The Company plans to adopt the ASU effective July 1, 2023, and will apply it prospectively to business combinations occurring on or after that date.</w:t>
      </w:r>
    </w:p>
    <w:p>
      <w:pPr>
        <w:spacing w:after="0" w:line="1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NOTE 3.</w:t>
        <w:tab/>
        <w:t>REVENUE AND DEFERRED COSTS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0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Company generates revenue from data processing, transaction processing, software licensing and related services, professional services, and hardware sales.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0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tables below present the Company's revenue disaggregated by type of revenue. Refer to Note 11, Reportable Segment Information, for disaggregated revenue by type and reportable segment. The majority of the Company’s revenue is earned domestically, with revenue from customers outside the United States comprising less than 1% of total revenue.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560" w:type="dxa"/>
            <w:vAlign w:val="bottom"/>
          </w:tcPr>
          <w:p>
            <w:pPr>
              <w:spacing w:after="0"/>
              <w:rPr>
                <w:sz w:val="20"/>
                <w:szCs w:val="20"/>
                <w:color w:val="auto"/>
              </w:rPr>
            </w:pPr>
          </w:p>
        </w:tc>
        <w:tc>
          <w:tcPr>
            <w:tcW w:w="3880" w:type="dxa"/>
            <w:vAlign w:val="bottom"/>
            <w:gridSpan w:val="10"/>
          </w:tcPr>
          <w:p>
            <w:pPr>
              <w:ind w:left="620"/>
              <w:spacing w:after="0"/>
              <w:rPr>
                <w:sz w:val="20"/>
                <w:szCs w:val="20"/>
                <w:color w:val="auto"/>
              </w:rPr>
            </w:pPr>
            <w:r>
              <w:rPr>
                <w:rFonts w:ascii="Arial" w:cs="Arial" w:eastAsia="Arial" w:hAnsi="Arial"/>
                <w:sz w:val="18"/>
                <w:szCs w:val="18"/>
                <w:color w:val="auto"/>
              </w:rPr>
              <w:t>Three Months Ended March 31,</w:t>
            </w:r>
          </w:p>
        </w:tc>
        <w:tc>
          <w:tcPr>
            <w:tcW w:w="400" w:type="dxa"/>
            <w:vAlign w:val="bottom"/>
          </w:tcPr>
          <w:p>
            <w:pPr>
              <w:spacing w:after="0"/>
              <w:rPr>
                <w:sz w:val="20"/>
                <w:szCs w:val="20"/>
                <w:color w:val="auto"/>
              </w:rPr>
            </w:pPr>
          </w:p>
        </w:tc>
        <w:tc>
          <w:tcPr>
            <w:tcW w:w="3400" w:type="dxa"/>
            <w:vAlign w:val="bottom"/>
            <w:gridSpan w:val="8"/>
          </w:tcPr>
          <w:p>
            <w:pPr>
              <w:jc w:val="right"/>
              <w:ind w:right="680"/>
              <w:spacing w:after="0"/>
              <w:rPr>
                <w:sz w:val="20"/>
                <w:szCs w:val="20"/>
                <w:color w:val="auto"/>
              </w:rPr>
            </w:pPr>
            <w:r>
              <w:rPr>
                <w:rFonts w:ascii="Arial" w:cs="Arial" w:eastAsia="Arial" w:hAnsi="Arial"/>
                <w:sz w:val="18"/>
                <w:szCs w:val="18"/>
                <w:color w:val="auto"/>
              </w:rPr>
              <w:t>Nine Months Ended March 31,</w:t>
            </w:r>
          </w:p>
        </w:tc>
      </w:tr>
      <w:tr>
        <w:trPr>
          <w:trHeight w:val="183"/>
        </w:trPr>
        <w:tc>
          <w:tcPr>
            <w:tcW w:w="3560" w:type="dxa"/>
            <w:vAlign w:val="bottom"/>
          </w:tcPr>
          <w:p>
            <w:pPr>
              <w:spacing w:after="0"/>
              <w:rPr>
                <w:sz w:val="15"/>
                <w:szCs w:val="15"/>
                <w:color w:val="auto"/>
              </w:rPr>
            </w:pPr>
          </w:p>
        </w:tc>
        <w:tc>
          <w:tcPr>
            <w:tcW w:w="1180" w:type="dxa"/>
            <w:vAlign w:val="bottom"/>
            <w:tcBorders>
              <w:top w:val="single" w:sz="8" w:color="auto"/>
            </w:tcBorders>
            <w:gridSpan w:val="3"/>
          </w:tcPr>
          <w:p>
            <w:pPr>
              <w:jc w:val="right"/>
              <w:ind w:right="40"/>
              <w:spacing w:after="0" w:line="182" w:lineRule="exact"/>
              <w:rPr>
                <w:sz w:val="20"/>
                <w:szCs w:val="20"/>
                <w:color w:val="auto"/>
              </w:rPr>
            </w:pPr>
            <w:r>
              <w:rPr>
                <w:rFonts w:ascii="Arial" w:cs="Arial" w:eastAsia="Arial" w:hAnsi="Arial"/>
                <w:sz w:val="18"/>
                <w:szCs w:val="18"/>
                <w:b w:val="1"/>
                <w:bCs w:val="1"/>
                <w:color w:val="auto"/>
              </w:rPr>
              <w:t>2023</w:t>
            </w:r>
          </w:p>
        </w:tc>
        <w:tc>
          <w:tcPr>
            <w:tcW w:w="7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gridSpan w:val="3"/>
          </w:tcPr>
          <w:p>
            <w:pPr>
              <w:jc w:val="right"/>
              <w:ind w:right="680"/>
              <w:spacing w:after="0" w:line="182" w:lineRule="exact"/>
              <w:rPr>
                <w:sz w:val="20"/>
                <w:szCs w:val="20"/>
                <w:color w:val="auto"/>
              </w:rPr>
            </w:pPr>
            <w:r>
              <w:rPr>
                <w:rFonts w:ascii="Arial" w:cs="Arial" w:eastAsia="Arial" w:hAnsi="Arial"/>
                <w:sz w:val="18"/>
                <w:szCs w:val="18"/>
                <w:color w:val="auto"/>
              </w:rPr>
              <w:t>2022</w:t>
            </w:r>
          </w:p>
        </w:tc>
        <w:tc>
          <w:tcPr>
            <w:tcW w:w="12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gridSpan w:val="3"/>
          </w:tcPr>
          <w:p>
            <w:pPr>
              <w:jc w:val="right"/>
              <w:ind w:right="720"/>
              <w:spacing w:after="0" w:line="182" w:lineRule="exact"/>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gridSpan w:val="3"/>
          </w:tcPr>
          <w:p>
            <w:pPr>
              <w:jc w:val="right"/>
              <w:ind w:right="720"/>
              <w:spacing w:after="0" w:line="182" w:lineRule="exact"/>
              <w:rPr>
                <w:sz w:val="20"/>
                <w:szCs w:val="20"/>
                <w:color w:val="auto"/>
              </w:rPr>
            </w:pPr>
            <w:r>
              <w:rPr>
                <w:rFonts w:ascii="Arial" w:cs="Arial" w:eastAsia="Arial" w:hAnsi="Arial"/>
                <w:sz w:val="18"/>
                <w:szCs w:val="18"/>
                <w:color w:val="auto"/>
              </w:rPr>
              <w:t>2022</w:t>
            </w:r>
          </w:p>
        </w:tc>
      </w:tr>
      <w:tr>
        <w:trPr>
          <w:trHeight w:val="20"/>
        </w:trPr>
        <w:tc>
          <w:tcPr>
            <w:tcW w:w="3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16"/>
        </w:trPr>
        <w:tc>
          <w:tcPr>
            <w:tcW w:w="3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Private and Public Cloud</w:t>
            </w:r>
          </w:p>
        </w:tc>
        <w:tc>
          <w:tcPr>
            <w:tcW w:w="740" w:type="dxa"/>
            <w:vAlign w:val="bottom"/>
            <w:shd w:val="clear" w:color="auto" w:fill="CCEEFF"/>
          </w:tcPr>
          <w:p>
            <w:pPr>
              <w:jc w:val="right"/>
              <w:ind w:right="555"/>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158,228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142,808</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460,357</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4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416,791</w:t>
            </w:r>
          </w:p>
        </w:tc>
      </w:tr>
      <w:tr>
        <w:trPr>
          <w:trHeight w:val="215"/>
        </w:trPr>
        <w:tc>
          <w:tcPr>
            <w:tcW w:w="3560" w:type="dxa"/>
            <w:vAlign w:val="bottom"/>
          </w:tcPr>
          <w:p>
            <w:pPr>
              <w:ind w:left="20"/>
              <w:spacing w:after="0"/>
              <w:rPr>
                <w:sz w:val="20"/>
                <w:szCs w:val="20"/>
                <w:color w:val="auto"/>
              </w:rPr>
            </w:pPr>
            <w:r>
              <w:rPr>
                <w:rFonts w:ascii="Arial" w:cs="Arial" w:eastAsia="Arial" w:hAnsi="Arial"/>
                <w:sz w:val="16"/>
                <w:szCs w:val="16"/>
                <w:color w:val="auto"/>
              </w:rPr>
              <w:t>Product Delivery and Services</w:t>
            </w: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56,372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gridSpan w:val="3"/>
          </w:tcPr>
          <w:p>
            <w:pPr>
              <w:jc w:val="right"/>
              <w:ind w:right="60"/>
              <w:spacing w:after="0"/>
              <w:rPr>
                <w:sz w:val="20"/>
                <w:szCs w:val="20"/>
                <w:color w:val="auto"/>
              </w:rPr>
            </w:pPr>
            <w:r>
              <w:rPr>
                <w:rFonts w:ascii="Arial" w:cs="Arial" w:eastAsia="Arial" w:hAnsi="Arial"/>
                <w:sz w:val="16"/>
                <w:szCs w:val="16"/>
                <w:color w:val="auto"/>
              </w:rPr>
              <w:t>62,349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gridSpan w:val="3"/>
          </w:tcPr>
          <w:p>
            <w:pPr>
              <w:jc w:val="right"/>
              <w:ind w:right="60"/>
              <w:spacing w:after="0"/>
              <w:rPr>
                <w:sz w:val="20"/>
                <w:szCs w:val="20"/>
                <w:color w:val="auto"/>
              </w:rPr>
            </w:pPr>
            <w:r>
              <w:rPr>
                <w:rFonts w:ascii="Arial" w:cs="Arial" w:eastAsia="Arial" w:hAnsi="Arial"/>
                <w:sz w:val="16"/>
                <w:szCs w:val="16"/>
                <w:color w:val="auto"/>
              </w:rPr>
              <w:t>172,489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gridSpan w:val="3"/>
          </w:tcPr>
          <w:p>
            <w:pPr>
              <w:jc w:val="right"/>
              <w:ind w:right="80"/>
              <w:spacing w:after="0"/>
              <w:rPr>
                <w:sz w:val="20"/>
                <w:szCs w:val="20"/>
                <w:color w:val="auto"/>
              </w:rPr>
            </w:pPr>
            <w:r>
              <w:rPr>
                <w:rFonts w:ascii="Arial" w:cs="Arial" w:eastAsia="Arial" w:hAnsi="Arial"/>
                <w:sz w:val="16"/>
                <w:szCs w:val="16"/>
                <w:color w:val="auto"/>
              </w:rPr>
              <w:t>193,363</w:t>
            </w:r>
          </w:p>
        </w:tc>
      </w:tr>
      <w:tr>
        <w:trPr>
          <w:trHeight w:val="217"/>
        </w:trPr>
        <w:tc>
          <w:tcPr>
            <w:tcW w:w="3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On-Premise Support</w:t>
            </w:r>
          </w:p>
        </w:tc>
        <w:tc>
          <w:tcPr>
            <w:tcW w:w="7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77,322</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77,764</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269,925</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266,471</w:t>
            </w:r>
          </w:p>
        </w:tc>
      </w:tr>
      <w:tr>
        <w:trPr>
          <w:trHeight w:val="210"/>
        </w:trPr>
        <w:tc>
          <w:tcPr>
            <w:tcW w:w="3560" w:type="dxa"/>
            <w:vAlign w:val="bottom"/>
          </w:tcPr>
          <w:p>
            <w:pPr>
              <w:ind w:left="20"/>
              <w:spacing w:after="0"/>
              <w:rPr>
                <w:sz w:val="20"/>
                <w:szCs w:val="20"/>
                <w:color w:val="auto"/>
              </w:rPr>
            </w:pPr>
            <w:r>
              <w:rPr>
                <w:rFonts w:ascii="Arial" w:cs="Arial" w:eastAsia="Arial" w:hAnsi="Arial"/>
                <w:sz w:val="16"/>
                <w:szCs w:val="16"/>
                <w:b w:val="1"/>
                <w:bCs w:val="1"/>
                <w:color w:val="auto"/>
              </w:rPr>
              <w:t>Services &amp; Support</w:t>
            </w: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291,922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gridSpan w:val="3"/>
          </w:tcPr>
          <w:p>
            <w:pPr>
              <w:jc w:val="right"/>
              <w:ind w:right="60"/>
              <w:spacing w:after="0"/>
              <w:rPr>
                <w:sz w:val="20"/>
                <w:szCs w:val="20"/>
                <w:color w:val="auto"/>
              </w:rPr>
            </w:pPr>
            <w:r>
              <w:rPr>
                <w:rFonts w:ascii="Arial" w:cs="Arial" w:eastAsia="Arial" w:hAnsi="Arial"/>
                <w:sz w:val="16"/>
                <w:szCs w:val="16"/>
                <w:color w:val="auto"/>
              </w:rPr>
              <w:t>282,921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902,771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gridSpan w:val="3"/>
          </w:tcPr>
          <w:p>
            <w:pPr>
              <w:jc w:val="right"/>
              <w:ind w:right="80"/>
              <w:spacing w:after="0"/>
              <w:rPr>
                <w:sz w:val="20"/>
                <w:szCs w:val="20"/>
                <w:color w:val="auto"/>
              </w:rPr>
            </w:pPr>
            <w:r>
              <w:rPr>
                <w:rFonts w:ascii="Arial" w:cs="Arial" w:eastAsia="Arial" w:hAnsi="Arial"/>
                <w:sz w:val="16"/>
                <w:szCs w:val="16"/>
                <w:color w:val="auto"/>
              </w:rPr>
              <w:t>876,625</w:t>
            </w:r>
          </w:p>
        </w:tc>
      </w:tr>
      <w:tr>
        <w:trPr>
          <w:trHeight w:val="216"/>
        </w:trPr>
        <w:tc>
          <w:tcPr>
            <w:tcW w:w="3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3560" w:type="dxa"/>
            <w:vAlign w:val="bottom"/>
          </w:tcPr>
          <w:p>
            <w:pPr>
              <w:ind w:left="20"/>
              <w:spacing w:after="0"/>
              <w:rPr>
                <w:sz w:val="20"/>
                <w:szCs w:val="20"/>
                <w:color w:val="auto"/>
              </w:rPr>
            </w:pPr>
            <w:r>
              <w:rPr>
                <w:rFonts w:ascii="Arial" w:cs="Arial" w:eastAsia="Arial" w:hAnsi="Arial"/>
                <w:sz w:val="16"/>
                <w:szCs w:val="16"/>
                <w:b w:val="1"/>
                <w:bCs w:val="1"/>
                <w:color w:val="auto"/>
              </w:rPr>
              <w:t>Processing</w:t>
            </w: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216,630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gridSpan w:val="3"/>
          </w:tcPr>
          <w:p>
            <w:pPr>
              <w:jc w:val="right"/>
              <w:ind w:right="60"/>
              <w:spacing w:after="0"/>
              <w:rPr>
                <w:sz w:val="20"/>
                <w:szCs w:val="20"/>
                <w:color w:val="auto"/>
              </w:rPr>
            </w:pPr>
            <w:r>
              <w:rPr>
                <w:rFonts w:ascii="Arial" w:cs="Arial" w:eastAsia="Arial" w:hAnsi="Arial"/>
                <w:sz w:val="16"/>
                <w:szCs w:val="16"/>
                <w:color w:val="auto"/>
              </w:rPr>
              <w:t>195,339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640,298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gridSpan w:val="3"/>
          </w:tcPr>
          <w:p>
            <w:pPr>
              <w:jc w:val="right"/>
              <w:ind w:right="80"/>
              <w:spacing w:after="0"/>
              <w:rPr>
                <w:sz w:val="20"/>
                <w:szCs w:val="20"/>
                <w:color w:val="auto"/>
              </w:rPr>
            </w:pPr>
            <w:r>
              <w:rPr>
                <w:rFonts w:ascii="Arial" w:cs="Arial" w:eastAsia="Arial" w:hAnsi="Arial"/>
                <w:sz w:val="16"/>
                <w:szCs w:val="16"/>
                <w:color w:val="auto"/>
              </w:rPr>
              <w:t>583,587</w:t>
            </w:r>
          </w:p>
        </w:tc>
      </w:tr>
      <w:tr>
        <w:trPr>
          <w:trHeight w:val="216"/>
        </w:trPr>
        <w:tc>
          <w:tcPr>
            <w:tcW w:w="356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r>
      <w:tr>
        <w:trPr>
          <w:trHeight w:val="210"/>
        </w:trPr>
        <w:tc>
          <w:tcPr>
            <w:tcW w:w="3560" w:type="dxa"/>
            <w:vAlign w:val="bottom"/>
          </w:tcPr>
          <w:p>
            <w:pPr>
              <w:ind w:left="20"/>
              <w:spacing w:after="0"/>
              <w:rPr>
                <w:sz w:val="20"/>
                <w:szCs w:val="20"/>
                <w:color w:val="auto"/>
              </w:rPr>
            </w:pPr>
            <w:r>
              <w:rPr>
                <w:rFonts w:ascii="Arial" w:cs="Arial" w:eastAsia="Arial" w:hAnsi="Arial"/>
                <w:sz w:val="16"/>
                <w:szCs w:val="16"/>
                <w:b w:val="1"/>
                <w:bCs w:val="1"/>
                <w:color w:val="auto"/>
              </w:rPr>
              <w:t>Total Revenue</w:t>
            </w:r>
          </w:p>
        </w:tc>
        <w:tc>
          <w:tcPr>
            <w:tcW w:w="740" w:type="dxa"/>
            <w:vAlign w:val="bottom"/>
            <w:tcBorders>
              <w:bottom w:val="single" w:sz="8" w:color="auto"/>
            </w:tcBorders>
          </w:tcPr>
          <w:p>
            <w:pPr>
              <w:jc w:val="right"/>
              <w:ind w:right="555"/>
              <w:spacing w:after="0"/>
              <w:rPr>
                <w:sz w:val="20"/>
                <w:szCs w:val="20"/>
                <w:color w:val="auto"/>
              </w:rPr>
            </w:pPr>
            <w:r>
              <w:rPr>
                <w:rFonts w:ascii="Arial" w:cs="Arial" w:eastAsia="Arial" w:hAnsi="Arial"/>
                <w:sz w:val="16"/>
                <w:szCs w:val="16"/>
                <w:b w:val="1"/>
                <w:bCs w:val="1"/>
                <w:color w:val="auto"/>
                <w:w w:val="89"/>
              </w:rPr>
              <w:t>$</w:t>
            </w:r>
          </w:p>
        </w:tc>
        <w:tc>
          <w:tcPr>
            <w:tcW w:w="4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508,552</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color w:val="auto"/>
              </w:rPr>
              <w:t>478,260</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4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1,543,069</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color w:val="auto"/>
              </w:rPr>
              <w:t>1,460,212</w:t>
            </w:r>
          </w:p>
        </w:tc>
      </w:tr>
      <w:tr>
        <w:trPr>
          <w:trHeight w:val="20"/>
        </w:trPr>
        <w:tc>
          <w:tcPr>
            <w:tcW w:w="35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contract assets and contract liabilities from contracts with customers.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w:t>
            </w:r>
          </w:p>
        </w:tc>
        <w:tc>
          <w:tcPr>
            <w:tcW w:w="300" w:type="dxa"/>
            <w:vAlign w:val="bottom"/>
          </w:tcPr>
          <w:p>
            <w:pPr>
              <w:spacing w:after="0"/>
              <w:rPr>
                <w:sz w:val="18"/>
                <w:szCs w:val="18"/>
                <w:color w:val="auto"/>
              </w:rPr>
            </w:pPr>
          </w:p>
        </w:tc>
        <w:tc>
          <w:tcPr>
            <w:tcW w:w="1360" w:type="dxa"/>
            <w:vAlign w:val="bottom"/>
          </w:tcPr>
          <w:p>
            <w:pPr>
              <w:jc w:val="right"/>
              <w:ind w:right="390"/>
              <w:spacing w:after="0"/>
              <w:rPr>
                <w:sz w:val="20"/>
                <w:szCs w:val="20"/>
                <w:color w:val="auto"/>
              </w:rPr>
            </w:pPr>
            <w:r>
              <w:rPr>
                <w:rFonts w:ascii="Arial" w:cs="Arial" w:eastAsia="Arial" w:hAnsi="Arial"/>
                <w:sz w:val="18"/>
                <w:szCs w:val="18"/>
                <w:color w:val="auto"/>
              </w:rPr>
              <w:t>June 30,</w:t>
            </w:r>
          </w:p>
        </w:tc>
      </w:tr>
      <w:tr>
        <w:trPr>
          <w:trHeight w:val="235"/>
        </w:trPr>
        <w:tc>
          <w:tcPr>
            <w:tcW w:w="77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2022</w:t>
            </w: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Receivables, net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238,364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348,072</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Contract Assets - Current</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23,933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24,447</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Assets - Non-current</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71,799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68,261</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Contract Liabilities (Deferred Revenue) - Current</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156,761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330,687</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Liabilities (Deferred Revenue) - Non-current</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69,385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71,485</w:t>
            </w:r>
          </w:p>
        </w:tc>
      </w:tr>
    </w:tbl>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Contract assets primarily result from revenue being recognized when or as control of a solution or service is transferred to the customer, except where invoicing is contingent upon the completion of other performance obligations or payment terms differ from the provisioning of services. The current portion of contract assets is reported within prepaid expenses and other in the condensed consolidated balance sheet, and the non-current portion is included in other non-current assets. Contract liabilities (deferred revenue) primarily relate to consideration received from customers in advance of delivery of the related goods and services to the customer.</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Contract balances are reported in a net contract asset or liability position on a contract-by-contract basis at the end of each reporting period.</w:t>
      </w:r>
    </w:p>
    <w:p>
      <w:pPr>
        <w:spacing w:after="0" w:line="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analyzes contract language to identify if a significant financing component does exist and would adjust the transaction price for any material effects of the time value of money if the timing of payments provides either party to the contract with a significant benefit of financing the transaction.</w:t>
      </w:r>
    </w:p>
    <w:p>
      <w:pPr>
        <w:spacing w:after="0" w:line="4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the three months ended March 31, 2023, and 2022, the Company recognized revenue of $83,179 and $92,147, respectively, that was included in the corresponding deferred revenue balance at the beginning of the periods. For the nine months ended March 31, 2023, and 2022, the Company recognized revenue of $215,263 and $225,424, respectively, that was included in the corresponding deferred revenue balance at the beginning of the periods.</w:t>
      </w:r>
    </w:p>
    <w:p>
      <w:pPr>
        <w:spacing w:after="0" w:line="5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Amounts recognized that relate to performance obligations satisfied (or partially satisfied) in prior periods were immaterial for each period presented. These adjustments are primarily the result of transaction price re-allocations due to changes in estimates of variable consideration.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Price Allocated to Remaining Performance Obligations</w:t>
      </w:r>
    </w:p>
    <w:p>
      <w:pPr>
        <w:spacing w:after="0" w:line="10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March 31, 2023, estimated revenue expected to be recognized in the future related to performance obligations that are unsatisfied (or partially unsatisfied) at the end of the reporting period totaled $5,884,965. The Company expects to recognize approximately 25% over the next 12 months, 20% in 13-24 months, and the balance thereafter.</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Costs</w:t>
      </w:r>
    </w:p>
    <w:p>
      <w:pPr>
        <w:spacing w:after="0" w:line="8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incurs incremental costs to obtain a contract as well as costs to fulfill contracts with customers that are expected to be recovered. These costs consist primarily of sales commissions, which are incurred only if a contract is obtained, and customer conversion or implementation-related costs. Capitalized costs are amortized based on the transfer of goods or services to which the asset relates, in line with the percentage of revenue recognized for each performance obligation to which the costs are allocated.</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Capitalized costs totaled $417,407 and $380,095, at March 31, 2023, and June 30, 2022, respectively.</w:t>
      </w:r>
    </w:p>
    <w:p>
      <w:pPr>
        <w:spacing w:after="0" w:line="10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three months ended March 31, 2023, and 2022, amortization of deferred contract costs totaled $37,381 and $31,444, respectively. During the nine months ended March 31, 2023, and 2022, amortization of deferred contract costs totaled $114,222 and $99,441, respectively. There were no impairment losses in relation to capitalized costs for the periods presented.</w:t>
      </w:r>
    </w:p>
    <w:p>
      <w:pPr>
        <w:spacing w:after="0" w:line="27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NOTE 4.</w:t>
      </w:r>
      <w:r>
        <w:rPr>
          <w:sz w:val="20"/>
          <w:szCs w:val="20"/>
          <w:color w:val="auto"/>
        </w:rPr>
        <w:tab/>
      </w:r>
      <w:r>
        <w:rPr>
          <w:rFonts w:ascii="Arial" w:cs="Arial" w:eastAsia="Arial" w:hAnsi="Arial"/>
          <w:sz w:val="17"/>
          <w:szCs w:val="17"/>
          <w:color w:val="auto"/>
        </w:rPr>
        <w:t>FAIR VALUE OF FINANCIAL INSTRUMENTS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cash equivalents, certificates of deposit, amounts receivable or payable, and short-term borrowings, fair values approximate carrying value, based on the short-term nature of the assets and liabilities.</w:t>
      </w:r>
    </w:p>
    <w:p>
      <w:pPr>
        <w:spacing w:after="0" w:line="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Company's estimates of the fair value for financial assets and financial liabilities are based on the framework established in the fair value accounting guidance. The framework is based on the inputs used in valuation, gives the highest priority to quoted prices in active markets, and requires that observable inputs be used in the valuations when available. The three levels of the hierarchy are as follows:</w:t>
      </w:r>
    </w:p>
    <w:p>
      <w:pPr>
        <w:spacing w:after="0" w:line="4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Level 1: inputs to the valuation are quoted prices in an active market for identical assets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Level 2: inputs to the valuation include quoted prices for similar assets in active markets that are observable either directly or indirectly</w:t>
      </w:r>
    </w:p>
    <w:p>
      <w:pPr>
        <w:spacing w:after="0" w:line="104" w:lineRule="exact"/>
        <w:rPr>
          <w:sz w:val="20"/>
          <w:szCs w:val="20"/>
          <w:color w:val="auto"/>
        </w:rPr>
      </w:pPr>
    </w:p>
    <w:p>
      <w:pPr>
        <w:ind w:left="260"/>
        <w:spacing w:after="0" w:line="287" w:lineRule="auto"/>
        <w:rPr>
          <w:sz w:val="20"/>
          <w:szCs w:val="20"/>
          <w:color w:val="auto"/>
        </w:rPr>
      </w:pPr>
      <w:r>
        <w:rPr>
          <w:rFonts w:ascii="Arial" w:cs="Arial" w:eastAsia="Arial" w:hAnsi="Arial"/>
          <w:sz w:val="18"/>
          <w:szCs w:val="18"/>
          <w:color w:val="auto"/>
        </w:rPr>
        <w:t>Level 3: valuation is based on significant inputs that are unobservable in the market and the Company's own estimates of assumptions that we believe market participants would use in pricing the asset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Fair value of financial assets included in current assets is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720" w:type="dxa"/>
            <w:vAlign w:val="bottom"/>
          </w:tcPr>
          <w:p>
            <w:pPr>
              <w:spacing w:after="0"/>
              <w:rPr>
                <w:sz w:val="20"/>
                <w:szCs w:val="20"/>
                <w:color w:val="auto"/>
              </w:rPr>
            </w:pPr>
          </w:p>
        </w:tc>
        <w:tc>
          <w:tcPr>
            <w:tcW w:w="4440" w:type="dxa"/>
            <w:vAlign w:val="bottom"/>
            <w:tcBorders>
              <w:bottom w:val="single" w:sz="8" w:color="auto"/>
            </w:tcBorders>
            <w:gridSpan w:val="7"/>
          </w:tcPr>
          <w:p>
            <w:pPr>
              <w:jc w:val="center"/>
              <w:ind w:left="270"/>
              <w:spacing w:after="0"/>
              <w:rPr>
                <w:sz w:val="20"/>
                <w:szCs w:val="20"/>
                <w:color w:val="auto"/>
              </w:rPr>
            </w:pPr>
            <w:r>
              <w:rPr>
                <w:rFonts w:ascii="Arial" w:cs="Arial" w:eastAsia="Arial" w:hAnsi="Arial"/>
                <w:sz w:val="18"/>
                <w:szCs w:val="18"/>
                <w:b w:val="1"/>
                <w:bCs w:val="1"/>
                <w:color w:val="auto"/>
                <w:w w:val="99"/>
              </w:rPr>
              <w:t>Estimated Fair Value Measurements</w:t>
            </w:r>
          </w:p>
        </w:tc>
        <w:tc>
          <w:tcPr>
            <w:tcW w:w="3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jc w:val="right"/>
              <w:ind w:right="310"/>
              <w:spacing w:after="0"/>
              <w:rPr>
                <w:sz w:val="20"/>
                <w:szCs w:val="20"/>
                <w:color w:val="auto"/>
              </w:rPr>
            </w:pPr>
            <w:r>
              <w:rPr>
                <w:rFonts w:ascii="Arial" w:cs="Arial" w:eastAsia="Arial" w:hAnsi="Arial"/>
                <w:sz w:val="18"/>
                <w:szCs w:val="18"/>
                <w:color w:val="auto"/>
              </w:rPr>
              <w:t>Total Fair</w:t>
            </w:r>
          </w:p>
        </w:tc>
      </w:tr>
      <w:tr>
        <w:trPr>
          <w:trHeight w:val="223"/>
        </w:trPr>
        <w:tc>
          <w:tcPr>
            <w:tcW w:w="472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Level 1</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8"/>
                <w:szCs w:val="18"/>
                <w:color w:val="auto"/>
                <w:w w:val="99"/>
              </w:rPr>
              <w:t>Level 2</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Level 3</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color w:val="auto"/>
              </w:rPr>
              <w:t>Value</w:t>
            </w:r>
          </w:p>
        </w:tc>
      </w:tr>
      <w:tr>
        <w:trPr>
          <w:trHeight w:val="223"/>
        </w:trPr>
        <w:tc>
          <w:tcPr>
            <w:tcW w:w="4720" w:type="dxa"/>
            <w:vAlign w:val="bottom"/>
          </w:tcPr>
          <w:p>
            <w:pPr>
              <w:ind w:left="20"/>
              <w:spacing w:after="0"/>
              <w:rPr>
                <w:sz w:val="20"/>
                <w:szCs w:val="20"/>
                <w:color w:val="auto"/>
              </w:rPr>
            </w:pPr>
            <w:r>
              <w:rPr>
                <w:rFonts w:ascii="Arial" w:cs="Arial" w:eastAsia="Arial" w:hAnsi="Arial"/>
                <w:sz w:val="18"/>
                <w:szCs w:val="18"/>
                <w:b w:val="1"/>
                <w:bCs w:val="1"/>
                <w:color w:val="auto"/>
              </w:rPr>
              <w:t>March 31, 2023</w:t>
            </w:r>
          </w:p>
        </w:tc>
        <w:tc>
          <w:tcPr>
            <w:tcW w:w="116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r>
      <w:tr>
        <w:trPr>
          <w:trHeight w:val="230"/>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Financial Assets:</w:t>
            </w: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4720" w:type="dxa"/>
            <w:vAlign w:val="bottom"/>
          </w:tcPr>
          <w:p>
            <w:pPr>
              <w:ind w:left="440"/>
              <w:spacing w:after="0"/>
              <w:rPr>
                <w:sz w:val="20"/>
                <w:szCs w:val="20"/>
                <w:color w:val="auto"/>
              </w:rPr>
            </w:pPr>
            <w:r>
              <w:rPr>
                <w:rFonts w:ascii="Arial" w:cs="Arial" w:eastAsia="Arial" w:hAnsi="Arial"/>
                <w:sz w:val="18"/>
                <w:szCs w:val="18"/>
                <w:color w:val="auto"/>
              </w:rPr>
              <w:t>Certificates of Deposit</w:t>
            </w:r>
          </w:p>
        </w:tc>
        <w:tc>
          <w:tcPr>
            <w:tcW w:w="1160" w:type="dxa"/>
            <w:vAlign w:val="bottom"/>
          </w:tcPr>
          <w:p>
            <w:pPr>
              <w:jc w:val="right"/>
              <w:ind w:right="950"/>
              <w:spacing w:after="0"/>
              <w:rPr>
                <w:sz w:val="20"/>
                <w:szCs w:val="20"/>
                <w:color w:val="auto"/>
              </w:rPr>
            </w:pPr>
            <w:r>
              <w:rPr>
                <w:rFonts w:ascii="Arial" w:cs="Arial" w:eastAsia="Arial" w:hAnsi="Arial"/>
                <w:sz w:val="18"/>
                <w:szCs w:val="18"/>
                <w:b w:val="1"/>
                <w:bCs w:val="1"/>
                <w:color w:val="auto"/>
                <w:w w:val="99"/>
              </w:rPr>
              <w:t>$</w:t>
            </w:r>
          </w:p>
        </w:tc>
        <w:tc>
          <w:tcPr>
            <w:tcW w:w="48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2,213</w:t>
            </w:r>
          </w:p>
        </w:tc>
        <w:tc>
          <w:tcPr>
            <w:tcW w:w="100" w:type="dxa"/>
            <w:vAlign w:val="bottom"/>
          </w:tcPr>
          <w:p>
            <w:pPr>
              <w:spacing w:after="0"/>
              <w:rPr>
                <w:sz w:val="19"/>
                <w:szCs w:val="19"/>
                <w:color w:val="auto"/>
              </w:rPr>
            </w:pPr>
          </w:p>
        </w:tc>
        <w:tc>
          <w:tcPr>
            <w:tcW w:w="1160" w:type="dxa"/>
            <w:vAlign w:val="bottom"/>
          </w:tcPr>
          <w:p>
            <w:pPr>
              <w:jc w:val="right"/>
              <w:ind w:right="950"/>
              <w:spacing w:after="0"/>
              <w:rPr>
                <w:sz w:val="20"/>
                <w:szCs w:val="20"/>
                <w:color w:val="auto"/>
              </w:rPr>
            </w:pPr>
            <w:r>
              <w:rPr>
                <w:rFonts w:ascii="Arial" w:cs="Arial" w:eastAsia="Arial" w:hAnsi="Arial"/>
                <w:sz w:val="18"/>
                <w:szCs w:val="18"/>
                <w:b w:val="1"/>
                <w:bCs w:val="1"/>
                <w:color w:val="auto"/>
                <w:w w:val="99"/>
              </w:rPr>
              <w:t>$</w:t>
            </w:r>
          </w:p>
        </w:tc>
        <w:tc>
          <w:tcPr>
            <w:tcW w:w="48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2,213</w:t>
            </w:r>
          </w:p>
        </w:tc>
      </w:tr>
      <w:tr>
        <w:trPr>
          <w:trHeight w:val="230"/>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Financial Liabilities:</w:t>
            </w: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4720" w:type="dxa"/>
            <w:vAlign w:val="bottom"/>
          </w:tcPr>
          <w:p>
            <w:pPr>
              <w:ind w:left="440"/>
              <w:spacing w:after="0"/>
              <w:rPr>
                <w:sz w:val="20"/>
                <w:szCs w:val="20"/>
                <w:color w:val="auto"/>
              </w:rPr>
            </w:pPr>
            <w:r>
              <w:rPr>
                <w:rFonts w:ascii="Arial" w:cs="Arial" w:eastAsia="Arial" w:hAnsi="Arial"/>
                <w:sz w:val="18"/>
                <w:szCs w:val="18"/>
                <w:color w:val="auto"/>
              </w:rPr>
              <w:t>Revolving credit facility</w:t>
            </w:r>
          </w:p>
        </w:tc>
        <w:tc>
          <w:tcPr>
            <w:tcW w:w="1160" w:type="dxa"/>
            <w:vAlign w:val="bottom"/>
          </w:tcPr>
          <w:p>
            <w:pPr>
              <w:jc w:val="right"/>
              <w:ind w:right="950"/>
              <w:spacing w:after="0"/>
              <w:rPr>
                <w:sz w:val="20"/>
                <w:szCs w:val="20"/>
                <w:color w:val="auto"/>
              </w:rPr>
            </w:pPr>
            <w:r>
              <w:rPr>
                <w:rFonts w:ascii="Arial" w:cs="Arial" w:eastAsia="Arial" w:hAnsi="Arial"/>
                <w:sz w:val="18"/>
                <w:szCs w:val="18"/>
                <w:b w:val="1"/>
                <w:bCs w:val="1"/>
                <w:color w:val="auto"/>
                <w:w w:val="99"/>
              </w:rPr>
              <w:t>$</w:t>
            </w:r>
          </w:p>
        </w:tc>
        <w:tc>
          <w:tcPr>
            <w:tcW w:w="48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375,000</w:t>
            </w:r>
          </w:p>
        </w:tc>
        <w:tc>
          <w:tcPr>
            <w:tcW w:w="100" w:type="dxa"/>
            <w:vAlign w:val="bottom"/>
          </w:tcPr>
          <w:p>
            <w:pPr>
              <w:spacing w:after="0"/>
              <w:rPr>
                <w:sz w:val="19"/>
                <w:szCs w:val="19"/>
                <w:color w:val="auto"/>
              </w:rPr>
            </w:pPr>
          </w:p>
        </w:tc>
        <w:tc>
          <w:tcPr>
            <w:tcW w:w="1160" w:type="dxa"/>
            <w:vAlign w:val="bottom"/>
          </w:tcPr>
          <w:p>
            <w:pPr>
              <w:jc w:val="right"/>
              <w:ind w:right="950"/>
              <w:spacing w:after="0"/>
              <w:rPr>
                <w:sz w:val="20"/>
                <w:szCs w:val="20"/>
                <w:color w:val="auto"/>
              </w:rPr>
            </w:pPr>
            <w:r>
              <w:rPr>
                <w:rFonts w:ascii="Arial" w:cs="Arial" w:eastAsia="Arial" w:hAnsi="Arial"/>
                <w:sz w:val="18"/>
                <w:szCs w:val="18"/>
                <w:b w:val="1"/>
                <w:bCs w:val="1"/>
                <w:color w:val="auto"/>
                <w:w w:val="99"/>
              </w:rPr>
              <w:t>$</w:t>
            </w:r>
          </w:p>
        </w:tc>
        <w:tc>
          <w:tcPr>
            <w:tcW w:w="48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375,000</w:t>
            </w:r>
          </w:p>
        </w:tc>
      </w:tr>
      <w:tr>
        <w:trPr>
          <w:trHeight w:val="229"/>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June 30, 2022</w:t>
            </w: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4720" w:type="dxa"/>
            <w:vAlign w:val="bottom"/>
          </w:tcPr>
          <w:p>
            <w:pPr>
              <w:ind w:left="180"/>
              <w:spacing w:after="0"/>
              <w:rPr>
                <w:sz w:val="20"/>
                <w:szCs w:val="20"/>
                <w:color w:val="auto"/>
              </w:rPr>
            </w:pPr>
            <w:r>
              <w:rPr>
                <w:rFonts w:ascii="Arial" w:cs="Arial" w:eastAsia="Arial" w:hAnsi="Arial"/>
                <w:sz w:val="18"/>
                <w:szCs w:val="18"/>
                <w:color w:val="auto"/>
              </w:rPr>
              <w:t>Financial Assets:</w:t>
            </w: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4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Certificates of Deposit</w:t>
            </w: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w:t>
            </w:r>
          </w:p>
        </w:tc>
      </w:tr>
      <w:tr>
        <w:trPr>
          <w:trHeight w:val="229"/>
        </w:trPr>
        <w:tc>
          <w:tcPr>
            <w:tcW w:w="4720" w:type="dxa"/>
            <w:vAlign w:val="bottom"/>
          </w:tcPr>
          <w:p>
            <w:pPr>
              <w:ind w:left="180"/>
              <w:spacing w:after="0"/>
              <w:rPr>
                <w:sz w:val="20"/>
                <w:szCs w:val="20"/>
                <w:color w:val="auto"/>
              </w:rPr>
            </w:pPr>
            <w:r>
              <w:rPr>
                <w:rFonts w:ascii="Arial" w:cs="Arial" w:eastAsia="Arial" w:hAnsi="Arial"/>
                <w:sz w:val="18"/>
                <w:szCs w:val="18"/>
                <w:color w:val="auto"/>
              </w:rPr>
              <w:t>Financial Liabilities:</w:t>
            </w: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4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Revolving credit facility</w:t>
            </w: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115,000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115,000</w:t>
            </w:r>
          </w:p>
        </w:tc>
      </w:tr>
    </w:tbl>
    <w:p>
      <w:pPr>
        <w:spacing w:after="0" w:line="22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NOTE 5.</w:t>
      </w:r>
      <w:r>
        <w:rPr>
          <w:sz w:val="20"/>
          <w:szCs w:val="20"/>
          <w:color w:val="auto"/>
        </w:rPr>
        <w:tab/>
      </w:r>
      <w:r>
        <w:rPr>
          <w:rFonts w:ascii="Arial" w:cs="Arial" w:eastAsia="Arial" w:hAnsi="Arial"/>
          <w:sz w:val="17"/>
          <w:szCs w:val="17"/>
          <w:color w:val="auto"/>
        </w:rPr>
        <w:t>LEASES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determines if an arrangement is a lease at inception. The lease term begins on the commencement date, which is the date the Company takes possession of the property and may include options to extend or terminate the lease when it is reasonably certain that the option will be exercised. Right-of-use (“ROU”) assets represent the Company’s right to use an underlying asset for the lease term and lease liabilities represent the Company’s obligation to make lease payments arising from the lease. Lease agreements with lease and non-lease components are accounted for as a single lease component for all asset classes, which are comprised of real estate leases and equipment leases. ROU assets and lease liabilities are recognized at the commencement date based on the present value of lease payments over the lease term. Since the Company’s leases do not typically provide an implicit rate, the Company uses its incremental borrowing rate based upon the information available at commencement date. The determination of the incremental borrowing rate requires judgment and is determined by using the Company’s current unsecured borrowing rate, adjusted for various factors such as collateralization and term to align with the terms of the lease.</w:t>
      </w:r>
    </w:p>
    <w:p>
      <w:pPr>
        <w:spacing w:after="0" w:line="14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leases certain office space, data centers, and equipment with remaining terms of 1 to 11 years. Certain leases contain renewal options for varying periods, which are at the Company’s sole discretion. For leases where the Company is reasonably certain to exercise a renewal option, such option periods have been included in the determination of the Company’s ROU assets and lease liabilities. Certain leases require the Company to pay taxes, insurance, maintenance, and other operating expenses associated with the leased asset. Such amounts are not included in the measurement of the lease liability to the extent they are variable in nature. Variable lease costs are recognized as a variable lease expense when incurred.</w:t>
      </w:r>
    </w:p>
    <w:p>
      <w:pPr>
        <w:spacing w:after="0" w:line="142"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At March 31, 2023, and June 30, 2022, the Company had operating lease assets of $40,867 and $46,869 and financing lease assets of $1 and $65, respectively. At March 31, 2023, total operating lease liabilities of $45,094 were comprised of current operating lease liabilities of $9,548 and noncurrent operating lease liabilities of $35,546. At March 31, 2023, total financing lease liabilities of $ 1 were all current liabilities. At June 30, 2022, total operating lease liabilities of $51,452 were comprised of current operating lease liabilities of $10,681 and noncurrent operating lease liabilities of $40,771. At June 30, 2022, total financing lease liabilities of $67 were all current financing lease liabilities.</w:t>
      </w:r>
    </w:p>
    <w:p>
      <w:pPr>
        <w:spacing w:after="0" w:line="1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lease assets are included within other non-current assets, and operating lease liabilities are included within accrued expenses (current portion) and other long-term liabilities (noncurrent portion) in the Company’s condensed consolidated balance sheet. Operating lease assets were recorded net of accumulated amortization of $36,611 and $ 31,006 as of March 31, 2023, and June 30, 2022, respectively. Financing lease assets are included within property and equipment, net, and financing lease liabilities are included within notes payable (current portion) and long-term debt (noncurrent portion) in the Company’s condensed consolidated balance sheet. Financing lease assets were recorded net of accumulated amortization of $310 and $255 as of March 31, 2023, and June 30, 2022, respectively.</w:t>
      </w:r>
    </w:p>
    <w:p>
      <w:pPr>
        <w:spacing w:after="0" w:line="14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Operating lease costs for the three months ended March 31, 2023, and 2022, were $2,903 and $3,182, respectively. Financing lease costs for the three months ended March 31, 2023, and 2022, were $15 and $25, respectively. Total</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jc w:val="both"/>
        <w:spacing w:after="0" w:line="257" w:lineRule="auto"/>
        <w:rPr>
          <w:sz w:val="20"/>
          <w:szCs w:val="20"/>
          <w:color w:val="auto"/>
        </w:rPr>
      </w:pPr>
      <w:r>
        <w:rPr>
          <w:rFonts w:ascii="Arial" w:cs="Arial" w:eastAsia="Arial" w:hAnsi="Arial"/>
          <w:sz w:val="18"/>
          <w:szCs w:val="18"/>
          <w:color w:val="auto"/>
        </w:rPr>
        <w:t>operating and financing lease costs for the respective quarters included variable lease costs of $851 and $640, respectively. Operating lease costs for the nine months ended March 31, 2023, and 2022, were $ 8,991 and $9,942, respectively. Financing lease costs for the nine months ended March 31, 2023, and 2022, were $56 and $80, respectively. Total operating and financing lease costs for the respective fiscal year-to-date periods included variable lease costs of $2,741 and $1,480, respectively. Operating and financing lease expense are included within cost of services, research and development, and selling, general and administrative expense, dependent upon the nature and use of the ROU asset, in the Company’s condensed consolidated statements of income.</w:t>
      </w:r>
    </w:p>
    <w:p>
      <w:pPr>
        <w:spacing w:after="0" w:line="14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nine months ended March 31, 2023, and 2022, the Company had operating cash flows for payments on operating leases of $9,230 and $9,947, and ROU assets obtained in exchange for operating lease liabilities of $2,354 and $1,985, respectively. Operating cash flows for interest paid on financing leases for the nine months ended March 31, 2023, and 2022, were $59 and $83, respectively.</w:t>
      </w:r>
    </w:p>
    <w:p>
      <w:pPr>
        <w:spacing w:after="0" w:line="13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March 31, 2023, and June 30, 2022, the weighted-average remaining lease term for the Company's operating leases was 71 months and 76 months, and the weighted-average discount rate was 2.59% and 2.58%, respectively. As of March 31, 2023, and June 30, 2022, the weighted-average remaining lease term for the Company's financing leases was 1 month and 9 months, respectively. The weighted-average discount rate for the Company's financing leases was 1.68% as of March 31, 2023, and 2.29% as of June 30, 2022.</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Maturity of Lease Liabilities under ASC 842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rental payments on operating leases with initial non-cancellable lease terms in excess of one year were due as follows at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March 31, 2023*:</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620" w:type="dxa"/>
            <w:vAlign w:val="bottom"/>
            <w:gridSpan w:val="2"/>
          </w:tcPr>
          <w:p>
            <w:pPr>
              <w:ind w:left="800"/>
              <w:spacing w:after="0"/>
              <w:rPr>
                <w:sz w:val="20"/>
                <w:szCs w:val="20"/>
                <w:color w:val="auto"/>
              </w:rPr>
            </w:pPr>
            <w:r>
              <w:rPr>
                <w:rFonts w:ascii="Arial" w:cs="Arial" w:eastAsia="Arial" w:hAnsi="Arial"/>
                <w:sz w:val="18"/>
                <w:szCs w:val="18"/>
                <w:color w:val="auto"/>
              </w:rPr>
              <w:t>Due Dates (fiscal year)</w:t>
            </w:r>
          </w:p>
        </w:tc>
        <w:tc>
          <w:tcPr>
            <w:tcW w:w="260" w:type="dxa"/>
            <w:vAlign w:val="bottom"/>
          </w:tcPr>
          <w:p>
            <w:pPr>
              <w:spacing w:after="0"/>
              <w:rPr>
                <w:sz w:val="20"/>
                <w:szCs w:val="20"/>
                <w:color w:val="auto"/>
              </w:rPr>
            </w:pPr>
          </w:p>
        </w:tc>
        <w:tc>
          <w:tcPr>
            <w:tcW w:w="3240" w:type="dxa"/>
            <w:vAlign w:val="bottom"/>
          </w:tcPr>
          <w:p>
            <w:pPr>
              <w:jc w:val="right"/>
              <w:ind w:right="290"/>
              <w:spacing w:after="0"/>
              <w:rPr>
                <w:sz w:val="20"/>
                <w:szCs w:val="20"/>
                <w:color w:val="auto"/>
              </w:rPr>
            </w:pPr>
            <w:r>
              <w:rPr>
                <w:rFonts w:ascii="Arial" w:cs="Arial" w:eastAsia="Arial" w:hAnsi="Arial"/>
                <w:sz w:val="18"/>
                <w:szCs w:val="18"/>
                <w:color w:val="auto"/>
              </w:rPr>
              <w:t>Future Minimum Rental Payments</w:t>
            </w:r>
          </w:p>
        </w:tc>
      </w:tr>
      <w:tr>
        <w:trPr>
          <w:trHeight w:val="250"/>
        </w:trPr>
        <w:tc>
          <w:tcPr>
            <w:tcW w:w="340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3240" w:type="dxa"/>
            <w:vAlign w:val="bottom"/>
            <w:tcBorders>
              <w:top w:val="single" w:sz="8" w:color="auto"/>
            </w:tcBorders>
          </w:tcPr>
          <w:p>
            <w:pPr>
              <w:spacing w:after="0"/>
              <w:rPr>
                <w:sz w:val="21"/>
                <w:szCs w:val="21"/>
                <w:color w:val="auto"/>
              </w:rPr>
            </w:pPr>
          </w:p>
        </w:tc>
      </w:tr>
      <w:tr>
        <w:trPr>
          <w:trHeight w:val="229"/>
        </w:trPr>
        <w:tc>
          <w:tcPr>
            <w:tcW w:w="3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2023 (remaining period)</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2,833</w:t>
            </w:r>
          </w:p>
        </w:tc>
      </w:tr>
      <w:tr>
        <w:trPr>
          <w:trHeight w:val="230"/>
        </w:trPr>
        <w:tc>
          <w:tcPr>
            <w:tcW w:w="3400" w:type="dxa"/>
            <w:vAlign w:val="bottom"/>
          </w:tcPr>
          <w:p>
            <w:pPr>
              <w:jc w:val="right"/>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40" w:type="dxa"/>
            <w:vAlign w:val="bottom"/>
          </w:tcPr>
          <w:p>
            <w:pPr>
              <w:jc w:val="right"/>
              <w:spacing w:after="0"/>
              <w:rPr>
                <w:sz w:val="20"/>
                <w:szCs w:val="20"/>
                <w:color w:val="auto"/>
              </w:rPr>
            </w:pPr>
            <w:r>
              <w:rPr>
                <w:rFonts w:ascii="Arial" w:cs="Arial" w:eastAsia="Arial" w:hAnsi="Arial"/>
                <w:sz w:val="18"/>
                <w:szCs w:val="18"/>
                <w:color w:val="auto"/>
              </w:rPr>
              <w:t>10,716</w:t>
            </w:r>
          </w:p>
        </w:tc>
      </w:tr>
      <w:tr>
        <w:trPr>
          <w:trHeight w:val="229"/>
        </w:trPr>
        <w:tc>
          <w:tcPr>
            <w:tcW w:w="3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7,973</w:t>
            </w:r>
          </w:p>
        </w:tc>
      </w:tr>
      <w:tr>
        <w:trPr>
          <w:trHeight w:val="230"/>
        </w:trPr>
        <w:tc>
          <w:tcPr>
            <w:tcW w:w="3400" w:type="dxa"/>
            <w:vAlign w:val="bottom"/>
          </w:tcPr>
          <w:p>
            <w:pPr>
              <w:jc w:val="right"/>
              <w:spacing w:after="0"/>
              <w:rPr>
                <w:sz w:val="20"/>
                <w:szCs w:val="20"/>
                <w:color w:val="auto"/>
              </w:rPr>
            </w:pPr>
            <w:r>
              <w:rPr>
                <w:rFonts w:ascii="Arial" w:cs="Arial" w:eastAsia="Arial" w:hAnsi="Arial"/>
                <w:sz w:val="18"/>
                <w:szCs w:val="18"/>
                <w:color w:val="auto"/>
              </w:rPr>
              <w:t>2026</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40" w:type="dxa"/>
            <w:vAlign w:val="bottom"/>
          </w:tcPr>
          <w:p>
            <w:pPr>
              <w:jc w:val="right"/>
              <w:spacing w:after="0"/>
              <w:rPr>
                <w:sz w:val="20"/>
                <w:szCs w:val="20"/>
                <w:color w:val="auto"/>
              </w:rPr>
            </w:pPr>
            <w:r>
              <w:rPr>
                <w:rFonts w:ascii="Arial" w:cs="Arial" w:eastAsia="Arial" w:hAnsi="Arial"/>
                <w:sz w:val="18"/>
                <w:szCs w:val="18"/>
                <w:color w:val="auto"/>
              </w:rPr>
              <w:t>7,068</w:t>
            </w:r>
          </w:p>
        </w:tc>
      </w:tr>
      <w:tr>
        <w:trPr>
          <w:trHeight w:val="230"/>
        </w:trPr>
        <w:tc>
          <w:tcPr>
            <w:tcW w:w="3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6,276</w:t>
            </w:r>
          </w:p>
        </w:tc>
      </w:tr>
      <w:tr>
        <w:trPr>
          <w:trHeight w:val="229"/>
        </w:trPr>
        <w:tc>
          <w:tcPr>
            <w:tcW w:w="362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14,296</w:t>
            </w:r>
          </w:p>
        </w:tc>
      </w:tr>
      <w:tr>
        <w:trPr>
          <w:trHeight w:val="223"/>
        </w:trPr>
        <w:tc>
          <w:tcPr>
            <w:tcW w:w="3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Total lease payments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49,162</w:t>
            </w:r>
          </w:p>
        </w:tc>
      </w:tr>
      <w:tr>
        <w:trPr>
          <w:trHeight w:val="230"/>
        </w:trPr>
        <w:tc>
          <w:tcPr>
            <w:tcW w:w="362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Less: interest</w:t>
            </w:r>
          </w:p>
        </w:tc>
        <w:tc>
          <w:tcPr>
            <w:tcW w:w="26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(4,068)</w:t>
            </w:r>
          </w:p>
        </w:tc>
      </w:tr>
      <w:tr>
        <w:trPr>
          <w:trHeight w:val="248"/>
        </w:trPr>
        <w:tc>
          <w:tcPr>
            <w:tcW w:w="3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Present value of lease liabilities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3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45,094</w:t>
            </w: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324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Financing leases were immaterial to the quarter, so a maturity of lease liabilities table has only been included for operating leases.</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Lease payments include $5,464 related to options to extend lease terms that are reasonably certain of being exercised. At March 31, 2023, there were $6,128 of legally binding lease payments for leases signed but not yet commenced.</w:t>
      </w:r>
    </w:p>
    <w:p>
      <w:pPr>
        <w:spacing w:after="0" w:line="27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NOTE 6.</w:t>
      </w:r>
      <w:r>
        <w:rPr>
          <w:sz w:val="20"/>
          <w:szCs w:val="20"/>
          <w:color w:val="auto"/>
        </w:rPr>
        <w:tab/>
      </w:r>
      <w:r>
        <w:rPr>
          <w:rFonts w:ascii="Arial" w:cs="Arial" w:eastAsia="Arial" w:hAnsi="Arial"/>
          <w:sz w:val="17"/>
          <w:szCs w:val="17"/>
          <w:color w:val="auto"/>
        </w:rPr>
        <w:t>DEBT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facilities</w:t>
      </w:r>
    </w:p>
    <w:p>
      <w:pPr>
        <w:spacing w:after="0" w:line="1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On August 31, 2022, the Company entered into a five-year senior, unsecured amended and restated credit agreement that replaced the prior credit facility described below. The credit agreement allows for borrowings of up to $600,000, which may be increased to $1,000,000 by the Company at any time until maturity. The credit agreement bears interest at a variable rate equal to (a) a rate based on an adjusted Secured Overnight Financing Rate ("SOFR") term rate or (b) an alternate base rate (the highest of (i) 0%, (ii) the Prime Rate for such day, (iii) the sum of the Federal Funds Effective Rate for such day </w:t>
      </w:r>
      <w:r>
        <w:rPr>
          <w:rFonts w:ascii="Arial" w:cs="Arial" w:eastAsia="Arial" w:hAnsi="Arial"/>
          <w:sz w:val="18"/>
          <w:szCs w:val="18"/>
          <w:i w:val="1"/>
          <w:iCs w:val="1"/>
          <w:color w:val="auto"/>
        </w:rPr>
        <w:t>plus</w:t>
      </w:r>
      <w:r>
        <w:rPr>
          <w:rFonts w:ascii="Arial" w:cs="Arial" w:eastAsia="Arial" w:hAnsi="Arial"/>
          <w:sz w:val="18"/>
          <w:szCs w:val="18"/>
          <w:color w:val="auto"/>
        </w:rPr>
        <w:t xml:space="preserve"> 0.50% per annum and (iv) the Adjusted Term SOFR Screen Rate (without giving effect to the Applicable Margin) for a one month Interest Period on such day for Dollars </w:t>
      </w:r>
      <w:r>
        <w:rPr>
          <w:rFonts w:ascii="Arial" w:cs="Arial" w:eastAsia="Arial" w:hAnsi="Arial"/>
          <w:sz w:val="18"/>
          <w:szCs w:val="18"/>
          <w:i w:val="1"/>
          <w:iCs w:val="1"/>
          <w:color w:val="auto"/>
        </w:rPr>
        <w:t>plus</w:t>
      </w:r>
      <w:r>
        <w:rPr>
          <w:rFonts w:ascii="Arial" w:cs="Arial" w:eastAsia="Arial" w:hAnsi="Arial"/>
          <w:sz w:val="18"/>
          <w:szCs w:val="18"/>
          <w:color w:val="auto"/>
        </w:rPr>
        <w:t xml:space="preserve"> 1.0%), plus an applicable percentage in each case determined by the Company's leverage ratio. The credit agreement is guaranteed by certain subsidiaries of the Company and is subject to various financial covenants that require the Company to maintain certain financial ratios as defined in the credit agreement. As of March 31, 2023, the Company was in compliance with all such covenants. The amended and restated credit facility terminates</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August 31, 2027. There was $375,000 outstanding under the amended and restated credit facility at March 31, 2023.</w:t>
      </w:r>
    </w:p>
    <w:p>
      <w:pPr>
        <w:spacing w:after="0" w:line="9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On June 30, 2022, there was a $115,000 outstanding balance on the prior credit facility that was entered into on February 10, 2020. The prior credit facility was a five-year senior, unsecured revolving credit facility. The prior credit facility allowed for borrowings of up to $300,000,</w:t>
      </w:r>
    </w:p>
    <w:p>
      <w:pPr>
        <w:jc w:val="both"/>
        <w:spacing w:after="0" w:line="226" w:lineRule="auto"/>
        <w:rPr>
          <w:sz w:val="20"/>
          <w:szCs w:val="20"/>
          <w:color w:val="auto"/>
        </w:rPr>
      </w:pPr>
      <w:r>
        <w:rPr>
          <w:rFonts w:ascii="Arial" w:cs="Arial" w:eastAsia="Arial" w:hAnsi="Arial"/>
          <w:sz w:val="18"/>
          <w:szCs w:val="18"/>
          <w:color w:val="auto"/>
        </w:rPr>
        <w:t>which could be increased by the Company to $700,000 at any time until maturity. The prior credit facility bore interest at a variable rate equal to (a) a rate based on a eurocurrency rate or (b) an alternate base rate (the highest of (i) 0%, (ii) the U.S. Bank prime rate for such day, (iii)</w:t>
      </w:r>
    </w:p>
    <w:p>
      <w:pPr>
        <w:spacing w:after="0" w:line="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the sum of the Federal Funds Effective Rate for such day plus 0.50% and (iv) the eurocurrency rate for a one-month interest period on such day for dollars </w:t>
      </w:r>
      <w:r>
        <w:rPr>
          <w:rFonts w:ascii="Arial" w:cs="Arial" w:eastAsia="Arial" w:hAnsi="Arial"/>
          <w:sz w:val="18"/>
          <w:szCs w:val="18"/>
          <w:i w:val="1"/>
          <w:iCs w:val="1"/>
          <w:color w:val="auto"/>
        </w:rPr>
        <w:t>plus</w:t>
      </w:r>
      <w:r>
        <w:rPr>
          <w:rFonts w:ascii="Arial" w:cs="Arial" w:eastAsia="Arial" w:hAnsi="Arial"/>
          <w:sz w:val="18"/>
          <w:szCs w:val="18"/>
          <w:color w:val="auto"/>
        </w:rPr>
        <w:t xml:space="preserve"> 1.0%), plus an applicable percentage in each case determined by the Company's leverage ratio. The prior credit facility was guaranteed by certain subsidiaries of the Company and was subject to various financial covenants that required the Company to maintain certain financial ratios as defined in the prior credit agreement. As of June 30, 2022, the Company was in compliance with all such covenants. The prior credit facility's termination date was February 10, 2025.</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lines of credit</w:t>
      </w:r>
    </w:p>
    <w:p>
      <w:pPr>
        <w:spacing w:after="0" w:line="4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has an unsecured bank credit line which provides for funding of up to $5,000 and bears interest at the prime rate less 1%. The credit line expires on April 30, 2024. There was no balance outstanding at March 31, 2023, or June 30, 2022.</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The Company paid interest of $6,871 and $1,235 during the nine months ended March 31, 2023, and 2022, respectively.</w:t>
      </w:r>
    </w:p>
    <w:p>
      <w:pPr>
        <w:spacing w:after="0" w:line="15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NOTE 7.</w:t>
      </w:r>
      <w:r>
        <w:rPr>
          <w:sz w:val="20"/>
          <w:szCs w:val="20"/>
          <w:color w:val="auto"/>
        </w:rPr>
        <w:tab/>
      </w:r>
      <w:r>
        <w:rPr>
          <w:rFonts w:ascii="Arial" w:cs="Arial" w:eastAsia="Arial" w:hAnsi="Arial"/>
          <w:sz w:val="17"/>
          <w:szCs w:val="17"/>
          <w:color w:val="auto"/>
        </w:rPr>
        <w:t>INCOME TAXES</w:t>
      </w:r>
    </w:p>
    <w:p>
      <w:pPr>
        <w:spacing w:after="0" w:line="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effective tax rate decreased for the three months ended March 31, 2023, compared to the three months ended March 31, 2022, with an effective tax rate of 23.2% of income before income taxes, compared to 23.6% in the prior fiscal year quarter. The decrease in the effective tax rate was primarily due to greater benefits received from tax credits during the current fiscal year quarter.</w:t>
      </w:r>
    </w:p>
    <w:p>
      <w:pPr>
        <w:spacing w:after="0" w:line="4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the nine months ended March 31, 2023, the effective tax rate decreased compared to the nine months ended March 31, 2022, with an effective tax rate of 23.3% of income before taxes, compared to 23.5% for the same period last fiscal year.</w:t>
      </w:r>
    </w:p>
    <w:p>
      <w:pPr>
        <w:ind w:right="40"/>
        <w:spacing w:after="0" w:line="242" w:lineRule="auto"/>
        <w:rPr>
          <w:sz w:val="20"/>
          <w:szCs w:val="20"/>
          <w:color w:val="auto"/>
        </w:rPr>
      </w:pPr>
      <w:r>
        <w:rPr>
          <w:rFonts w:ascii="Arial" w:cs="Arial" w:eastAsia="Arial" w:hAnsi="Arial"/>
          <w:sz w:val="18"/>
          <w:szCs w:val="18"/>
          <w:color w:val="auto"/>
        </w:rPr>
        <w:t>The Company paid income taxes, net of refunds, of $103,251 and $ 44,245 in the nine months ended March 31, 2023 and 2022, respectively. The increase in cash taxes paid is the result of certain law changes included in the Tax Cuts and Jobs Act of 2017 effective in the current fiscal year.</w:t>
      </w:r>
    </w:p>
    <w:p>
      <w:pPr>
        <w:spacing w:after="0" w:line="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At March 31, 2023, the Company had $10,905 of gross unrecognized tax benefits before interest and penalties, $9,702 of which, if recognized, would affect our effective tax rate. The Company had accrued interest and penalties of $1,635 and $1,542 related to uncertain tax positions at March 31, 2023, and 2022, respectively.</w:t>
      </w:r>
    </w:p>
    <w:p>
      <w:pPr>
        <w:spacing w:after="0" w:line="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U.S. federal income tax returns for fiscal 2019 and all subsequent years remain subject to examination as of March 31, 2023, under statute of limitations rules. The U.S. state income tax returns that remain subject to examination as of March 31, 2023, under the statute of limitation rules varies by state jurisdiction from fiscal 2016 through 2019 and all subsequent years. The Company anticipates potential changes due to lapsing of statutes of limitations, and examination closures could reduce the unrecognized tax benefits balance by $1,500 to $3,500 within twelve months of March 31, 2023.</w:t>
      </w:r>
    </w:p>
    <w:p>
      <w:pPr>
        <w:spacing w:after="0" w:line="11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NOTE 8.</w:t>
      </w:r>
      <w:r>
        <w:rPr>
          <w:sz w:val="20"/>
          <w:szCs w:val="20"/>
          <w:color w:val="auto"/>
        </w:rPr>
        <w:tab/>
      </w:r>
      <w:r>
        <w:rPr>
          <w:rFonts w:ascii="Arial" w:cs="Arial" w:eastAsia="Arial" w:hAnsi="Arial"/>
          <w:sz w:val="17"/>
          <w:szCs w:val="17"/>
          <w:color w:val="auto"/>
        </w:rPr>
        <w:t>STOCK-BASED COMPENSATION</w:t>
      </w:r>
    </w:p>
    <w:p>
      <w:pPr>
        <w:spacing w:after="0" w:line="9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Our operating income for the three months ended March 31, 2023, and 2022, included $6,915 and $6,276 of stock-based compensation costs, respectively. Our operating income for the nine months ended March 31, 2023, and 2022, included $21,459 and $19,303 of stock-based compensation costs, respectively.</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November 10, 2015, the Company adopted the 2015 Equity Incentive Plan ("2015 EIP") for its employees and non -employee directors. The plan allows for grants of stock options, stock appreciation rights, restricted stock shares or units, and performance shares or units. The maximum number of shares authorized for issuance under the plan is 3,000. For stock options, terms and vesting periods of the options are determined by the Compensation Committee of the Board of Directors when granted. The option period must expire not more than ten years from the option grant date. The options granted under this plan are exercisable beginning three years after the grant date at an exercise price equal to 100% of the fair market value of the stock at the grant date. The options terminate upon</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surrender of the option, ninety days after termination of employment, upon the expiration of one year following notification of a deceased optionee, or ten years after grant.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A summary of option plan activity under this plan is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gridSpan w:val="3"/>
            <w:vMerge w:val="restart"/>
          </w:tcPr>
          <w:p>
            <w:pPr>
              <w:jc w:val="center"/>
              <w:ind w:right="100"/>
              <w:spacing w:after="0"/>
              <w:rPr>
                <w:sz w:val="20"/>
                <w:szCs w:val="20"/>
                <w:color w:val="auto"/>
              </w:rPr>
            </w:pPr>
            <w:r>
              <w:rPr>
                <w:rFonts w:ascii="Arial" w:cs="Arial" w:eastAsia="Arial" w:hAnsi="Arial"/>
                <w:sz w:val="18"/>
                <w:szCs w:val="18"/>
                <w:b w:val="1"/>
                <w:bCs w:val="1"/>
                <w:color w:val="auto"/>
                <w:w w:val="99"/>
              </w:rPr>
              <w:t>Weighted Average</w:t>
            </w:r>
          </w:p>
        </w:tc>
        <w:tc>
          <w:tcPr>
            <w:tcW w:w="280" w:type="dxa"/>
            <w:vAlign w:val="bottom"/>
          </w:tcPr>
          <w:p>
            <w:pPr>
              <w:spacing w:after="0"/>
              <w:rPr>
                <w:sz w:val="17"/>
                <w:szCs w:val="17"/>
                <w:color w:val="auto"/>
              </w:rPr>
            </w:pPr>
          </w:p>
        </w:tc>
        <w:tc>
          <w:tcPr>
            <w:tcW w:w="1500" w:type="dxa"/>
            <w:vAlign w:val="bottom"/>
          </w:tcPr>
          <w:p>
            <w:pPr>
              <w:jc w:val="center"/>
              <w:ind w:right="190"/>
              <w:spacing w:after="0"/>
              <w:rPr>
                <w:sz w:val="20"/>
                <w:szCs w:val="20"/>
                <w:color w:val="auto"/>
              </w:rPr>
            </w:pPr>
            <w:r>
              <w:rPr>
                <w:rFonts w:ascii="Arial" w:cs="Arial" w:eastAsia="Arial" w:hAnsi="Arial"/>
                <w:sz w:val="18"/>
                <w:szCs w:val="18"/>
                <w:b w:val="1"/>
                <w:bCs w:val="1"/>
                <w:color w:val="auto"/>
              </w:rPr>
              <w:t>Aggregate</w:t>
            </w:r>
          </w:p>
        </w:tc>
        <w:tc>
          <w:tcPr>
            <w:tcW w:w="0" w:type="dxa"/>
            <w:vAlign w:val="bottom"/>
          </w:tcPr>
          <w:p>
            <w:pPr>
              <w:spacing w:after="0"/>
              <w:rPr>
                <w:sz w:val="1"/>
                <w:szCs w:val="1"/>
                <w:color w:val="auto"/>
              </w:rPr>
            </w:pPr>
          </w:p>
        </w:tc>
      </w:tr>
      <w:tr>
        <w:trPr>
          <w:trHeight w:val="176"/>
        </w:trPr>
        <w:tc>
          <w:tcPr>
            <w:tcW w:w="5780" w:type="dxa"/>
            <w:vAlign w:val="bottom"/>
          </w:tcPr>
          <w:p>
            <w:pPr>
              <w:spacing w:after="0"/>
              <w:rPr>
                <w:sz w:val="15"/>
                <w:szCs w:val="15"/>
                <w:color w:val="auto"/>
              </w:rPr>
            </w:pPr>
          </w:p>
        </w:tc>
        <w:tc>
          <w:tcPr>
            <w:tcW w:w="17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Number of Shares</w:t>
            </w:r>
          </w:p>
        </w:tc>
        <w:tc>
          <w:tcPr>
            <w:tcW w:w="100" w:type="dxa"/>
            <w:vAlign w:val="bottom"/>
          </w:tcPr>
          <w:p>
            <w:pPr>
              <w:spacing w:after="0"/>
              <w:rPr>
                <w:sz w:val="15"/>
                <w:szCs w:val="15"/>
                <w:color w:val="auto"/>
              </w:rPr>
            </w:pPr>
          </w:p>
        </w:tc>
        <w:tc>
          <w:tcPr>
            <w:tcW w:w="182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tcPr>
          <w:p>
            <w:pPr>
              <w:jc w:val="center"/>
              <w:ind w:right="150"/>
              <w:spacing w:after="0" w:line="176" w:lineRule="exact"/>
              <w:rPr>
                <w:sz w:val="20"/>
                <w:szCs w:val="20"/>
                <w:color w:val="auto"/>
              </w:rPr>
            </w:pPr>
            <w:r>
              <w:rPr>
                <w:rFonts w:ascii="Arial" w:cs="Arial" w:eastAsia="Arial" w:hAnsi="Arial"/>
                <w:sz w:val="18"/>
                <w:szCs w:val="18"/>
                <w:b w:val="1"/>
                <w:bCs w:val="1"/>
                <w:color w:val="auto"/>
                <w:w w:val="99"/>
              </w:rPr>
              <w:t>Intrinsic</w:t>
            </w:r>
          </w:p>
        </w:tc>
        <w:tc>
          <w:tcPr>
            <w:tcW w:w="0" w:type="dxa"/>
            <w:vAlign w:val="bottom"/>
          </w:tcPr>
          <w:p>
            <w:pPr>
              <w:spacing w:after="0"/>
              <w:rPr>
                <w:sz w:val="1"/>
                <w:szCs w:val="1"/>
                <w:color w:val="auto"/>
              </w:rPr>
            </w:pPr>
          </w:p>
        </w:tc>
      </w:tr>
      <w:tr>
        <w:trPr>
          <w:trHeight w:val="243"/>
        </w:trPr>
        <w:tc>
          <w:tcPr>
            <w:tcW w:w="5780" w:type="dxa"/>
            <w:vAlign w:val="bottom"/>
            <w:vMerge w:val="restart"/>
          </w:tcPr>
          <w:p>
            <w:pPr>
              <w:ind w:left="20"/>
              <w:spacing w:after="0"/>
              <w:rPr>
                <w:sz w:val="20"/>
                <w:szCs w:val="20"/>
                <w:color w:val="auto"/>
              </w:rPr>
            </w:pPr>
            <w:r>
              <w:rPr>
                <w:rFonts w:ascii="Arial" w:cs="Arial" w:eastAsia="Arial" w:hAnsi="Arial"/>
                <w:sz w:val="18"/>
                <w:szCs w:val="18"/>
                <w:color w:val="auto"/>
              </w:rPr>
              <w:t>Outstanding July 1, 2022</w:t>
            </w:r>
          </w:p>
        </w:tc>
        <w:tc>
          <w:tcPr>
            <w:tcW w:w="17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Exercise Price</w:t>
            </w:r>
          </w:p>
        </w:tc>
        <w:tc>
          <w:tcPr>
            <w:tcW w:w="280" w:type="dxa"/>
            <w:vAlign w:val="bottom"/>
          </w:tcPr>
          <w:p>
            <w:pPr>
              <w:spacing w:after="0"/>
              <w:rPr>
                <w:sz w:val="21"/>
                <w:szCs w:val="21"/>
                <w:color w:val="auto"/>
              </w:rPr>
            </w:pPr>
          </w:p>
        </w:tc>
        <w:tc>
          <w:tcPr>
            <w:tcW w:w="1500" w:type="dxa"/>
            <w:vAlign w:val="bottom"/>
          </w:tcPr>
          <w:p>
            <w:pPr>
              <w:jc w:val="center"/>
              <w:ind w:right="150"/>
              <w:spacing w:after="0"/>
              <w:rPr>
                <w:sz w:val="20"/>
                <w:szCs w:val="20"/>
                <w:color w:val="auto"/>
              </w:rPr>
            </w:pPr>
            <w:r>
              <w:rPr>
                <w:rFonts w:ascii="Arial" w:cs="Arial" w:eastAsia="Arial" w:hAnsi="Arial"/>
                <w:sz w:val="18"/>
                <w:szCs w:val="18"/>
                <w:b w:val="1"/>
                <w:bCs w:val="1"/>
                <w:color w:val="auto"/>
                <w:w w:val="95"/>
              </w:rPr>
              <w:t>Value</w:t>
            </w:r>
          </w:p>
        </w:tc>
        <w:tc>
          <w:tcPr>
            <w:tcW w:w="0" w:type="dxa"/>
            <w:vAlign w:val="bottom"/>
          </w:tcPr>
          <w:p>
            <w:pPr>
              <w:spacing w:after="0"/>
              <w:rPr>
                <w:sz w:val="1"/>
                <w:szCs w:val="1"/>
                <w:color w:val="auto"/>
              </w:rPr>
            </w:pPr>
          </w:p>
        </w:tc>
      </w:tr>
      <w:tr>
        <w:trPr>
          <w:trHeight w:val="223"/>
        </w:trPr>
        <w:tc>
          <w:tcPr>
            <w:tcW w:w="5780" w:type="dxa"/>
            <w:vAlign w:val="bottom"/>
            <w:vMerge w:val="continue"/>
          </w:tcPr>
          <w:p>
            <w:pPr>
              <w:spacing w:after="0"/>
              <w:rPr>
                <w:sz w:val="19"/>
                <w:szCs w:val="19"/>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87.27</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80" w:type="dxa"/>
            <w:vAlign w:val="bottom"/>
          </w:tcPr>
          <w:p>
            <w:pPr>
              <w:ind w:left="20"/>
              <w:spacing w:after="0"/>
              <w:rPr>
                <w:sz w:val="20"/>
                <w:szCs w:val="20"/>
                <w:color w:val="auto"/>
              </w:rPr>
            </w:pPr>
            <w:r>
              <w:rPr>
                <w:rFonts w:ascii="Arial" w:cs="Arial" w:eastAsia="Arial" w:hAnsi="Arial"/>
                <w:sz w:val="18"/>
                <w:szCs w:val="18"/>
                <w:b w:val="1"/>
                <w:bCs w:val="1"/>
                <w:color w:val="auto"/>
              </w:rPr>
              <w:t>Outstanding March 31, 2023</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87.27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741</w:t>
            </w:r>
          </w:p>
        </w:tc>
        <w:tc>
          <w:tcPr>
            <w:tcW w:w="0" w:type="dxa"/>
            <w:vAlign w:val="bottom"/>
          </w:tcPr>
          <w:p>
            <w:pPr>
              <w:spacing w:after="0"/>
              <w:rPr>
                <w:sz w:val="1"/>
                <w:szCs w:val="1"/>
                <w:color w:val="auto"/>
              </w:rPr>
            </w:pP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Vested and Expected to Vest March 31, 2023</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741</w:t>
            </w:r>
          </w:p>
        </w:tc>
        <w:tc>
          <w:tcPr>
            <w:tcW w:w="0" w:type="dxa"/>
            <w:vAlign w:val="bottom"/>
          </w:tcPr>
          <w:p>
            <w:pPr>
              <w:spacing w:after="0"/>
              <w:rPr>
                <w:sz w:val="1"/>
                <w:szCs w:val="1"/>
                <w:color w:val="auto"/>
              </w:rPr>
            </w:pPr>
          </w:p>
        </w:tc>
      </w:tr>
      <w:tr>
        <w:trPr>
          <w:trHeight w:val="247"/>
        </w:trPr>
        <w:tc>
          <w:tcPr>
            <w:tcW w:w="5780" w:type="dxa"/>
            <w:vAlign w:val="bottom"/>
          </w:tcPr>
          <w:p>
            <w:pPr>
              <w:ind w:left="20"/>
              <w:spacing w:after="0"/>
              <w:rPr>
                <w:sz w:val="20"/>
                <w:szCs w:val="20"/>
                <w:color w:val="auto"/>
              </w:rPr>
            </w:pPr>
            <w:r>
              <w:rPr>
                <w:rFonts w:ascii="Arial" w:cs="Arial" w:eastAsia="Arial" w:hAnsi="Arial"/>
                <w:sz w:val="18"/>
                <w:szCs w:val="18"/>
                <w:b w:val="1"/>
                <w:bCs w:val="1"/>
                <w:color w:val="auto"/>
              </w:rPr>
              <w:t>Exercisable March 31, 2023</w:t>
            </w: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87.27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741</w:t>
            </w: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At March 31, 2023, there was no compensation cost yet to be recognized related to outstanding options. For options currently exercisable, the weighted average remaining contractual term (remaining period of exercisability) as of March 31, 2023, was 3.25 years.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 Awards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The Company issues unit awards under the 2015 EIP. The following table summarizes non-vested restricted stock unit awards as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March 31, 2023:</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Unit awards</w:t>
            </w:r>
          </w:p>
        </w:tc>
        <w:tc>
          <w:tcPr>
            <w:tcW w:w="1900" w:type="dxa"/>
            <w:vAlign w:val="bottom"/>
            <w:vMerge w:val="restart"/>
          </w:tcPr>
          <w:p>
            <w:pPr>
              <w:jc w:val="right"/>
              <w:ind w:right="630"/>
              <w:spacing w:after="0"/>
              <w:rPr>
                <w:sz w:val="20"/>
                <w:szCs w:val="20"/>
                <w:color w:val="auto"/>
              </w:rPr>
            </w:pPr>
            <w:r>
              <w:rPr>
                <w:rFonts w:ascii="Arial" w:cs="Arial" w:eastAsia="Arial" w:hAnsi="Arial"/>
                <w:sz w:val="18"/>
                <w:szCs w:val="18"/>
                <w:b w:val="1"/>
                <w:bCs w:val="1"/>
                <w:color w:val="auto"/>
              </w:rPr>
              <w:t>Units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60" w:type="dxa"/>
            <w:vAlign w:val="bottom"/>
          </w:tcPr>
          <w:p>
            <w:pPr>
              <w:jc w:val="right"/>
              <w:ind w:right="130"/>
              <w:spacing w:after="0"/>
              <w:rPr>
                <w:sz w:val="20"/>
                <w:szCs w:val="20"/>
                <w:color w:val="auto"/>
              </w:rPr>
            </w:pPr>
            <w:r>
              <w:rPr>
                <w:rFonts w:ascii="Arial" w:cs="Arial" w:eastAsia="Arial" w:hAnsi="Arial"/>
                <w:sz w:val="18"/>
                <w:szCs w:val="18"/>
                <w:b w:val="1"/>
                <w:bCs w:val="1"/>
                <w:color w:val="auto"/>
              </w:rPr>
              <w:t>Weighted Average Grant</w:t>
            </w:r>
          </w:p>
        </w:tc>
        <w:tc>
          <w:tcPr>
            <w:tcW w:w="1860" w:type="dxa"/>
            <w:vAlign w:val="bottom"/>
            <w:gridSpan w:val="2"/>
          </w:tcPr>
          <w:p>
            <w:pPr>
              <w:jc w:val="right"/>
              <w:spacing w:after="0"/>
              <w:rPr>
                <w:sz w:val="20"/>
                <w:szCs w:val="20"/>
                <w:color w:val="auto"/>
              </w:rPr>
            </w:pPr>
            <w:r>
              <w:rPr>
                <w:rFonts w:ascii="Arial" w:cs="Arial" w:eastAsia="Arial" w:hAnsi="Arial"/>
                <w:sz w:val="18"/>
                <w:szCs w:val="18"/>
                <w:b w:val="1"/>
                <w:bCs w:val="1"/>
                <w:color w:val="auto"/>
              </w:rPr>
              <w:t>Aggregate Intrinsic</w:t>
            </w:r>
          </w:p>
        </w:tc>
        <w:tc>
          <w:tcPr>
            <w:tcW w:w="0" w:type="dxa"/>
            <w:vAlign w:val="bottom"/>
          </w:tcPr>
          <w:p>
            <w:pPr>
              <w:spacing w:after="0"/>
              <w:rPr>
                <w:sz w:val="1"/>
                <w:szCs w:val="1"/>
                <w:color w:val="auto"/>
              </w:rPr>
            </w:pPr>
          </w:p>
        </w:tc>
      </w:tr>
      <w:tr>
        <w:trPr>
          <w:trHeight w:val="235"/>
        </w:trPr>
        <w:tc>
          <w:tcPr>
            <w:tcW w:w="4860" w:type="dxa"/>
            <w:vAlign w:val="bottom"/>
            <w:gridSpan w:val="2"/>
            <w:vMerge w:val="continue"/>
          </w:tcPr>
          <w:p>
            <w:pPr>
              <w:spacing w:after="0"/>
              <w:rPr>
                <w:sz w:val="20"/>
                <w:szCs w:val="20"/>
                <w:color w:val="auto"/>
              </w:rPr>
            </w:pPr>
          </w:p>
        </w:tc>
        <w:tc>
          <w:tcPr>
            <w:tcW w:w="19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60" w:type="dxa"/>
            <w:vAlign w:val="bottom"/>
          </w:tcPr>
          <w:p>
            <w:pPr>
              <w:jc w:val="right"/>
              <w:ind w:right="530"/>
              <w:spacing w:after="0"/>
              <w:rPr>
                <w:sz w:val="20"/>
                <w:szCs w:val="20"/>
                <w:color w:val="auto"/>
              </w:rPr>
            </w:pPr>
            <w:r>
              <w:rPr>
                <w:rFonts w:ascii="Arial" w:cs="Arial" w:eastAsia="Arial" w:hAnsi="Arial"/>
                <w:sz w:val="18"/>
                <w:szCs w:val="18"/>
                <w:b w:val="1"/>
                <w:bCs w:val="1"/>
                <w:color w:val="auto"/>
              </w:rPr>
              <w:t>Date Fair Value</w:t>
            </w:r>
          </w:p>
        </w:tc>
        <w:tc>
          <w:tcPr>
            <w:tcW w:w="460" w:type="dxa"/>
            <w:vAlign w:val="bottom"/>
          </w:tcPr>
          <w:p>
            <w:pPr>
              <w:spacing w:after="0"/>
              <w:rPr>
                <w:sz w:val="20"/>
                <w:szCs w:val="20"/>
                <w:color w:val="auto"/>
              </w:rPr>
            </w:pPr>
          </w:p>
        </w:tc>
        <w:tc>
          <w:tcPr>
            <w:tcW w:w="1400" w:type="dxa"/>
            <w:vAlign w:val="bottom"/>
          </w:tcPr>
          <w:p>
            <w:pPr>
              <w:jc w:val="right"/>
              <w:ind w:right="57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23"/>
        </w:trPr>
        <w:tc>
          <w:tcPr>
            <w:tcW w:w="4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July 1, 2022</w:t>
            </w:r>
          </w:p>
        </w:tc>
        <w:tc>
          <w:tcPr>
            <w:tcW w:w="8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center"/>
              <w:ind w:left="1350"/>
              <w:spacing w:after="0"/>
              <w:rPr>
                <w:sz w:val="20"/>
                <w:szCs w:val="20"/>
                <w:color w:val="auto"/>
              </w:rPr>
            </w:pPr>
            <w:r>
              <w:rPr>
                <w:rFonts w:ascii="Arial" w:cs="Arial" w:eastAsia="Arial" w:hAnsi="Arial"/>
                <w:sz w:val="18"/>
                <w:szCs w:val="18"/>
                <w:color w:val="auto"/>
                <w:w w:val="99"/>
              </w:rPr>
              <w:t>303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3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166.50</w:t>
            </w:r>
          </w:p>
        </w:tc>
        <w:tc>
          <w:tcPr>
            <w:tcW w:w="46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1900" w:type="dxa"/>
            <w:vAlign w:val="bottom"/>
          </w:tcPr>
          <w:p>
            <w:pPr>
              <w:jc w:val="center"/>
              <w:ind w:left="1350"/>
              <w:spacing w:after="0"/>
              <w:rPr>
                <w:sz w:val="20"/>
                <w:szCs w:val="20"/>
                <w:color w:val="auto"/>
              </w:rPr>
            </w:pPr>
            <w:r>
              <w:rPr>
                <w:rFonts w:ascii="Arial" w:cs="Arial" w:eastAsia="Arial" w:hAnsi="Arial"/>
                <w:sz w:val="18"/>
                <w:szCs w:val="18"/>
                <w:color w:val="auto"/>
                <w:w w:val="99"/>
              </w:rPr>
              <w:t>136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60" w:type="dxa"/>
            <w:vAlign w:val="bottom"/>
          </w:tcPr>
          <w:p>
            <w:pPr>
              <w:jc w:val="right"/>
              <w:ind w:right="10"/>
              <w:spacing w:after="0"/>
              <w:rPr>
                <w:sz w:val="20"/>
                <w:szCs w:val="20"/>
                <w:color w:val="auto"/>
              </w:rPr>
            </w:pPr>
            <w:r>
              <w:rPr>
                <w:rFonts w:ascii="Arial" w:cs="Arial" w:eastAsia="Arial" w:hAnsi="Arial"/>
                <w:sz w:val="18"/>
                <w:szCs w:val="18"/>
                <w:color w:val="auto"/>
              </w:rPr>
              <w:t>214.91</w:t>
            </w:r>
          </w:p>
        </w:tc>
        <w:tc>
          <w:tcPr>
            <w:tcW w:w="4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900" w:type="dxa"/>
            <w:vAlign w:val="bottom"/>
            <w:shd w:val="clear" w:color="auto" w:fill="CCEEFF"/>
          </w:tcPr>
          <w:p>
            <w:pPr>
              <w:jc w:val="center"/>
              <w:ind w:left="1350"/>
              <w:spacing w:after="0"/>
              <w:rPr>
                <w:sz w:val="20"/>
                <w:szCs w:val="20"/>
                <w:color w:val="auto"/>
              </w:rPr>
            </w:pPr>
            <w:r>
              <w:rPr>
                <w:rFonts w:ascii="Arial" w:cs="Arial" w:eastAsia="Arial" w:hAnsi="Arial"/>
                <w:sz w:val="18"/>
                <w:szCs w:val="18"/>
                <w:color w:val="auto"/>
                <w:w w:val="99"/>
              </w:rPr>
              <w:t>(116)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158.37</w:t>
            </w: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Forfeited</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36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186.82</w:t>
            </w:r>
          </w:p>
        </w:tc>
        <w:tc>
          <w:tcPr>
            <w:tcW w:w="46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March 31, 2023</w:t>
            </w:r>
          </w:p>
        </w:tc>
        <w:tc>
          <w:tcPr>
            <w:tcW w:w="1900" w:type="dxa"/>
            <w:vAlign w:val="bottom"/>
            <w:tcBorders>
              <w:bottom w:val="single" w:sz="8" w:color="auto"/>
            </w:tcBorders>
            <w:shd w:val="clear" w:color="auto" w:fill="CCEEFF"/>
          </w:tcPr>
          <w:p>
            <w:pPr>
              <w:jc w:val="center"/>
              <w:ind w:left="1350"/>
              <w:spacing w:after="0"/>
              <w:rPr>
                <w:sz w:val="20"/>
                <w:szCs w:val="20"/>
                <w:color w:val="auto"/>
              </w:rPr>
            </w:pPr>
            <w:r>
              <w:rPr>
                <w:rFonts w:ascii="Arial" w:cs="Arial" w:eastAsia="Arial" w:hAnsi="Arial"/>
                <w:sz w:val="18"/>
                <w:szCs w:val="18"/>
                <w:b w:val="1"/>
                <w:bCs w:val="1"/>
                <w:color w:val="auto"/>
                <w:w w:val="99"/>
              </w:rPr>
              <w:t>309</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189.92</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46,546</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136 unit awards granted in fiscal 2023 had service requirements and performance measures, with 90 only having service requirements. The unit awards with only service requirements were valued at the weighted average fair value of the non-vested units based on the fair market value of the Company’s equity shares on the grant date, less the present value of expected future dividends to be declared during the vesting period, consistent with the methodology for calculating compensation expense on such awards.</w:t>
      </w:r>
    </w:p>
    <w:p>
      <w:pPr>
        <w:spacing w:after="0" w:line="4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remaining 46 unit awards granted in fiscal 2023 have performance measures along with service requirements. 17 of these performance and service requirement unit awards were valued at grant by estimating 100% payout at release and using the fair market value of the Company equity shares on the grant date, less the present value of expected future dividends to be declared during the vesting period. The payout at release of approximately half of these unit awards will be determined based on the Company's compound annual growth rate for revenue (excluding adjustments) for the three-year vesting period compared against goal thresholds as defined in the award agreement. The performance payout at release of the other half of these unit awards will be determined based on the expansion of the Company's non-GAAP operating margin over the three-year vesting period compared against goal thresholds as defined in the award agreement. 25 of these performance and service requirement unit awards were valued at grant using a Monte Carlo pricing model as of the measurement date customized to the specific provisions of the Company’s plan design. The remaining 4 performance and service requirement unit awards had other performance targets. Per the Company's award vesting and settlement provisions, the awards that utilize a Monte Carlo pricing model were valued at grant on the basis of Total Shareholder Return ("TSR") in comparison to the compensation peer group made up of participants approved by the Compensation Committee of the Company's Board of Directors for fiscal year 2023. The Monte Carlo inputs used in the model to estimate fair value at the measurement date and resulting values for these performance unit awards are as follows.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Monte Carlo award inputs:</w:t>
            </w:r>
          </w:p>
        </w:tc>
        <w:tc>
          <w:tcPr>
            <w:tcW w:w="39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Fiscal 2023</w:t>
            </w:r>
          </w:p>
        </w:tc>
      </w:tr>
      <w:tr>
        <w:trPr>
          <w:trHeight w:val="229"/>
        </w:trPr>
        <w:tc>
          <w:tcPr>
            <w:tcW w:w="20" w:type="dxa"/>
            <w:vAlign w:val="bottom"/>
            <w:tcBorders>
              <w:top w:val="single" w:sz="8" w:color="CCEEFF"/>
            </w:tcBorders>
          </w:tcPr>
          <w:p>
            <w:pPr>
              <w:spacing w:after="0"/>
              <w:rPr>
                <w:sz w:val="19"/>
                <w:szCs w:val="19"/>
                <w:color w:val="auto"/>
              </w:rPr>
            </w:pPr>
          </w:p>
        </w:tc>
        <w:tc>
          <w:tcPr>
            <w:tcW w:w="2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Compensation Peer Group:</w:t>
            </w:r>
          </w:p>
        </w:tc>
        <w:tc>
          <w:tcPr>
            <w:tcW w:w="5020" w:type="dxa"/>
            <w:vAlign w:val="bottom"/>
            <w:tcBorders>
              <w:top w:val="single" w:sz="8" w:color="CCEEFF"/>
            </w:tcBorders>
          </w:tcPr>
          <w:p>
            <w:pPr>
              <w:spacing w:after="0"/>
              <w:rPr>
                <w:sz w:val="19"/>
                <w:szCs w:val="19"/>
                <w:color w:val="auto"/>
              </w:rPr>
            </w:pPr>
          </w:p>
        </w:tc>
        <w:tc>
          <w:tcPr>
            <w:tcW w:w="2640" w:type="dxa"/>
            <w:vAlign w:val="bottom"/>
            <w:tcBorders>
              <w:top w:val="single" w:sz="8" w:color="CCEEFF"/>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Volatility</w:t>
            </w:r>
          </w:p>
        </w:tc>
        <w:tc>
          <w:tcPr>
            <w:tcW w:w="3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29.4 %</w:t>
            </w:r>
          </w:p>
        </w:tc>
      </w:tr>
      <w:tr>
        <w:trPr>
          <w:trHeight w:val="229"/>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Arial" w:cs="Arial" w:eastAsia="Arial" w:hAnsi="Arial"/>
                <w:sz w:val="18"/>
                <w:szCs w:val="18"/>
                <w:color w:val="auto"/>
              </w:rPr>
              <w:t>Risk free interest rate</w:t>
            </w:r>
          </w:p>
        </w:tc>
        <w:tc>
          <w:tcPr>
            <w:tcW w:w="39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2.96 %</w:t>
            </w: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Annual dividend based on most recent quarterly dividend</w:t>
            </w:r>
          </w:p>
        </w:tc>
        <w:tc>
          <w:tcPr>
            <w:tcW w:w="3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$1.96</w:t>
            </w:r>
          </w:p>
        </w:tc>
      </w:tr>
      <w:tr>
        <w:trPr>
          <w:trHeight w:val="229"/>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Arial" w:cs="Arial" w:eastAsia="Arial" w:hAnsi="Arial"/>
                <w:sz w:val="18"/>
                <w:szCs w:val="18"/>
                <w:color w:val="auto"/>
              </w:rPr>
              <w:t>Dividend yield</w:t>
            </w:r>
          </w:p>
        </w:tc>
        <w:tc>
          <w:tcPr>
            <w:tcW w:w="39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0.94 %</w:t>
            </w:r>
          </w:p>
        </w:tc>
      </w:tr>
      <w:tr>
        <w:trPr>
          <w:trHeight w:val="229"/>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Beginning average percentile rank for TSR</w:t>
            </w:r>
          </w:p>
        </w:tc>
        <w:tc>
          <w:tcPr>
            <w:tcW w:w="3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71.0 %</w:t>
            </w:r>
          </w:p>
        </w:tc>
      </w:tr>
    </w:tbl>
    <w:p>
      <w:pPr>
        <w:spacing w:after="0" w:line="15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At March 31, 2023, there was $26,880 of compensation expense, excluding forfeitures, that has yet to be recognized related to non-vested restricted stock unit awards, which will be recognized over a weighted average period of 1.24 years.</w:t>
      </w:r>
    </w:p>
    <w:p>
      <w:pPr>
        <w:spacing w:after="0" w:line="8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NOTE 9.</w:t>
        <w:tab/>
        <w:t>EARNINGS PER SHARE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the reconciliation between basic and diluted earnings per share.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660" w:type="dxa"/>
            <w:vAlign w:val="bottom"/>
          </w:tcPr>
          <w:p>
            <w:pPr>
              <w:spacing w:after="0"/>
              <w:rPr>
                <w:sz w:val="20"/>
                <w:szCs w:val="20"/>
                <w:color w:val="auto"/>
              </w:rPr>
            </w:pPr>
          </w:p>
        </w:tc>
        <w:tc>
          <w:tcPr>
            <w:tcW w:w="2860" w:type="dxa"/>
            <w:vAlign w:val="bottom"/>
            <w:gridSpan w:val="8"/>
          </w:tcPr>
          <w:p>
            <w:pPr>
              <w:ind w:left="100"/>
              <w:spacing w:after="0"/>
              <w:rPr>
                <w:sz w:val="20"/>
                <w:szCs w:val="20"/>
                <w:color w:val="auto"/>
              </w:rPr>
            </w:pPr>
            <w:r>
              <w:rPr>
                <w:rFonts w:ascii="Arial" w:cs="Arial" w:eastAsia="Arial" w:hAnsi="Arial"/>
                <w:sz w:val="18"/>
                <w:szCs w:val="18"/>
                <w:color w:val="auto"/>
              </w:rPr>
              <w:t>Three Months Ended March 31,</w:t>
            </w:r>
          </w:p>
        </w:tc>
        <w:tc>
          <w:tcPr>
            <w:tcW w:w="120" w:type="dxa"/>
            <w:vAlign w:val="bottom"/>
          </w:tcPr>
          <w:p>
            <w:pPr>
              <w:spacing w:after="0"/>
              <w:rPr>
                <w:sz w:val="20"/>
                <w:szCs w:val="20"/>
                <w:color w:val="auto"/>
              </w:rPr>
            </w:pPr>
          </w:p>
        </w:tc>
        <w:tc>
          <w:tcPr>
            <w:tcW w:w="2600" w:type="dxa"/>
            <w:vAlign w:val="bottom"/>
            <w:gridSpan w:val="8"/>
          </w:tcPr>
          <w:p>
            <w:pPr>
              <w:jc w:val="right"/>
              <w:ind w:right="140"/>
              <w:spacing w:after="0"/>
              <w:rPr>
                <w:sz w:val="20"/>
                <w:szCs w:val="20"/>
                <w:color w:val="auto"/>
              </w:rPr>
            </w:pPr>
            <w:r>
              <w:rPr>
                <w:rFonts w:ascii="Arial" w:cs="Arial" w:eastAsia="Arial" w:hAnsi="Arial"/>
                <w:sz w:val="18"/>
                <w:szCs w:val="18"/>
                <w:color w:val="auto"/>
              </w:rPr>
              <w:t>Nine Months Ended March 31,</w:t>
            </w:r>
          </w:p>
        </w:tc>
      </w:tr>
      <w:tr>
        <w:trPr>
          <w:trHeight w:val="183"/>
        </w:trPr>
        <w:tc>
          <w:tcPr>
            <w:tcW w:w="566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w w:val="94"/>
              </w:rPr>
              <w:t>2023</w:t>
            </w:r>
          </w:p>
        </w:tc>
        <w:tc>
          <w:tcPr>
            <w:tcW w:w="4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gridSpan w:val="2"/>
          </w:tcPr>
          <w:p>
            <w:pPr>
              <w:jc w:val="right"/>
              <w:ind w:right="460"/>
              <w:spacing w:after="0" w:line="182" w:lineRule="exact"/>
              <w:rPr>
                <w:sz w:val="20"/>
                <w:szCs w:val="20"/>
                <w:color w:val="auto"/>
              </w:rPr>
            </w:pPr>
            <w:r>
              <w:rPr>
                <w:rFonts w:ascii="Arial" w:cs="Arial" w:eastAsia="Arial" w:hAnsi="Arial"/>
                <w:sz w:val="18"/>
                <w:szCs w:val="18"/>
                <w:color w:val="auto"/>
                <w:w w:val="94"/>
              </w:rPr>
              <w:t>2022</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3"/>
          </w:tcPr>
          <w:p>
            <w:pPr>
              <w:jc w:val="right"/>
              <w:ind w:right="460"/>
              <w:spacing w:after="0" w:line="182" w:lineRule="exact"/>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gridSpan w:val="3"/>
          </w:tcPr>
          <w:p>
            <w:pPr>
              <w:jc w:val="right"/>
              <w:ind w:right="460"/>
              <w:spacing w:after="0" w:line="182" w:lineRule="exact"/>
              <w:rPr>
                <w:sz w:val="20"/>
                <w:szCs w:val="20"/>
                <w:color w:val="auto"/>
              </w:rPr>
            </w:pPr>
            <w:r>
              <w:rPr>
                <w:rFonts w:ascii="Arial" w:cs="Arial" w:eastAsia="Arial" w:hAnsi="Arial"/>
                <w:sz w:val="18"/>
                <w:szCs w:val="18"/>
                <w:color w:val="auto"/>
              </w:rPr>
              <w:t>2022</w:t>
            </w:r>
          </w:p>
        </w:tc>
      </w:tr>
      <w:tr>
        <w:trPr>
          <w:trHeight w:val="20"/>
        </w:trPr>
        <w:tc>
          <w:tcPr>
            <w:tcW w:w="5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50"/>
        </w:trPr>
        <w:tc>
          <w:tcPr>
            <w:tcW w:w="56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460" w:type="dxa"/>
            <w:vAlign w:val="bottom"/>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81,549</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84,707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268,873</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282,490</w:t>
            </w: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share information:</w:t>
            </w:r>
          </w:p>
        </w:tc>
        <w:tc>
          <w:tcPr>
            <w:tcW w:w="4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r>
      <w:tr>
        <w:trPr>
          <w:trHeight w:val="230"/>
        </w:trPr>
        <w:tc>
          <w:tcPr>
            <w:tcW w:w="5660" w:type="dxa"/>
            <w:vAlign w:val="bottom"/>
          </w:tcPr>
          <w:p>
            <w:pPr>
              <w:ind w:left="220"/>
              <w:spacing w:after="0"/>
              <w:rPr>
                <w:sz w:val="20"/>
                <w:szCs w:val="20"/>
                <w:color w:val="auto"/>
              </w:rPr>
            </w:pPr>
            <w:r>
              <w:rPr>
                <w:rFonts w:ascii="Arial" w:cs="Arial" w:eastAsia="Arial" w:hAnsi="Arial"/>
                <w:sz w:val="18"/>
                <w:szCs w:val="18"/>
                <w:color w:val="auto"/>
              </w:rPr>
              <w:t>Weighted average shares outstanding for basic earnings per share</w:t>
            </w:r>
          </w:p>
        </w:tc>
        <w:tc>
          <w:tcPr>
            <w:tcW w:w="46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72,935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72,835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72,931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73,477</w:t>
            </w:r>
          </w:p>
        </w:tc>
      </w:tr>
      <w:tr>
        <w:trPr>
          <w:trHeight w:val="229"/>
        </w:trPr>
        <w:tc>
          <w:tcPr>
            <w:tcW w:w="5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Dilutive effect of stock options and restricted stock units</w:t>
            </w: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139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188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142</w:t>
            </w:r>
          </w:p>
        </w:tc>
      </w:tr>
      <w:tr>
        <w:trPr>
          <w:trHeight w:val="223"/>
        </w:trPr>
        <w:tc>
          <w:tcPr>
            <w:tcW w:w="5660" w:type="dxa"/>
            <w:vAlign w:val="bottom"/>
          </w:tcPr>
          <w:p>
            <w:pPr>
              <w:ind w:left="20"/>
              <w:spacing w:after="0"/>
              <w:rPr>
                <w:sz w:val="20"/>
                <w:szCs w:val="20"/>
                <w:color w:val="auto"/>
              </w:rPr>
            </w:pPr>
            <w:r>
              <w:rPr>
                <w:rFonts w:ascii="Arial" w:cs="Arial" w:eastAsia="Arial" w:hAnsi="Arial"/>
                <w:sz w:val="18"/>
                <w:szCs w:val="18"/>
                <w:color w:val="auto"/>
              </w:rPr>
              <w:t>Weighted average shares outstanding for diluted earnings per share</w:t>
            </w: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73,074</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73,019</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73,119</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73,619</w:t>
            </w: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223"/>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per share</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1.12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3.69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3.84</w:t>
            </w:r>
          </w:p>
        </w:tc>
      </w:tr>
      <w:tr>
        <w:trPr>
          <w:trHeight w:val="247"/>
        </w:trPr>
        <w:tc>
          <w:tcPr>
            <w:tcW w:w="566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460" w:type="dxa"/>
            <w:vAlign w:val="bottom"/>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1.12</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3.68</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3.84</w:t>
            </w:r>
          </w:p>
        </w:tc>
      </w:tr>
    </w:tbl>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Per share information is based on the weighted average number of common shares outstanding for the three and nine months ended March 31, 2023 and 2022. Stock options and restricted stock units have been included in the calculation of earnings per share to the extent they are dilutive. There were zero and nominal anti-dilutive stock options or restricted stock units excluded for the three and nine months ended March 31, 2023, respectively, and nominal and 10 were excluded for the three and nine months ended March 31, 2022, respectively.</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NOTE 10.</w:t>
        <w:tab/>
        <w:t>BUSINESS ACQUISITION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Payrailz</w:t>
      </w:r>
    </w:p>
    <w:p>
      <w:pPr>
        <w:spacing w:after="0" w:line="12"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On August 31, 2022, the Company acquired all of the equity interest in Payrailz, LLC ("Payrailz"). The final purchase price, following customary post-closing adjustments to the extent actual closing date working capital, cash, debt, and unpaid seller transaction expenses</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exceeded or were less than the amounts estimated at closing, was $230,205. Pursuant to the merger agreement for the transaction, $48,500 of the purchase price was placed in an escrow account at the closing, consisting of $2,500 for any final purchase price adjustments owed by</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sellers, which amount was released to the sellers on December 15, 2022, in connection with post-closing adjustments, and $46,000 for indemnification matters under the merger agreement.</w:t>
      </w:r>
    </w:p>
    <w:p>
      <w:pPr>
        <w:spacing w:after="0" w:line="6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primary reason for the acquisition was to expand the Company's digital financial management solutions and the purchase was funded by our revolving line of credit (Note 6) and cash generated from operations. Payrailz provides cloud-native, API-first, AI-enabled consumer and commercial digital payment solutions and experiences that enable money to be moved in the moment of need.</w:t>
      </w:r>
    </w:p>
    <w:p>
      <w:pPr>
        <w:spacing w:after="0" w:line="4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Management has completed a preliminary purchase price allocation and assessment of the fair value of acquired assets and liabilities assumed. The recognized amounts of identifiable assets acquired, and liabilities assumed, based on their fair values as of August 31, 2022, and taking into account the post-closing purchase price adjustment described above, are set forth below:</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w:t>
            </w:r>
          </w:p>
        </w:tc>
      </w:tr>
      <w:tr>
        <w:trPr>
          <w:trHeight w:val="230"/>
        </w:trPr>
        <w:tc>
          <w:tcPr>
            <w:tcW w:w="9400" w:type="dxa"/>
            <w:vAlign w:val="bottom"/>
          </w:tcPr>
          <w:p>
            <w:pPr>
              <w:ind w:left="20"/>
              <w:spacing w:after="0"/>
              <w:rPr>
                <w:sz w:val="20"/>
                <w:szCs w:val="20"/>
                <w:color w:val="auto"/>
              </w:rPr>
            </w:pPr>
            <w:r>
              <w:rPr>
                <w:rFonts w:ascii="Arial" w:cs="Arial" w:eastAsia="Arial" w:hAnsi="Arial"/>
                <w:sz w:val="18"/>
                <w:szCs w:val="18"/>
                <w:color w:val="auto"/>
              </w:rPr>
              <w:t>Identifiable intangible assets</w:t>
            </w: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119,868</w:t>
            </w:r>
          </w:p>
        </w:tc>
      </w:tr>
      <w:tr>
        <w:trPr>
          <w:trHeight w:val="229"/>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(8,104)</w:t>
            </w:r>
          </w:p>
        </w:tc>
      </w:tr>
      <w:tr>
        <w:trPr>
          <w:trHeight w:val="229"/>
        </w:trPr>
        <w:tc>
          <w:tcPr>
            <w:tcW w:w="9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liabilities assumed</w:t>
            </w:r>
          </w:p>
        </w:tc>
        <w:tc>
          <w:tcPr>
            <w:tcW w:w="6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w:t>
            </w:r>
          </w:p>
        </w:tc>
      </w:tr>
      <w:tr>
        <w:trPr>
          <w:trHeight w:val="223"/>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identifiable net assets</w:t>
            </w: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112,866</w:t>
            </w:r>
          </w:p>
        </w:tc>
      </w:tr>
      <w:tr>
        <w:trPr>
          <w:trHeight w:val="229"/>
        </w:trPr>
        <w:tc>
          <w:tcPr>
            <w:tcW w:w="9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w:t>
            </w:r>
          </w:p>
        </w:tc>
        <w:tc>
          <w:tcPr>
            <w:tcW w:w="6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117,339</w:t>
            </w:r>
          </w:p>
        </w:tc>
      </w:tr>
      <w:tr>
        <w:trPr>
          <w:trHeight w:val="248"/>
        </w:trPr>
        <w:tc>
          <w:tcPr>
            <w:tcW w:w="9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assets acquired</w:t>
            </w: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230,205</w:t>
            </w:r>
          </w:p>
        </w:tc>
      </w:tr>
      <w:tr>
        <w:trPr>
          <w:trHeight w:val="20"/>
        </w:trPr>
        <w:tc>
          <w:tcPr>
            <w:tcW w:w="94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amounts shown above include a measurement period adjustment made during the second quarter of fiscal 2023 related to a working capital adjustment. The amounts shown above may change as management continues to evaluate the income tax implications of this business combination.</w:t>
      </w:r>
    </w:p>
    <w:p>
      <w:pPr>
        <w:spacing w:after="0" w:line="4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goodwill of $117,339 arising from this acquisition consists largely of the growth potential, synergies, and economies of scale expected from combining the operations of the Company with those of Payrailz, together with the value of Payrailz's assembled workforce. The goodwill from this acquisition has been allocated to our Payments segment and $117,339 is expected to be deductible for income tax purposes.</w:t>
      </w:r>
    </w:p>
    <w:p>
      <w:pPr>
        <w:spacing w:after="0" w:line="5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Identifiable intangible assets from this acquisition consist of customer relationships of $ 6,109, computer software of $112,505, and other intangible assets of $1,254. The amortization period for acquired customer relationships, computer software, and other intangible assets is over a term of 15 years, 10 years, and 15 years, respectively.</w:t>
      </w:r>
    </w:p>
    <w:p>
      <w:pPr>
        <w:spacing w:after="0" w:line="3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Current assets were inclusive of cash acquired of $577. The fair value of current assets acquired included accounts receivable of $978, none of which were expected to be uncollectible.</w:t>
      </w:r>
    </w:p>
    <w:p>
      <w:pPr>
        <w:spacing w:after="0" w:line="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Costs incurred related to the acquisition of Payrailz during the three and nine months ended March 31, 2023, totaled $39 and $547, respectively, for administrative and professional services, travel, and other fees, and were expensed as incurred and reported within cost of revenue and selling, general, and administrative expense.</w:t>
      </w:r>
    </w:p>
    <w:p>
      <w:pPr>
        <w:spacing w:after="0" w:line="4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Company's condensed consolidated statements of income for the three and nine months ended March 31, 2023, included revenue of $2,658 and $5,975, respectively, and after-tax net loss of $4,938 and $12,213, respectively, resulting from Payrailz's operations.</w:t>
      </w:r>
    </w:p>
    <w:p>
      <w:pPr>
        <w:spacing w:after="0" w:line="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accompanying condensed consolidated statements of income for the three and nine months ended March 31, 2023, and 2022, do not include any revenues and expenses related to this acquisition prior to the acquisition date. The following unaudited pro forma consolidated financial information for the nine months ended March 31, 2023, and the three and nine months ended March 31, 2022, is presented as if this acquisition had occurred at the beginning of the prior period presented. The pro forma net income includes estimated incremental amortization expense of $2,935 and $7,481 for the three and nine months ended March 31, 2022, respectively, and $1,957 for the nine months ended March 31, 2023. In addition, this unaudited pro forma financial information is provided for illustrative purposes only and should not be relied upon as necessarily being indicative of the historical results that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would have been obtained if the acquisition had actually occurred during this period, or the results that may be obtained in the future as a result of the acquisition.</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2580" w:type="dxa"/>
            <w:vAlign w:val="bottom"/>
            <w:gridSpan w:val="7"/>
          </w:tcPr>
          <w:p>
            <w:pPr>
              <w:jc w:val="center"/>
              <w:ind w:right="100"/>
              <w:spacing w:after="0"/>
              <w:rPr>
                <w:sz w:val="20"/>
                <w:szCs w:val="20"/>
                <w:color w:val="auto"/>
              </w:rPr>
            </w:pPr>
            <w:r>
              <w:rPr>
                <w:rFonts w:ascii="Arial" w:cs="Arial" w:eastAsia="Arial" w:hAnsi="Arial"/>
                <w:sz w:val="18"/>
                <w:szCs w:val="18"/>
                <w:b w:val="1"/>
                <w:bCs w:val="1"/>
                <w:color w:val="auto"/>
                <w:w w:val="99"/>
              </w:rPr>
              <w:t>Three Months Ended March</w:t>
            </w:r>
          </w:p>
        </w:tc>
        <w:tc>
          <w:tcPr>
            <w:tcW w:w="420" w:type="dxa"/>
            <w:vAlign w:val="bottom"/>
          </w:tcPr>
          <w:p>
            <w:pPr>
              <w:spacing w:after="0"/>
              <w:rPr>
                <w:sz w:val="17"/>
                <w:szCs w:val="17"/>
                <w:color w:val="auto"/>
              </w:rPr>
            </w:pPr>
          </w:p>
        </w:tc>
        <w:tc>
          <w:tcPr>
            <w:tcW w:w="2180" w:type="dxa"/>
            <w:vAlign w:val="bottom"/>
            <w:gridSpan w:val="6"/>
          </w:tcPr>
          <w:p>
            <w:pPr>
              <w:jc w:val="right"/>
              <w:ind w:right="460"/>
              <w:spacing w:after="0"/>
              <w:rPr>
                <w:sz w:val="20"/>
                <w:szCs w:val="20"/>
                <w:color w:val="auto"/>
              </w:rPr>
            </w:pPr>
            <w:r>
              <w:rPr>
                <w:rFonts w:ascii="Arial" w:cs="Arial" w:eastAsia="Arial" w:hAnsi="Arial"/>
                <w:sz w:val="18"/>
                <w:szCs w:val="18"/>
                <w:b w:val="1"/>
                <w:bCs w:val="1"/>
                <w:color w:val="auto"/>
              </w:rPr>
              <w:t>Nine Months Ended</w:t>
            </w:r>
          </w:p>
        </w:tc>
      </w:tr>
      <w:tr>
        <w:trPr>
          <w:trHeight w:val="235"/>
        </w:trPr>
        <w:tc>
          <w:tcPr>
            <w:tcW w:w="98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243"/>
              <w:spacing w:after="0"/>
              <w:rPr>
                <w:sz w:val="20"/>
                <w:szCs w:val="20"/>
                <w:color w:val="auto"/>
              </w:rPr>
            </w:pPr>
            <w:r>
              <w:rPr>
                <w:rFonts w:ascii="Arial" w:cs="Arial" w:eastAsia="Arial" w:hAnsi="Arial"/>
                <w:sz w:val="18"/>
                <w:szCs w:val="18"/>
                <w:b w:val="1"/>
                <w:bCs w:val="1"/>
                <w:color w:val="auto"/>
                <w:w w:val="87"/>
              </w:rPr>
              <w:t>31,</w:t>
            </w:r>
          </w:p>
        </w:tc>
        <w:tc>
          <w:tcPr>
            <w:tcW w:w="4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5"/>
          </w:tcPr>
          <w:p>
            <w:pPr>
              <w:jc w:val="right"/>
              <w:ind w:right="880"/>
              <w:spacing w:after="0"/>
              <w:rPr>
                <w:sz w:val="20"/>
                <w:szCs w:val="20"/>
                <w:color w:val="auto"/>
              </w:rPr>
            </w:pPr>
            <w:r>
              <w:rPr>
                <w:rFonts w:ascii="Arial" w:cs="Arial" w:eastAsia="Arial" w:hAnsi="Arial"/>
                <w:sz w:val="18"/>
                <w:szCs w:val="18"/>
                <w:b w:val="1"/>
                <w:bCs w:val="1"/>
                <w:color w:val="auto"/>
              </w:rPr>
              <w:t>March 31,</w:t>
            </w:r>
          </w:p>
        </w:tc>
      </w:tr>
      <w:tr>
        <w:trPr>
          <w:trHeight w:val="183"/>
        </w:trPr>
        <w:tc>
          <w:tcPr>
            <w:tcW w:w="98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800" w:type="dxa"/>
            <w:vAlign w:val="bottom"/>
            <w:gridSpan w:val="2"/>
          </w:tcPr>
          <w:p>
            <w:pPr>
              <w:jc w:val="right"/>
              <w:spacing w:after="0" w:line="182" w:lineRule="exact"/>
              <w:rPr>
                <w:sz w:val="20"/>
                <w:szCs w:val="20"/>
                <w:color w:val="auto"/>
              </w:rPr>
            </w:pPr>
            <w:r>
              <w:rPr>
                <w:rFonts w:ascii="Arial" w:cs="Arial" w:eastAsia="Arial" w:hAnsi="Arial"/>
                <w:sz w:val="18"/>
                <w:szCs w:val="18"/>
                <w:b w:val="1"/>
                <w:bCs w:val="1"/>
                <w:color w:val="auto"/>
              </w:rPr>
              <w:t>2023</w:t>
            </w:r>
          </w:p>
        </w:tc>
        <w:tc>
          <w:tcPr>
            <w:tcW w:w="320" w:type="dxa"/>
            <w:vAlign w:val="bottom"/>
          </w:tcPr>
          <w:p>
            <w:pPr>
              <w:spacing w:after="0"/>
              <w:rPr>
                <w:sz w:val="15"/>
                <w:szCs w:val="15"/>
                <w:color w:val="auto"/>
              </w:rPr>
            </w:pPr>
          </w:p>
        </w:tc>
        <w:tc>
          <w:tcPr>
            <w:tcW w:w="1360" w:type="dxa"/>
            <w:vAlign w:val="bottom"/>
            <w:gridSpan w:val="3"/>
          </w:tcPr>
          <w:p>
            <w:pPr>
              <w:jc w:val="right"/>
              <w:ind w:right="400"/>
              <w:spacing w:after="0" w:line="182" w:lineRule="exact"/>
              <w:rPr>
                <w:sz w:val="20"/>
                <w:szCs w:val="20"/>
                <w:color w:val="auto"/>
              </w:rPr>
            </w:pPr>
            <w:r>
              <w:rPr>
                <w:rFonts w:ascii="Arial" w:cs="Arial" w:eastAsia="Arial" w:hAnsi="Arial"/>
                <w:sz w:val="18"/>
                <w:szCs w:val="18"/>
                <w:color w:val="auto"/>
              </w:rPr>
              <w:t>2022</w:t>
            </w:r>
          </w:p>
        </w:tc>
        <w:tc>
          <w:tcPr>
            <w:tcW w:w="100" w:type="dxa"/>
            <w:vAlign w:val="bottom"/>
          </w:tcPr>
          <w:p>
            <w:pPr>
              <w:spacing w:after="0"/>
              <w:rPr>
                <w:sz w:val="15"/>
                <w:szCs w:val="15"/>
                <w:color w:val="auto"/>
              </w:rPr>
            </w:pPr>
          </w:p>
        </w:tc>
        <w:tc>
          <w:tcPr>
            <w:tcW w:w="1280" w:type="dxa"/>
            <w:vAlign w:val="bottom"/>
            <w:gridSpan w:val="3"/>
          </w:tcPr>
          <w:p>
            <w:pPr>
              <w:jc w:val="right"/>
              <w:ind w:right="370"/>
              <w:spacing w:after="0" w:line="182" w:lineRule="exact"/>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15"/>
                <w:szCs w:val="15"/>
                <w:color w:val="auto"/>
              </w:rPr>
            </w:pPr>
          </w:p>
        </w:tc>
        <w:tc>
          <w:tcPr>
            <w:tcW w:w="1080" w:type="dxa"/>
            <w:vAlign w:val="bottom"/>
            <w:gridSpan w:val="3"/>
          </w:tcPr>
          <w:p>
            <w:pPr>
              <w:jc w:val="right"/>
              <w:ind w:right="420"/>
              <w:spacing w:after="0" w:line="182" w:lineRule="exact"/>
              <w:rPr>
                <w:sz w:val="20"/>
                <w:szCs w:val="20"/>
                <w:color w:val="auto"/>
              </w:rPr>
            </w:pPr>
            <w:r>
              <w:rPr>
                <w:rFonts w:ascii="Arial" w:cs="Arial" w:eastAsia="Arial" w:hAnsi="Arial"/>
                <w:sz w:val="18"/>
                <w:szCs w:val="18"/>
                <w:color w:val="auto"/>
              </w:rPr>
              <w:t>2022</w:t>
            </w:r>
          </w:p>
        </w:tc>
      </w:tr>
      <w:tr>
        <w:trPr>
          <w:trHeight w:val="20"/>
        </w:trPr>
        <w:tc>
          <w:tcPr>
            <w:tcW w:w="9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45"/>
        </w:trPr>
        <w:tc>
          <w:tcPr>
            <w:tcW w:w="980" w:type="dxa"/>
            <w:vAlign w:val="bottom"/>
          </w:tcPr>
          <w:p>
            <w:pPr>
              <w:spacing w:after="0"/>
              <w:rPr>
                <w:sz w:val="21"/>
                <w:szCs w:val="21"/>
                <w:color w:val="auto"/>
              </w:rPr>
            </w:pPr>
          </w:p>
        </w:tc>
        <w:tc>
          <w:tcPr>
            <w:tcW w:w="4780" w:type="dxa"/>
            <w:vAlign w:val="bottom"/>
          </w:tcPr>
          <w:p>
            <w:pPr>
              <w:spacing w:after="0"/>
              <w:rPr>
                <w:sz w:val="21"/>
                <w:szCs w:val="21"/>
                <w:color w:val="auto"/>
              </w:rPr>
            </w:pPr>
          </w:p>
        </w:tc>
        <w:tc>
          <w:tcPr>
            <w:tcW w:w="1120" w:type="dxa"/>
            <w:vAlign w:val="bottom"/>
            <w:gridSpan w:val="3"/>
          </w:tcPr>
          <w:p>
            <w:pPr>
              <w:jc w:val="center"/>
              <w:spacing w:after="0"/>
              <w:rPr>
                <w:sz w:val="20"/>
                <w:szCs w:val="20"/>
                <w:color w:val="auto"/>
              </w:rPr>
            </w:pPr>
            <w:r>
              <w:rPr>
                <w:rFonts w:ascii="Arial" w:cs="Arial" w:eastAsia="Arial" w:hAnsi="Arial"/>
                <w:sz w:val="18"/>
                <w:szCs w:val="18"/>
                <w:color w:val="auto"/>
                <w:w w:val="99"/>
              </w:rPr>
              <w:t>Actual</w:t>
            </w:r>
          </w:p>
        </w:tc>
        <w:tc>
          <w:tcPr>
            <w:tcW w:w="1460" w:type="dxa"/>
            <w:vAlign w:val="bottom"/>
            <w:gridSpan w:val="4"/>
          </w:tcPr>
          <w:p>
            <w:pPr>
              <w:ind w:left="360"/>
              <w:spacing w:after="0"/>
              <w:rPr>
                <w:sz w:val="20"/>
                <w:szCs w:val="20"/>
                <w:color w:val="auto"/>
              </w:rPr>
            </w:pPr>
            <w:r>
              <w:rPr>
                <w:rFonts w:ascii="Arial" w:cs="Arial" w:eastAsia="Arial" w:hAnsi="Arial"/>
                <w:sz w:val="18"/>
                <w:szCs w:val="18"/>
                <w:color w:val="auto"/>
              </w:rPr>
              <w:t>Pro forma</w:t>
            </w:r>
          </w:p>
        </w:tc>
        <w:tc>
          <w:tcPr>
            <w:tcW w:w="1280" w:type="dxa"/>
            <w:vAlign w:val="bottom"/>
            <w:gridSpan w:val="3"/>
          </w:tcPr>
          <w:p>
            <w:pPr>
              <w:jc w:val="right"/>
              <w:ind w:right="170"/>
              <w:spacing w:after="0"/>
              <w:rPr>
                <w:sz w:val="20"/>
                <w:szCs w:val="20"/>
                <w:color w:val="auto"/>
              </w:rPr>
            </w:pPr>
            <w:r>
              <w:rPr>
                <w:rFonts w:ascii="Arial" w:cs="Arial" w:eastAsia="Arial" w:hAnsi="Arial"/>
                <w:sz w:val="18"/>
                <w:szCs w:val="18"/>
                <w:color w:val="auto"/>
              </w:rPr>
              <w:t>Pro forma</w:t>
            </w:r>
          </w:p>
        </w:tc>
        <w:tc>
          <w:tcPr>
            <w:tcW w:w="240" w:type="dxa"/>
            <w:vAlign w:val="bottom"/>
          </w:tcPr>
          <w:p>
            <w:pPr>
              <w:spacing w:after="0"/>
              <w:rPr>
                <w:sz w:val="21"/>
                <w:szCs w:val="21"/>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Pro forma</w:t>
            </w:r>
          </w:p>
        </w:tc>
      </w:tr>
      <w:tr>
        <w:trPr>
          <w:trHeight w:val="235"/>
        </w:trPr>
        <w:tc>
          <w:tcPr>
            <w:tcW w:w="980" w:type="dxa"/>
            <w:vAlign w:val="bottom"/>
          </w:tcPr>
          <w:p>
            <w:pPr>
              <w:ind w:left="20"/>
              <w:spacing w:after="0"/>
              <w:rPr>
                <w:sz w:val="20"/>
                <w:szCs w:val="20"/>
                <w:color w:val="auto"/>
              </w:rPr>
            </w:pPr>
            <w:r>
              <w:rPr>
                <w:rFonts w:ascii="Arial" w:cs="Arial" w:eastAsia="Arial" w:hAnsi="Arial"/>
                <w:sz w:val="18"/>
                <w:szCs w:val="18"/>
                <w:color w:val="auto"/>
              </w:rPr>
              <w:t>Revenue</w:t>
            </w:r>
          </w:p>
        </w:tc>
        <w:tc>
          <w:tcPr>
            <w:tcW w:w="5900" w:type="dxa"/>
            <w:vAlign w:val="bottom"/>
            <w:gridSpan w:val="4"/>
          </w:tcPr>
          <w:p>
            <w:pPr>
              <w:jc w:val="right"/>
              <w:spacing w:after="0"/>
              <w:rPr>
                <w:sz w:val="20"/>
                <w:szCs w:val="20"/>
                <w:color w:val="auto"/>
              </w:rPr>
            </w:pPr>
            <w:r>
              <w:rPr>
                <w:rFonts w:ascii="Arial" w:cs="Arial" w:eastAsia="Arial" w:hAnsi="Arial"/>
                <w:sz w:val="18"/>
                <w:szCs w:val="18"/>
                <w:b w:val="1"/>
                <w:bCs w:val="1"/>
                <w:color w:val="auto"/>
              </w:rPr>
              <w:t>$    508,552</w:t>
            </w:r>
          </w:p>
        </w:tc>
        <w:tc>
          <w:tcPr>
            <w:tcW w:w="1360" w:type="dxa"/>
            <w:vAlign w:val="bottom"/>
            <w:gridSpan w:val="3"/>
          </w:tcPr>
          <w:p>
            <w:pPr>
              <w:jc w:val="right"/>
              <w:ind w:right="80"/>
              <w:spacing w:after="0"/>
              <w:rPr>
                <w:sz w:val="20"/>
                <w:szCs w:val="20"/>
                <w:color w:val="auto"/>
              </w:rPr>
            </w:pPr>
            <w:r>
              <w:rPr>
                <w:rFonts w:ascii="Arial" w:cs="Arial" w:eastAsia="Arial" w:hAnsi="Arial"/>
                <w:sz w:val="18"/>
                <w:szCs w:val="18"/>
                <w:color w:val="auto"/>
                <w:w w:val="98"/>
              </w:rPr>
              <w:t>$480,444</w:t>
            </w:r>
          </w:p>
        </w:tc>
        <w:tc>
          <w:tcPr>
            <w:tcW w:w="100" w:type="dxa"/>
            <w:vAlign w:val="bottom"/>
          </w:tcPr>
          <w:p>
            <w:pPr>
              <w:spacing w:after="0"/>
              <w:rPr>
                <w:sz w:val="20"/>
                <w:szCs w:val="20"/>
                <w:color w:val="auto"/>
              </w:rPr>
            </w:pPr>
          </w:p>
        </w:tc>
        <w:tc>
          <w:tcPr>
            <w:tcW w:w="12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   1,544,696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1,465,568</w:t>
            </w:r>
          </w:p>
        </w:tc>
      </w:tr>
      <w:tr>
        <w:trPr>
          <w:trHeight w:val="229"/>
        </w:trPr>
        <w:tc>
          <w:tcPr>
            <w:tcW w:w="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590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81,549</w:t>
            </w:r>
          </w:p>
        </w:tc>
        <w:tc>
          <w:tcPr>
            <w:tcW w:w="13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79,194</w:t>
            </w:r>
          </w:p>
        </w:tc>
        <w:tc>
          <w:tcPr>
            <w:tcW w:w="10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264,336</w:t>
            </w:r>
          </w:p>
        </w:tc>
        <w:tc>
          <w:tcPr>
            <w:tcW w:w="24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269,084</w:t>
            </w:r>
          </w:p>
        </w:tc>
      </w:tr>
      <w:tr>
        <w:trPr>
          <w:trHeight w:val="463"/>
        </w:trPr>
        <w:tc>
          <w:tcPr>
            <w:tcW w:w="980" w:type="dxa"/>
            <w:vAlign w:val="bottom"/>
          </w:tcPr>
          <w:p>
            <w:pPr>
              <w:spacing w:after="0"/>
              <w:rPr>
                <w:sz w:val="20"/>
                <w:szCs w:val="20"/>
                <w:color w:val="auto"/>
              </w:rPr>
            </w:pPr>
            <w:r>
              <w:rPr>
                <w:rFonts w:ascii="Arial" w:cs="Arial" w:eastAsia="Arial" w:hAnsi="Arial"/>
                <w:sz w:val="18"/>
                <w:szCs w:val="18"/>
                <w:color w:val="auto"/>
              </w:rPr>
              <w:t>NOTE 11.</w:t>
            </w:r>
          </w:p>
        </w:tc>
        <w:tc>
          <w:tcPr>
            <w:tcW w:w="5900" w:type="dxa"/>
            <w:vAlign w:val="bottom"/>
            <w:gridSpan w:val="4"/>
          </w:tcPr>
          <w:p>
            <w:pPr>
              <w:jc w:val="right"/>
              <w:ind w:right="2460"/>
              <w:spacing w:after="0"/>
              <w:rPr>
                <w:sz w:val="20"/>
                <w:szCs w:val="20"/>
                <w:color w:val="auto"/>
              </w:rPr>
            </w:pPr>
            <w:r>
              <w:rPr>
                <w:rFonts w:ascii="Arial" w:cs="Arial" w:eastAsia="Arial" w:hAnsi="Arial"/>
                <w:sz w:val="18"/>
                <w:szCs w:val="18"/>
                <w:color w:val="auto"/>
                <w:w w:val="98"/>
              </w:rPr>
              <w:t>REPORTABLE SEGMENT INFORMATION</w:t>
            </w: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pacing w:after="0" w:line="22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Company is a provider of integrated computer systems that perform data processing (available for on-premise installations or JKHY cloud-based services) for banks and credit unions.</w:t>
      </w:r>
    </w:p>
    <w:p>
      <w:pPr>
        <w:spacing w:after="0" w:line="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operations are classified into four reportable segments: Core, Payments, Complementary, and Corporate &amp; Other. The Core segment provides core information processing platforms to banks and credit unions, which consist of integrated applications required to process deposit, loan, and general ledger transactions, and maintain centralized customer/member information. The Payments segment provides secure payment processing tools and services, including ATM, debit, and credit card transaction processing services, online and mobile bill pay solutions, Automated Clearing House ("ACH") origination and remote deposit capture processing, and risk management products and services. The Complementary segment provides additional software and services that can be integrated with our Core solutions, and many can be used independently. The Corporate &amp; Other segment includes hardware revenue and costs, as well as operating costs not directly attributable to the other three segments.</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evaluates the performance of its segments and allocates resources to them based on various factors, including performance against trend, budget, and forecast. Only revenue and costs of revenue are considered in the evaluation for each segment.</w:t>
      </w:r>
    </w:p>
    <w:p>
      <w:pPr>
        <w:spacing w:after="0" w:line="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Immaterial adjustments have been made to reclassify revenue that was recognized for the three and nine months ended March 31, 2022, from the Complementary to the Payments and Corporate and Other segments. Immaterial adjustments were also made to reclassify cost of revenue from the Complementary to Payments segments and from the Corporate and Other to Payments segments for the three months ended March 31, 2022, and from the Complementary to the Payments and Corporate and Other segments for the nine months ended March 31, 2022. These reclasses were made to be consistent with the current allocation of revenue and cost of revenue by segment. Revenue reclassed for the three and nine months ended March 31, 2022, from Complementary to Payments was $2,971 and $8,918, respectively, and from Complementary to Corporate and Other was $ 918 and $3,860, respectively. Cost of revenue reclassed for the three months ended March 31, 2022, from Complementary to Payments was $1,217 and from Corporate and Other to Payments was $125. Cost of revenue reclassed for the nine months ended March 31, 2022, from Complementary to Payments was $4,095, and from Complementary to Corporate and Other was $359.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84"/>
        </w:trPr>
        <w:tc>
          <w:tcPr>
            <w:tcW w:w="3260" w:type="dxa"/>
            <w:vAlign w:val="bottom"/>
            <w:gridSpan w:val="3"/>
          </w:tcPr>
          <w:p>
            <w:pPr>
              <w:spacing w:after="0"/>
              <w:rPr>
                <w:sz w:val="20"/>
                <w:szCs w:val="20"/>
                <w:color w:val="auto"/>
              </w:rPr>
            </w:pPr>
            <w:r>
              <w:rPr>
                <w:rFonts w:ascii="Arial" w:cs="Arial" w:eastAsia="Arial" w:hAnsi="Arial"/>
                <w:sz w:val="16"/>
                <w:szCs w:val="16"/>
                <w:color w:val="0000FF"/>
              </w:rPr>
              <w:t>Table of Contents</w:t>
            </w: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24"/>
        </w:trPr>
        <w:tc>
          <w:tcPr>
            <w:tcW w:w="20" w:type="dxa"/>
            <w:vAlign w:val="bottom"/>
            <w:tcBorders>
              <w:top w:val="single" w:sz="8" w:color="0000FF"/>
            </w:tcBorders>
          </w:tcPr>
          <w:p>
            <w:pPr>
              <w:spacing w:after="0"/>
              <w:rPr>
                <w:sz w:val="24"/>
                <w:szCs w:val="24"/>
                <w:color w:val="auto"/>
              </w:rPr>
            </w:pPr>
          </w:p>
        </w:tc>
        <w:tc>
          <w:tcPr>
            <w:tcW w:w="1240" w:type="dxa"/>
            <w:vAlign w:val="bottom"/>
            <w:tcBorders>
              <w:top w:val="single" w:sz="8" w:color="0000FF"/>
            </w:tcBorders>
          </w:tcPr>
          <w:p>
            <w:pPr>
              <w:spacing w:after="0"/>
              <w:rPr>
                <w:sz w:val="24"/>
                <w:szCs w:val="24"/>
                <w:color w:val="auto"/>
              </w:rPr>
            </w:pPr>
          </w:p>
        </w:tc>
        <w:tc>
          <w:tcPr>
            <w:tcW w:w="2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5"/>
          </w:tcPr>
          <w:p>
            <w:pPr>
              <w:spacing w:after="0"/>
              <w:rPr>
                <w:sz w:val="20"/>
                <w:szCs w:val="20"/>
                <w:color w:val="auto"/>
              </w:rPr>
            </w:pPr>
            <w:r>
              <w:rPr>
                <w:rFonts w:ascii="Arial" w:cs="Arial" w:eastAsia="Arial" w:hAnsi="Arial"/>
                <w:sz w:val="16"/>
                <w:szCs w:val="16"/>
                <w:b w:val="1"/>
                <w:bCs w:val="1"/>
                <w:color w:val="auto"/>
              </w:rPr>
              <w:t>Three Months Ended</w:t>
            </w: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March 31, 2023</w:t>
            </w:r>
          </w:p>
        </w:tc>
        <w:tc>
          <w:tcPr>
            <w:tcW w:w="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REVENUE</w:t>
            </w:r>
          </w:p>
        </w:tc>
        <w:tc>
          <w:tcPr>
            <w:tcW w:w="320" w:type="dxa"/>
            <w:vAlign w:val="bottom"/>
          </w:tcPr>
          <w:p>
            <w:pPr>
              <w:spacing w:after="0"/>
              <w:rPr>
                <w:sz w:val="18"/>
                <w:szCs w:val="18"/>
                <w:color w:val="auto"/>
              </w:rPr>
            </w:pPr>
          </w:p>
        </w:tc>
        <w:tc>
          <w:tcPr>
            <w:tcW w:w="1140" w:type="dxa"/>
            <w:vAlign w:val="bottom"/>
          </w:tcPr>
          <w:p>
            <w:pPr>
              <w:jc w:val="right"/>
              <w:ind w:right="479"/>
              <w:spacing w:after="0"/>
              <w:rPr>
                <w:sz w:val="20"/>
                <w:szCs w:val="20"/>
                <w:color w:val="auto"/>
              </w:rPr>
            </w:pPr>
            <w:r>
              <w:rPr>
                <w:rFonts w:ascii="Arial" w:cs="Arial" w:eastAsia="Arial" w:hAnsi="Arial"/>
                <w:sz w:val="16"/>
                <w:szCs w:val="16"/>
                <w:b w:val="1"/>
                <w:bCs w:val="1"/>
                <w:color w:val="auto"/>
              </w:rPr>
              <w:t>Core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ind w:left="120"/>
              <w:spacing w:after="0"/>
              <w:rPr>
                <w:sz w:val="20"/>
                <w:szCs w:val="20"/>
                <w:color w:val="auto"/>
              </w:rPr>
            </w:pPr>
            <w:r>
              <w:rPr>
                <w:rFonts w:ascii="Arial" w:cs="Arial" w:eastAsia="Arial" w:hAnsi="Arial"/>
                <w:sz w:val="16"/>
                <w:szCs w:val="16"/>
                <w:b w:val="1"/>
                <w:bCs w:val="1"/>
                <w:color w:val="auto"/>
              </w:rPr>
              <w:t>Payments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3"/>
          </w:tcPr>
          <w:p>
            <w:pPr>
              <w:ind w:left="60"/>
              <w:spacing w:after="0"/>
              <w:rPr>
                <w:sz w:val="20"/>
                <w:szCs w:val="20"/>
                <w:color w:val="auto"/>
              </w:rPr>
            </w:pPr>
            <w:r>
              <w:rPr>
                <w:rFonts w:ascii="Arial" w:cs="Arial" w:eastAsia="Arial" w:hAnsi="Arial"/>
                <w:sz w:val="16"/>
                <w:szCs w:val="16"/>
                <w:b w:val="1"/>
                <w:bCs w:val="1"/>
                <w:color w:val="auto"/>
              </w:rPr>
              <w:t>Complementary</w:t>
            </w:r>
          </w:p>
        </w:tc>
        <w:tc>
          <w:tcPr>
            <w:tcW w:w="2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6"/>
                <w:szCs w:val="16"/>
                <w:b w:val="1"/>
                <w:bCs w:val="1"/>
                <w:color w:val="auto"/>
              </w:rPr>
              <w:t>Corporate &amp; Other</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4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4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tcPr>
          <w:p>
            <w:pPr>
              <w:ind w:left="120"/>
              <w:spacing w:after="0"/>
              <w:rPr>
                <w:sz w:val="20"/>
                <w:szCs w:val="20"/>
                <w:color w:val="auto"/>
              </w:rPr>
            </w:pPr>
            <w:r>
              <w:rPr>
                <w:rFonts w:ascii="Arial" w:cs="Arial" w:eastAsia="Arial" w:hAnsi="Arial"/>
                <w:sz w:val="16"/>
                <w:szCs w:val="16"/>
                <w:color w:val="auto"/>
              </w:rPr>
              <w:t>Services and Support</w:t>
            </w:r>
          </w:p>
        </w:tc>
        <w:tc>
          <w:tcPr>
            <w:tcW w:w="320" w:type="dxa"/>
            <w:vAlign w:val="bottom"/>
          </w:tcPr>
          <w:p>
            <w:pPr>
              <w:jc w:val="right"/>
              <w:ind w:right="162"/>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146,809</w:t>
            </w:r>
          </w:p>
        </w:tc>
        <w:tc>
          <w:tcPr>
            <w:tcW w:w="340" w:type="dxa"/>
            <w:vAlign w:val="bottom"/>
            <w:gridSpan w:val="4"/>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19,840</w:t>
            </w:r>
          </w:p>
        </w:tc>
        <w:tc>
          <w:tcPr>
            <w:tcW w:w="100" w:type="dxa"/>
            <w:vAlign w:val="bottom"/>
          </w:tcPr>
          <w:p>
            <w:pPr>
              <w:spacing w:after="0"/>
              <w:rPr>
                <w:sz w:val="18"/>
                <w:szCs w:val="18"/>
                <w:color w:val="auto"/>
              </w:rPr>
            </w:pPr>
          </w:p>
        </w:tc>
        <w:tc>
          <w:tcPr>
            <w:tcW w:w="16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109,128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16,145</w:t>
            </w:r>
          </w:p>
        </w:tc>
        <w:tc>
          <w:tcPr>
            <w:tcW w:w="420" w:type="dxa"/>
            <w:vAlign w:val="bottom"/>
            <w:gridSpan w:val="3"/>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291,922</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240" w:type="dxa"/>
            <w:vAlign w:val="bottom"/>
            <w:tcBorders>
              <w:right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Processing</w:t>
            </w: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10,094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172,000</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32,994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1,542</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216,630</w:t>
            </w: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tcPr>
          <w:p>
            <w:pPr>
              <w:spacing w:after="0"/>
              <w:rPr>
                <w:sz w:val="18"/>
                <w:szCs w:val="18"/>
                <w:color w:val="auto"/>
              </w:rPr>
            </w:pPr>
          </w:p>
        </w:tc>
        <w:tc>
          <w:tcPr>
            <w:tcW w:w="3240" w:type="dxa"/>
            <w:vAlign w:val="bottom"/>
            <w:tcBorders>
              <w:bottom w:val="single" w:sz="8" w:color="CCEEFF"/>
            </w:tcBorders>
            <w:gridSpan w:val="2"/>
          </w:tcPr>
          <w:p>
            <w:pPr>
              <w:ind w:left="540"/>
              <w:spacing w:after="0"/>
              <w:rPr>
                <w:sz w:val="20"/>
                <w:szCs w:val="20"/>
                <w:color w:val="auto"/>
              </w:rPr>
            </w:pPr>
            <w:r>
              <w:rPr>
                <w:rFonts w:ascii="Arial" w:cs="Arial" w:eastAsia="Arial" w:hAnsi="Arial"/>
                <w:sz w:val="16"/>
                <w:szCs w:val="16"/>
                <w:b w:val="1"/>
                <w:bCs w:val="1"/>
                <w:color w:val="auto"/>
              </w:rPr>
              <w:t>Total Revenue</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156,903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191,840</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142,122</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17,687</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508,552</w:t>
            </w: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00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6"/>
                <w:szCs w:val="16"/>
                <w:color w:val="auto"/>
              </w:rPr>
              <w:t>Cost of Revenue</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71,705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106,878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61,366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67,396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307,345</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240" w:type="dxa"/>
            <w:vAlign w:val="bottom"/>
            <w:tcBorders>
              <w:right w:val="single" w:sz="8" w:color="CECECE"/>
            </w:tcBorders>
            <w:gridSpan w:val="2"/>
            <w:shd w:val="clear" w:color="auto" w:fill="CCEEFF"/>
          </w:tcPr>
          <w:p>
            <w:pPr>
              <w:spacing w:after="0"/>
              <w:rPr>
                <w:sz w:val="20"/>
                <w:szCs w:val="20"/>
                <w:color w:val="auto"/>
              </w:rPr>
            </w:pPr>
            <w:r>
              <w:rPr>
                <w:rFonts w:ascii="Arial" w:cs="Arial" w:eastAsia="Arial" w:hAnsi="Arial"/>
                <w:sz w:val="16"/>
                <w:szCs w:val="16"/>
                <w:color w:val="auto"/>
              </w:rPr>
              <w:t>Research and Development</w:t>
            </w:r>
          </w:p>
        </w:tc>
        <w:tc>
          <w:tcPr>
            <w:tcW w:w="320" w:type="dxa"/>
            <w:vAlign w:val="bottom"/>
            <w:shd w:val="clear" w:color="auto" w:fill="CECECE"/>
          </w:tcPr>
          <w:p>
            <w:pPr>
              <w:spacing w:after="0"/>
              <w:rPr>
                <w:sz w:val="18"/>
                <w:szCs w:val="18"/>
                <w:color w:val="auto"/>
              </w:rPr>
            </w:pPr>
          </w:p>
        </w:tc>
        <w:tc>
          <w:tcPr>
            <w:tcW w:w="114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22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480" w:type="dxa"/>
            <w:vAlign w:val="bottom"/>
            <w:shd w:val="clear" w:color="auto" w:fill="CECECE"/>
          </w:tcPr>
          <w:p>
            <w:pPr>
              <w:spacing w:after="0"/>
              <w:rPr>
                <w:sz w:val="18"/>
                <w:szCs w:val="18"/>
                <w:color w:val="auto"/>
              </w:rPr>
            </w:pPr>
          </w:p>
        </w:tc>
        <w:tc>
          <w:tcPr>
            <w:tcW w:w="100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34,625</w:t>
            </w:r>
          </w:p>
        </w:tc>
        <w:tc>
          <w:tcPr>
            <w:tcW w:w="0" w:type="dxa"/>
            <w:vAlign w:val="bottom"/>
          </w:tcPr>
          <w:p>
            <w:pPr>
              <w:spacing w:after="0"/>
              <w:rPr>
                <w:sz w:val="1"/>
                <w:szCs w:val="1"/>
                <w:color w:val="auto"/>
              </w:rPr>
            </w:pPr>
          </w:p>
        </w:tc>
      </w:tr>
      <w:tr>
        <w:trPr>
          <w:trHeight w:val="215"/>
        </w:trPr>
        <w:tc>
          <w:tcPr>
            <w:tcW w:w="20" w:type="dxa"/>
            <w:vAlign w:val="bottom"/>
            <w:tcBorders>
              <w:bottom w:val="single" w:sz="8" w:color="CCEEFF"/>
            </w:tcBorders>
          </w:tcPr>
          <w:p>
            <w:pPr>
              <w:spacing w:after="0"/>
              <w:rPr>
                <w:sz w:val="18"/>
                <w:szCs w:val="18"/>
                <w:color w:val="auto"/>
              </w:rPr>
            </w:pPr>
          </w:p>
        </w:tc>
        <w:tc>
          <w:tcPr>
            <w:tcW w:w="3240" w:type="dxa"/>
            <w:vAlign w:val="bottom"/>
            <w:tcBorders>
              <w:bottom w:val="single" w:sz="8" w:color="CCEEFF"/>
              <w:right w:val="single" w:sz="8" w:color="CECECE"/>
            </w:tcBorders>
            <w:gridSpan w:val="2"/>
          </w:tcPr>
          <w:p>
            <w:pPr>
              <w:spacing w:after="0"/>
              <w:rPr>
                <w:sz w:val="20"/>
                <w:szCs w:val="20"/>
                <w:color w:val="auto"/>
              </w:rPr>
            </w:pPr>
            <w:r>
              <w:rPr>
                <w:rFonts w:ascii="Arial" w:cs="Arial" w:eastAsia="Arial" w:hAnsi="Arial"/>
                <w:sz w:val="16"/>
                <w:szCs w:val="16"/>
                <w:color w:val="auto"/>
              </w:rPr>
              <w:t>Selling, General, and Administrative</w:t>
            </w:r>
          </w:p>
        </w:tc>
        <w:tc>
          <w:tcPr>
            <w:tcW w:w="320" w:type="dxa"/>
            <w:vAlign w:val="bottom"/>
            <w:tcBorders>
              <w:bottom w:val="single" w:sz="8" w:color="CECECE"/>
            </w:tcBorders>
            <w:shd w:val="clear" w:color="auto" w:fill="CECECE"/>
          </w:tcPr>
          <w:p>
            <w:pPr>
              <w:spacing w:after="0"/>
              <w:rPr>
                <w:sz w:val="18"/>
                <w:szCs w:val="18"/>
                <w:color w:val="auto"/>
              </w:rPr>
            </w:pPr>
          </w:p>
        </w:tc>
        <w:tc>
          <w:tcPr>
            <w:tcW w:w="114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8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220" w:type="dxa"/>
            <w:vAlign w:val="bottom"/>
            <w:tcBorders>
              <w:bottom w:val="single" w:sz="8" w:color="CECECE"/>
            </w:tcBorders>
            <w:shd w:val="clear" w:color="auto" w:fill="CECECE"/>
          </w:tcPr>
          <w:p>
            <w:pPr>
              <w:spacing w:after="0"/>
              <w:rPr>
                <w:sz w:val="18"/>
                <w:szCs w:val="18"/>
                <w:color w:val="auto"/>
              </w:rPr>
            </w:pPr>
          </w:p>
        </w:tc>
        <w:tc>
          <w:tcPr>
            <w:tcW w:w="126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140" w:type="dxa"/>
            <w:vAlign w:val="bottom"/>
            <w:tcBorders>
              <w:bottom w:val="single" w:sz="8" w:color="CECECE"/>
            </w:tcBorders>
            <w:shd w:val="clear" w:color="auto" w:fill="CECECE"/>
          </w:tcPr>
          <w:p>
            <w:pPr>
              <w:spacing w:after="0"/>
              <w:rPr>
                <w:sz w:val="18"/>
                <w:szCs w:val="18"/>
                <w:color w:val="auto"/>
              </w:rPr>
            </w:pPr>
          </w:p>
        </w:tc>
        <w:tc>
          <w:tcPr>
            <w:tcW w:w="148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480" w:type="dxa"/>
            <w:vAlign w:val="bottom"/>
            <w:tcBorders>
              <w:bottom w:val="single" w:sz="8" w:color="CECECE"/>
            </w:tcBorders>
            <w:shd w:val="clear" w:color="auto" w:fill="CECECE"/>
          </w:tcPr>
          <w:p>
            <w:pPr>
              <w:spacing w:after="0"/>
              <w:rPr>
                <w:sz w:val="18"/>
                <w:szCs w:val="18"/>
                <w:color w:val="auto"/>
              </w:rPr>
            </w:pPr>
          </w:p>
        </w:tc>
        <w:tc>
          <w:tcPr>
            <w:tcW w:w="100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58,192</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240" w:type="dxa"/>
            <w:vAlign w:val="bottom"/>
            <w:tcBorders>
              <w:right w:val="single" w:sz="8" w:color="CECECE"/>
            </w:tcBorders>
            <w:gridSpan w:val="2"/>
            <w:shd w:val="clear" w:color="auto" w:fill="CCEEFF"/>
          </w:tcPr>
          <w:p>
            <w:pPr>
              <w:ind w:left="540"/>
              <w:spacing w:after="0"/>
              <w:rPr>
                <w:sz w:val="20"/>
                <w:szCs w:val="20"/>
                <w:color w:val="auto"/>
              </w:rPr>
            </w:pPr>
            <w:r>
              <w:rPr>
                <w:rFonts w:ascii="Arial" w:cs="Arial" w:eastAsia="Arial" w:hAnsi="Arial"/>
                <w:sz w:val="16"/>
                <w:szCs w:val="16"/>
                <w:b w:val="1"/>
                <w:bCs w:val="1"/>
                <w:color w:val="auto"/>
              </w:rPr>
              <w:t>Total Expenses</w:t>
            </w:r>
          </w:p>
        </w:tc>
        <w:tc>
          <w:tcPr>
            <w:tcW w:w="320" w:type="dxa"/>
            <w:vAlign w:val="bottom"/>
            <w:shd w:val="clear" w:color="auto" w:fill="CECECE"/>
          </w:tcPr>
          <w:p>
            <w:pPr>
              <w:spacing w:after="0"/>
              <w:rPr>
                <w:sz w:val="18"/>
                <w:szCs w:val="18"/>
                <w:color w:val="auto"/>
              </w:rPr>
            </w:pPr>
          </w:p>
        </w:tc>
        <w:tc>
          <w:tcPr>
            <w:tcW w:w="114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22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480" w:type="dxa"/>
            <w:vAlign w:val="bottom"/>
            <w:shd w:val="clear" w:color="auto" w:fill="CECECE"/>
          </w:tcPr>
          <w:p>
            <w:pPr>
              <w:spacing w:after="0"/>
              <w:rPr>
                <w:sz w:val="18"/>
                <w:szCs w:val="18"/>
                <w:color w:val="auto"/>
              </w:rPr>
            </w:pPr>
          </w:p>
        </w:tc>
        <w:tc>
          <w:tcPr>
            <w:tcW w:w="100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400,162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40" w:type="dxa"/>
            <w:vAlign w:val="bottom"/>
            <w:gridSpan w:val="2"/>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gridSpan w:val="2"/>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3240" w:type="dxa"/>
            <w:vAlign w:val="bottom"/>
            <w:tcBorders>
              <w:top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SEGMENT INCOME</w:t>
            </w:r>
          </w:p>
        </w:tc>
        <w:tc>
          <w:tcPr>
            <w:tcW w:w="320" w:type="dxa"/>
            <w:vAlign w:val="bottom"/>
            <w:tcBorders>
              <w:top w:val="single" w:sz="8" w:color="auto"/>
              <w:bottom w:val="single" w:sz="8" w:color="auto"/>
            </w:tcBorders>
            <w:shd w:val="clear" w:color="auto" w:fill="CCEEFF"/>
          </w:tcPr>
          <w:p>
            <w:pPr>
              <w:jc w:val="right"/>
              <w:ind w:right="162"/>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85,198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84,962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80,756</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(49,709)</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240" w:type="dxa"/>
            <w:vAlign w:val="bottom"/>
            <w:tcBorders>
              <w:right w:val="single" w:sz="8" w:color="CECECE"/>
            </w:tcBorders>
            <w:gridSpan w:val="2"/>
            <w:shd w:val="clear" w:color="auto" w:fill="CCEEFF"/>
          </w:tcPr>
          <w:p>
            <w:pPr>
              <w:spacing w:after="0"/>
              <w:rPr>
                <w:sz w:val="20"/>
                <w:szCs w:val="20"/>
                <w:color w:val="auto"/>
              </w:rPr>
            </w:pPr>
            <w:r>
              <w:rPr>
                <w:rFonts w:ascii="Arial" w:cs="Arial" w:eastAsia="Arial" w:hAnsi="Arial"/>
                <w:sz w:val="16"/>
                <w:szCs w:val="16"/>
                <w:color w:val="auto"/>
              </w:rPr>
              <w:t>OPERATING INCOME</w:t>
            </w:r>
          </w:p>
        </w:tc>
        <w:tc>
          <w:tcPr>
            <w:tcW w:w="320" w:type="dxa"/>
            <w:vAlign w:val="bottom"/>
            <w:shd w:val="clear" w:color="auto" w:fill="CECECE"/>
          </w:tcPr>
          <w:p>
            <w:pPr>
              <w:spacing w:after="0"/>
              <w:rPr>
                <w:sz w:val="18"/>
                <w:szCs w:val="18"/>
                <w:color w:val="auto"/>
              </w:rPr>
            </w:pPr>
          </w:p>
        </w:tc>
        <w:tc>
          <w:tcPr>
            <w:tcW w:w="114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22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480" w:type="dxa"/>
            <w:vAlign w:val="bottom"/>
            <w:shd w:val="clear" w:color="auto" w:fill="CECECE"/>
          </w:tcPr>
          <w:p>
            <w:pPr>
              <w:spacing w:after="0"/>
              <w:rPr>
                <w:sz w:val="18"/>
                <w:szCs w:val="18"/>
                <w:color w:val="auto"/>
              </w:rPr>
            </w:pPr>
          </w:p>
        </w:tc>
        <w:tc>
          <w:tcPr>
            <w:tcW w:w="100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108,390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40" w:type="dxa"/>
            <w:vAlign w:val="bottom"/>
            <w:gridSpan w:val="2"/>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240" w:type="dxa"/>
            <w:vAlign w:val="bottom"/>
            <w:tcBorders>
              <w:right w:val="single" w:sz="8" w:color="CECECE"/>
            </w:tcBorders>
            <w:gridSpan w:val="2"/>
            <w:shd w:val="clear" w:color="auto" w:fill="CCEEFF"/>
          </w:tcPr>
          <w:p>
            <w:pPr>
              <w:spacing w:after="0"/>
              <w:rPr>
                <w:sz w:val="20"/>
                <w:szCs w:val="20"/>
                <w:color w:val="auto"/>
              </w:rPr>
            </w:pPr>
            <w:r>
              <w:rPr>
                <w:rFonts w:ascii="Arial" w:cs="Arial" w:eastAsia="Arial" w:hAnsi="Arial"/>
                <w:sz w:val="16"/>
                <w:szCs w:val="16"/>
                <w:color w:val="auto"/>
              </w:rPr>
              <w:t>INTEREST INCOME (EXPENSE)</w:t>
            </w:r>
          </w:p>
        </w:tc>
        <w:tc>
          <w:tcPr>
            <w:tcW w:w="320" w:type="dxa"/>
            <w:vAlign w:val="bottom"/>
            <w:shd w:val="clear" w:color="auto" w:fill="CECECE"/>
          </w:tcPr>
          <w:p>
            <w:pPr>
              <w:spacing w:after="0"/>
              <w:rPr>
                <w:sz w:val="18"/>
                <w:szCs w:val="18"/>
                <w:color w:val="auto"/>
              </w:rPr>
            </w:pPr>
          </w:p>
        </w:tc>
        <w:tc>
          <w:tcPr>
            <w:tcW w:w="114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22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480" w:type="dxa"/>
            <w:vAlign w:val="bottom"/>
            <w:shd w:val="clear" w:color="auto" w:fill="CECECE"/>
          </w:tcPr>
          <w:p>
            <w:pPr>
              <w:spacing w:after="0"/>
              <w:rPr>
                <w:sz w:val="18"/>
                <w:szCs w:val="18"/>
                <w:color w:val="auto"/>
              </w:rPr>
            </w:pPr>
          </w:p>
        </w:tc>
        <w:tc>
          <w:tcPr>
            <w:tcW w:w="100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(2,275)</w:t>
            </w: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tcPr>
          <w:p>
            <w:pPr>
              <w:spacing w:after="0"/>
              <w:rPr>
                <w:sz w:val="22"/>
                <w:szCs w:val="22"/>
                <w:color w:val="auto"/>
              </w:rPr>
            </w:pPr>
          </w:p>
        </w:tc>
        <w:tc>
          <w:tcPr>
            <w:tcW w:w="3240" w:type="dxa"/>
            <w:vAlign w:val="bottom"/>
            <w:tcBorders>
              <w:bottom w:val="single" w:sz="8" w:color="CCEEFF"/>
            </w:tcBorders>
            <w:gridSpan w:val="2"/>
          </w:tcPr>
          <w:p>
            <w:pPr>
              <w:spacing w:after="0"/>
              <w:rPr>
                <w:sz w:val="22"/>
                <w:szCs w:val="22"/>
                <w:color w:val="auto"/>
              </w:rPr>
            </w:pPr>
          </w:p>
        </w:tc>
        <w:tc>
          <w:tcPr>
            <w:tcW w:w="320" w:type="dxa"/>
            <w:vAlign w:val="bottom"/>
            <w:tcBorders>
              <w:bottom w:val="single" w:sz="8" w:color="CECECE"/>
            </w:tcBorders>
          </w:tcPr>
          <w:p>
            <w:pPr>
              <w:spacing w:after="0"/>
              <w:rPr>
                <w:sz w:val="22"/>
                <w:szCs w:val="22"/>
                <w:color w:val="auto"/>
              </w:rPr>
            </w:pPr>
          </w:p>
        </w:tc>
        <w:tc>
          <w:tcPr>
            <w:tcW w:w="1140" w:type="dxa"/>
            <w:vAlign w:val="bottom"/>
            <w:tcBorders>
              <w:bottom w:val="single" w:sz="8" w:color="CECECE"/>
            </w:tcBorders>
          </w:tcPr>
          <w:p>
            <w:pPr>
              <w:spacing w:after="0"/>
              <w:rPr>
                <w:sz w:val="22"/>
                <w:szCs w:val="22"/>
                <w:color w:val="auto"/>
              </w:rPr>
            </w:pPr>
          </w:p>
        </w:tc>
        <w:tc>
          <w:tcPr>
            <w:tcW w:w="20" w:type="dxa"/>
            <w:vAlign w:val="bottom"/>
            <w:tcBorders>
              <w:bottom w:val="single" w:sz="8" w:color="CECECE"/>
            </w:tcBorders>
          </w:tcPr>
          <w:p>
            <w:pPr>
              <w:spacing w:after="0"/>
              <w:rPr>
                <w:sz w:val="22"/>
                <w:szCs w:val="22"/>
                <w:color w:val="auto"/>
              </w:rPr>
            </w:pPr>
          </w:p>
        </w:tc>
        <w:tc>
          <w:tcPr>
            <w:tcW w:w="80" w:type="dxa"/>
            <w:vAlign w:val="bottom"/>
            <w:tcBorders>
              <w:bottom w:val="single" w:sz="8" w:color="CECECE"/>
            </w:tcBorders>
          </w:tcPr>
          <w:p>
            <w:pPr>
              <w:spacing w:after="0"/>
              <w:rPr>
                <w:sz w:val="22"/>
                <w:szCs w:val="22"/>
                <w:color w:val="auto"/>
              </w:rPr>
            </w:pPr>
          </w:p>
        </w:tc>
        <w:tc>
          <w:tcPr>
            <w:tcW w:w="20" w:type="dxa"/>
            <w:vAlign w:val="bottom"/>
            <w:tcBorders>
              <w:bottom w:val="single" w:sz="8" w:color="CECECE"/>
            </w:tcBorders>
          </w:tcPr>
          <w:p>
            <w:pPr>
              <w:spacing w:after="0"/>
              <w:rPr>
                <w:sz w:val="22"/>
                <w:szCs w:val="22"/>
                <w:color w:val="auto"/>
              </w:rPr>
            </w:pPr>
          </w:p>
        </w:tc>
        <w:tc>
          <w:tcPr>
            <w:tcW w:w="220" w:type="dxa"/>
            <w:vAlign w:val="bottom"/>
            <w:tcBorders>
              <w:bottom w:val="single" w:sz="8" w:color="CECECE"/>
            </w:tcBorders>
          </w:tcPr>
          <w:p>
            <w:pPr>
              <w:spacing w:after="0"/>
              <w:rPr>
                <w:sz w:val="22"/>
                <w:szCs w:val="22"/>
                <w:color w:val="auto"/>
              </w:rPr>
            </w:pPr>
          </w:p>
        </w:tc>
        <w:tc>
          <w:tcPr>
            <w:tcW w:w="1260" w:type="dxa"/>
            <w:vAlign w:val="bottom"/>
            <w:tcBorders>
              <w:bottom w:val="single" w:sz="8" w:color="CECECE"/>
            </w:tcBorders>
          </w:tcPr>
          <w:p>
            <w:pPr>
              <w:spacing w:after="0"/>
              <w:rPr>
                <w:sz w:val="22"/>
                <w:szCs w:val="22"/>
                <w:color w:val="auto"/>
              </w:rPr>
            </w:pPr>
          </w:p>
        </w:tc>
        <w:tc>
          <w:tcPr>
            <w:tcW w:w="100" w:type="dxa"/>
            <w:vAlign w:val="bottom"/>
            <w:tcBorders>
              <w:bottom w:val="single" w:sz="8" w:color="CECECE"/>
            </w:tcBorders>
          </w:tcPr>
          <w:p>
            <w:pPr>
              <w:spacing w:after="0"/>
              <w:rPr>
                <w:sz w:val="22"/>
                <w:szCs w:val="22"/>
                <w:color w:val="auto"/>
              </w:rPr>
            </w:pPr>
          </w:p>
        </w:tc>
        <w:tc>
          <w:tcPr>
            <w:tcW w:w="20" w:type="dxa"/>
            <w:vAlign w:val="bottom"/>
            <w:tcBorders>
              <w:bottom w:val="single" w:sz="8" w:color="CECECE"/>
            </w:tcBorders>
          </w:tcPr>
          <w:p>
            <w:pPr>
              <w:spacing w:after="0"/>
              <w:rPr>
                <w:sz w:val="22"/>
                <w:szCs w:val="22"/>
                <w:color w:val="auto"/>
              </w:rPr>
            </w:pPr>
          </w:p>
        </w:tc>
        <w:tc>
          <w:tcPr>
            <w:tcW w:w="140" w:type="dxa"/>
            <w:vAlign w:val="bottom"/>
            <w:tcBorders>
              <w:bottom w:val="single" w:sz="8" w:color="CECECE"/>
            </w:tcBorders>
          </w:tcPr>
          <w:p>
            <w:pPr>
              <w:spacing w:after="0"/>
              <w:rPr>
                <w:sz w:val="22"/>
                <w:szCs w:val="22"/>
                <w:color w:val="auto"/>
              </w:rPr>
            </w:pPr>
          </w:p>
        </w:tc>
        <w:tc>
          <w:tcPr>
            <w:tcW w:w="1480" w:type="dxa"/>
            <w:vAlign w:val="bottom"/>
            <w:tcBorders>
              <w:bottom w:val="single" w:sz="8" w:color="CECECE"/>
            </w:tcBorders>
          </w:tcPr>
          <w:p>
            <w:pPr>
              <w:spacing w:after="0"/>
              <w:rPr>
                <w:sz w:val="22"/>
                <w:szCs w:val="22"/>
                <w:color w:val="auto"/>
              </w:rPr>
            </w:pPr>
          </w:p>
        </w:tc>
        <w:tc>
          <w:tcPr>
            <w:tcW w:w="20" w:type="dxa"/>
            <w:vAlign w:val="bottom"/>
            <w:tcBorders>
              <w:bottom w:val="single" w:sz="8" w:color="CECECE"/>
            </w:tcBorders>
          </w:tcPr>
          <w:p>
            <w:pPr>
              <w:spacing w:after="0"/>
              <w:rPr>
                <w:sz w:val="22"/>
                <w:szCs w:val="22"/>
                <w:color w:val="auto"/>
              </w:rPr>
            </w:pPr>
          </w:p>
        </w:tc>
        <w:tc>
          <w:tcPr>
            <w:tcW w:w="100" w:type="dxa"/>
            <w:vAlign w:val="bottom"/>
            <w:tcBorders>
              <w:bottom w:val="single" w:sz="8" w:color="CECECE"/>
            </w:tcBorders>
          </w:tcPr>
          <w:p>
            <w:pPr>
              <w:spacing w:after="0"/>
              <w:rPr>
                <w:sz w:val="22"/>
                <w:szCs w:val="22"/>
                <w:color w:val="auto"/>
              </w:rPr>
            </w:pPr>
          </w:p>
        </w:tc>
        <w:tc>
          <w:tcPr>
            <w:tcW w:w="20" w:type="dxa"/>
            <w:vAlign w:val="bottom"/>
            <w:tcBorders>
              <w:bottom w:val="single" w:sz="8" w:color="CECECE"/>
            </w:tcBorders>
          </w:tcPr>
          <w:p>
            <w:pPr>
              <w:spacing w:after="0"/>
              <w:rPr>
                <w:sz w:val="22"/>
                <w:szCs w:val="22"/>
                <w:color w:val="auto"/>
              </w:rPr>
            </w:pPr>
          </w:p>
        </w:tc>
        <w:tc>
          <w:tcPr>
            <w:tcW w:w="480" w:type="dxa"/>
            <w:vAlign w:val="bottom"/>
            <w:tcBorders>
              <w:bottom w:val="single" w:sz="8" w:color="CECECE"/>
            </w:tcBorders>
          </w:tcPr>
          <w:p>
            <w:pPr>
              <w:spacing w:after="0"/>
              <w:rPr>
                <w:sz w:val="22"/>
                <w:szCs w:val="22"/>
                <w:color w:val="auto"/>
              </w:rPr>
            </w:pPr>
          </w:p>
        </w:tc>
        <w:tc>
          <w:tcPr>
            <w:tcW w:w="1000" w:type="dxa"/>
            <w:vAlign w:val="bottom"/>
            <w:tcBorders>
              <w:bottom w:val="single" w:sz="8" w:color="CECECE"/>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0" w:type="dxa"/>
            <w:vAlign w:val="bottom"/>
            <w:tcBorders>
              <w:bottom w:val="single" w:sz="8" w:color="CCEEFF"/>
            </w:tcBorders>
            <w:shd w:val="clear" w:color="auto" w:fill="CCEEFF"/>
          </w:tcPr>
          <w:p>
            <w:pPr>
              <w:spacing w:after="0"/>
              <w:rPr>
                <w:sz w:val="19"/>
                <w:szCs w:val="19"/>
                <w:color w:val="auto"/>
              </w:rPr>
            </w:pPr>
          </w:p>
        </w:tc>
        <w:tc>
          <w:tcPr>
            <w:tcW w:w="3240" w:type="dxa"/>
            <w:vAlign w:val="bottom"/>
            <w:tcBorders>
              <w:bottom w:val="single" w:sz="8" w:color="CCEEFF"/>
              <w:right w:val="single" w:sz="8" w:color="CECECE"/>
            </w:tcBorders>
            <w:gridSpan w:val="2"/>
            <w:shd w:val="clear" w:color="auto" w:fill="CCEEFF"/>
          </w:tcPr>
          <w:p>
            <w:pPr>
              <w:spacing w:after="0"/>
              <w:rPr>
                <w:sz w:val="20"/>
                <w:szCs w:val="20"/>
                <w:color w:val="auto"/>
              </w:rPr>
            </w:pPr>
            <w:r>
              <w:rPr>
                <w:rFonts w:ascii="Arial" w:cs="Arial" w:eastAsia="Arial" w:hAnsi="Arial"/>
                <w:sz w:val="16"/>
                <w:szCs w:val="16"/>
                <w:color w:val="auto"/>
              </w:rPr>
              <w:t>INCOME BEFORE INCOME TAXES</w:t>
            </w:r>
          </w:p>
        </w:tc>
        <w:tc>
          <w:tcPr>
            <w:tcW w:w="320" w:type="dxa"/>
            <w:vAlign w:val="bottom"/>
            <w:tcBorders>
              <w:bottom w:val="single" w:sz="8" w:color="CECECE"/>
            </w:tcBorders>
            <w:shd w:val="clear" w:color="auto" w:fill="CECECE"/>
          </w:tcPr>
          <w:p>
            <w:pPr>
              <w:spacing w:after="0"/>
              <w:rPr>
                <w:sz w:val="19"/>
                <w:szCs w:val="19"/>
                <w:color w:val="auto"/>
              </w:rPr>
            </w:pPr>
          </w:p>
        </w:tc>
        <w:tc>
          <w:tcPr>
            <w:tcW w:w="114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8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220" w:type="dxa"/>
            <w:vAlign w:val="bottom"/>
            <w:tcBorders>
              <w:bottom w:val="single" w:sz="8" w:color="CECECE"/>
            </w:tcBorders>
            <w:shd w:val="clear" w:color="auto" w:fill="CECECE"/>
          </w:tcPr>
          <w:p>
            <w:pPr>
              <w:spacing w:after="0"/>
              <w:rPr>
                <w:sz w:val="19"/>
                <w:szCs w:val="19"/>
                <w:color w:val="auto"/>
              </w:rPr>
            </w:pPr>
          </w:p>
        </w:tc>
        <w:tc>
          <w:tcPr>
            <w:tcW w:w="1260" w:type="dxa"/>
            <w:vAlign w:val="bottom"/>
            <w:tcBorders>
              <w:bottom w:val="single" w:sz="8" w:color="CECECE"/>
            </w:tcBorders>
            <w:shd w:val="clear" w:color="auto" w:fill="CECECE"/>
          </w:tcPr>
          <w:p>
            <w:pPr>
              <w:spacing w:after="0"/>
              <w:rPr>
                <w:sz w:val="19"/>
                <w:szCs w:val="19"/>
                <w:color w:val="auto"/>
              </w:rPr>
            </w:pPr>
          </w:p>
        </w:tc>
        <w:tc>
          <w:tcPr>
            <w:tcW w:w="10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140" w:type="dxa"/>
            <w:vAlign w:val="bottom"/>
            <w:tcBorders>
              <w:bottom w:val="single" w:sz="8" w:color="CECECE"/>
            </w:tcBorders>
            <w:shd w:val="clear" w:color="auto" w:fill="CECECE"/>
          </w:tcPr>
          <w:p>
            <w:pPr>
              <w:spacing w:after="0"/>
              <w:rPr>
                <w:sz w:val="19"/>
                <w:szCs w:val="19"/>
                <w:color w:val="auto"/>
              </w:rPr>
            </w:pPr>
          </w:p>
        </w:tc>
        <w:tc>
          <w:tcPr>
            <w:tcW w:w="148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10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480" w:type="dxa"/>
            <w:vAlign w:val="bottom"/>
            <w:tcBorders>
              <w:bottom w:val="single" w:sz="8" w:color="CECECE"/>
            </w:tcBorders>
            <w:shd w:val="clear" w:color="auto" w:fill="CECECE"/>
          </w:tcPr>
          <w:p>
            <w:pPr>
              <w:spacing w:after="0"/>
              <w:rPr>
                <w:sz w:val="19"/>
                <w:szCs w:val="19"/>
                <w:color w:val="auto"/>
              </w:rPr>
            </w:pPr>
          </w:p>
        </w:tc>
        <w:tc>
          <w:tcPr>
            <w:tcW w:w="1000" w:type="dxa"/>
            <w:vAlign w:val="bottom"/>
            <w:tcBorders>
              <w:bottom w:val="single" w:sz="8" w:color="CECECE"/>
            </w:tcBorders>
            <w:shd w:val="clear" w:color="auto" w:fill="CECEC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106,115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ECECE"/>
            </w:tcBorders>
          </w:tcPr>
          <w:p>
            <w:pPr>
              <w:spacing w:after="0" w:line="20" w:lineRule="exact"/>
              <w:rPr>
                <w:sz w:val="1"/>
                <w:szCs w:val="1"/>
                <w:color w:val="auto"/>
              </w:rPr>
            </w:pPr>
          </w:p>
        </w:tc>
        <w:tc>
          <w:tcPr>
            <w:tcW w:w="1140" w:type="dxa"/>
            <w:vAlign w:val="bottom"/>
            <w:tcBorders>
              <w:top w:val="single" w:sz="8" w:color="CECECE"/>
            </w:tcBorders>
          </w:tcPr>
          <w:p>
            <w:pPr>
              <w:spacing w:after="0" w:line="20" w:lineRule="exact"/>
              <w:rPr>
                <w:sz w:val="1"/>
                <w:szCs w:val="1"/>
                <w:color w:val="auto"/>
              </w:rPr>
            </w:pPr>
          </w:p>
        </w:tc>
        <w:tc>
          <w:tcPr>
            <w:tcW w:w="20" w:type="dxa"/>
            <w:vAlign w:val="bottom"/>
            <w:tcBorders>
              <w:top w:val="single" w:sz="8" w:color="CECECE"/>
            </w:tcBorders>
          </w:tcPr>
          <w:p>
            <w:pPr>
              <w:spacing w:after="0" w:line="20" w:lineRule="exact"/>
              <w:rPr>
                <w:sz w:val="1"/>
                <w:szCs w:val="1"/>
                <w:color w:val="auto"/>
              </w:rPr>
            </w:pPr>
          </w:p>
        </w:tc>
        <w:tc>
          <w:tcPr>
            <w:tcW w:w="80" w:type="dxa"/>
            <w:vAlign w:val="bottom"/>
            <w:tcBorders>
              <w:top w:val="single" w:sz="8" w:color="CECECE"/>
            </w:tcBorders>
          </w:tcPr>
          <w:p>
            <w:pPr>
              <w:spacing w:after="0" w:line="20" w:lineRule="exact"/>
              <w:rPr>
                <w:sz w:val="1"/>
                <w:szCs w:val="1"/>
                <w:color w:val="auto"/>
              </w:rPr>
            </w:pPr>
          </w:p>
        </w:tc>
        <w:tc>
          <w:tcPr>
            <w:tcW w:w="20" w:type="dxa"/>
            <w:vAlign w:val="bottom"/>
            <w:tcBorders>
              <w:top w:val="single" w:sz="8" w:color="CECECE"/>
            </w:tcBorders>
          </w:tcPr>
          <w:p>
            <w:pPr>
              <w:spacing w:after="0" w:line="20" w:lineRule="exact"/>
              <w:rPr>
                <w:sz w:val="1"/>
                <w:szCs w:val="1"/>
                <w:color w:val="auto"/>
              </w:rPr>
            </w:pPr>
          </w:p>
        </w:tc>
        <w:tc>
          <w:tcPr>
            <w:tcW w:w="220" w:type="dxa"/>
            <w:vAlign w:val="bottom"/>
            <w:tcBorders>
              <w:top w:val="single" w:sz="8" w:color="CECECE"/>
            </w:tcBorders>
          </w:tcPr>
          <w:p>
            <w:pPr>
              <w:spacing w:after="0" w:line="20" w:lineRule="exact"/>
              <w:rPr>
                <w:sz w:val="1"/>
                <w:szCs w:val="1"/>
                <w:color w:val="auto"/>
              </w:rPr>
            </w:pPr>
          </w:p>
        </w:tc>
        <w:tc>
          <w:tcPr>
            <w:tcW w:w="1260" w:type="dxa"/>
            <w:vAlign w:val="bottom"/>
            <w:tcBorders>
              <w:top w:val="single" w:sz="8" w:color="CECECE"/>
            </w:tcBorders>
          </w:tcPr>
          <w:p>
            <w:pPr>
              <w:spacing w:after="0" w:line="20" w:lineRule="exact"/>
              <w:rPr>
                <w:sz w:val="1"/>
                <w:szCs w:val="1"/>
                <w:color w:val="auto"/>
              </w:rPr>
            </w:pPr>
          </w:p>
        </w:tc>
        <w:tc>
          <w:tcPr>
            <w:tcW w:w="100" w:type="dxa"/>
            <w:vAlign w:val="bottom"/>
            <w:tcBorders>
              <w:top w:val="single" w:sz="8" w:color="CECECE"/>
            </w:tcBorders>
          </w:tcPr>
          <w:p>
            <w:pPr>
              <w:spacing w:after="0" w:line="20" w:lineRule="exact"/>
              <w:rPr>
                <w:sz w:val="1"/>
                <w:szCs w:val="1"/>
                <w:color w:val="auto"/>
              </w:rPr>
            </w:pPr>
          </w:p>
        </w:tc>
        <w:tc>
          <w:tcPr>
            <w:tcW w:w="20" w:type="dxa"/>
            <w:vAlign w:val="bottom"/>
            <w:tcBorders>
              <w:top w:val="single" w:sz="8" w:color="CECECE"/>
            </w:tcBorders>
          </w:tcPr>
          <w:p>
            <w:pPr>
              <w:spacing w:after="0" w:line="20" w:lineRule="exact"/>
              <w:rPr>
                <w:sz w:val="1"/>
                <w:szCs w:val="1"/>
                <w:color w:val="auto"/>
              </w:rPr>
            </w:pPr>
          </w:p>
        </w:tc>
        <w:tc>
          <w:tcPr>
            <w:tcW w:w="1740" w:type="dxa"/>
            <w:vAlign w:val="bottom"/>
            <w:tcBorders>
              <w:top w:val="single" w:sz="8" w:color="CECECE"/>
              <w:bottom w:val="single" w:sz="8" w:color="CECECE"/>
            </w:tcBorders>
            <w:gridSpan w:val="4"/>
            <w:vMerge w:val="restart"/>
          </w:tcPr>
          <w:p>
            <w:pPr>
              <w:spacing w:after="0"/>
              <w:rPr>
                <w:sz w:val="20"/>
                <w:szCs w:val="20"/>
                <w:color w:val="auto"/>
              </w:rPr>
            </w:pPr>
            <w:r>
              <w:rPr>
                <w:rFonts w:ascii="Arial" w:cs="Arial" w:eastAsia="Arial" w:hAnsi="Arial"/>
                <w:sz w:val="16"/>
                <w:szCs w:val="16"/>
                <w:b w:val="1"/>
                <w:bCs w:val="1"/>
                <w:color w:val="auto"/>
              </w:rPr>
              <w:t>Three Months Ended</w:t>
            </w:r>
          </w:p>
        </w:tc>
        <w:tc>
          <w:tcPr>
            <w:tcW w:w="20" w:type="dxa"/>
            <w:vAlign w:val="bottom"/>
            <w:tcBorders>
              <w:top w:val="single" w:sz="8" w:color="CECECE"/>
            </w:tcBorders>
          </w:tcPr>
          <w:p>
            <w:pPr>
              <w:spacing w:after="0" w:line="20" w:lineRule="exact"/>
              <w:rPr>
                <w:sz w:val="1"/>
                <w:szCs w:val="1"/>
                <w:color w:val="auto"/>
              </w:rPr>
            </w:pPr>
          </w:p>
        </w:tc>
        <w:tc>
          <w:tcPr>
            <w:tcW w:w="480" w:type="dxa"/>
            <w:vAlign w:val="bottom"/>
            <w:tcBorders>
              <w:top w:val="single" w:sz="8" w:color="CECECE"/>
            </w:tcBorders>
          </w:tcPr>
          <w:p>
            <w:pPr>
              <w:spacing w:after="0" w:line="20" w:lineRule="exact"/>
              <w:rPr>
                <w:sz w:val="1"/>
                <w:szCs w:val="1"/>
                <w:color w:val="auto"/>
              </w:rPr>
            </w:pPr>
          </w:p>
        </w:tc>
        <w:tc>
          <w:tcPr>
            <w:tcW w:w="1000" w:type="dxa"/>
            <w:vAlign w:val="bottom"/>
            <w:tcBorders>
              <w:top w:val="single" w:sz="8" w:color="CECEC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4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March 31, 2022</w:t>
            </w:r>
          </w:p>
        </w:tc>
        <w:tc>
          <w:tcPr>
            <w:tcW w:w="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REVENUE</w:t>
            </w:r>
          </w:p>
        </w:tc>
        <w:tc>
          <w:tcPr>
            <w:tcW w:w="320" w:type="dxa"/>
            <w:vAlign w:val="bottom"/>
          </w:tcPr>
          <w:p>
            <w:pPr>
              <w:spacing w:after="0"/>
              <w:rPr>
                <w:sz w:val="18"/>
                <w:szCs w:val="18"/>
                <w:color w:val="auto"/>
              </w:rPr>
            </w:pPr>
          </w:p>
        </w:tc>
        <w:tc>
          <w:tcPr>
            <w:tcW w:w="1140" w:type="dxa"/>
            <w:vAlign w:val="bottom"/>
          </w:tcPr>
          <w:p>
            <w:pPr>
              <w:jc w:val="right"/>
              <w:ind w:right="459"/>
              <w:spacing w:after="0"/>
              <w:rPr>
                <w:sz w:val="20"/>
                <w:szCs w:val="20"/>
                <w:color w:val="auto"/>
              </w:rPr>
            </w:pPr>
            <w:r>
              <w:rPr>
                <w:rFonts w:ascii="Arial" w:cs="Arial" w:eastAsia="Arial" w:hAnsi="Arial"/>
                <w:sz w:val="16"/>
                <w:szCs w:val="16"/>
                <w:b w:val="1"/>
                <w:bCs w:val="1"/>
                <w:color w:val="auto"/>
              </w:rPr>
              <w:t>Core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ind w:left="140"/>
              <w:spacing w:after="0"/>
              <w:rPr>
                <w:sz w:val="20"/>
                <w:szCs w:val="20"/>
                <w:color w:val="auto"/>
              </w:rPr>
            </w:pPr>
            <w:r>
              <w:rPr>
                <w:rFonts w:ascii="Arial" w:cs="Arial" w:eastAsia="Arial" w:hAnsi="Arial"/>
                <w:sz w:val="16"/>
                <w:szCs w:val="16"/>
                <w:b w:val="1"/>
                <w:bCs w:val="1"/>
                <w:color w:val="auto"/>
              </w:rPr>
              <w:t>Payments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3"/>
          </w:tcPr>
          <w:p>
            <w:pPr>
              <w:ind w:left="60"/>
              <w:spacing w:after="0"/>
              <w:rPr>
                <w:sz w:val="20"/>
                <w:szCs w:val="20"/>
                <w:color w:val="auto"/>
              </w:rPr>
            </w:pPr>
            <w:r>
              <w:rPr>
                <w:rFonts w:ascii="Arial" w:cs="Arial" w:eastAsia="Arial" w:hAnsi="Arial"/>
                <w:sz w:val="16"/>
                <w:szCs w:val="16"/>
                <w:b w:val="1"/>
                <w:bCs w:val="1"/>
                <w:color w:val="auto"/>
              </w:rPr>
              <w:t>Complementary</w:t>
            </w:r>
          </w:p>
        </w:tc>
        <w:tc>
          <w:tcPr>
            <w:tcW w:w="20" w:type="dxa"/>
            <w:vAlign w:val="bottom"/>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Arial" w:cs="Arial" w:eastAsia="Arial" w:hAnsi="Arial"/>
                <w:sz w:val="16"/>
                <w:szCs w:val="16"/>
                <w:b w:val="1"/>
                <w:bCs w:val="1"/>
                <w:color w:val="auto"/>
              </w:rPr>
              <w:t>Corporate &amp; Other</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4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4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tcPr>
          <w:p>
            <w:pPr>
              <w:ind w:left="140"/>
              <w:spacing w:after="0"/>
              <w:rPr>
                <w:sz w:val="20"/>
                <w:szCs w:val="20"/>
                <w:color w:val="auto"/>
              </w:rPr>
            </w:pPr>
            <w:r>
              <w:rPr>
                <w:rFonts w:ascii="Arial" w:cs="Arial" w:eastAsia="Arial" w:hAnsi="Arial"/>
                <w:sz w:val="16"/>
                <w:szCs w:val="16"/>
                <w:color w:val="auto"/>
              </w:rPr>
              <w:t>Services and Support</w:t>
            </w: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141,194</w:t>
            </w:r>
          </w:p>
        </w:tc>
        <w:tc>
          <w:tcPr>
            <w:tcW w:w="340" w:type="dxa"/>
            <w:vAlign w:val="bottom"/>
            <w:gridSpan w:val="4"/>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23,747</w:t>
            </w:r>
          </w:p>
        </w:tc>
        <w:tc>
          <w:tcPr>
            <w:tcW w:w="100" w:type="dxa"/>
            <w:vAlign w:val="bottom"/>
          </w:tcPr>
          <w:p>
            <w:pPr>
              <w:spacing w:after="0"/>
              <w:rPr>
                <w:sz w:val="18"/>
                <w:szCs w:val="18"/>
                <w:color w:val="auto"/>
              </w:rPr>
            </w:pPr>
          </w:p>
        </w:tc>
        <w:tc>
          <w:tcPr>
            <w:tcW w:w="16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105,520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12,460</w:t>
            </w:r>
          </w:p>
        </w:tc>
        <w:tc>
          <w:tcPr>
            <w:tcW w:w="420" w:type="dxa"/>
            <w:vAlign w:val="bottom"/>
            <w:gridSpan w:val="3"/>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282,921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40" w:type="dxa"/>
            <w:vAlign w:val="bottom"/>
            <w:tcBorders>
              <w:right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Processing</w:t>
            </w: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9,605</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156,771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28,301</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195,339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tcBorders>
              <w:bottom w:val="single" w:sz="8" w:color="CCEEFF"/>
            </w:tcBorders>
            <w:gridSpan w:val="2"/>
          </w:tcPr>
          <w:p>
            <w:pPr>
              <w:ind w:left="540"/>
              <w:spacing w:after="0"/>
              <w:rPr>
                <w:sz w:val="20"/>
                <w:szCs w:val="20"/>
                <w:color w:val="auto"/>
              </w:rPr>
            </w:pPr>
            <w:r>
              <w:rPr>
                <w:rFonts w:ascii="Arial" w:cs="Arial" w:eastAsia="Arial" w:hAnsi="Arial"/>
                <w:sz w:val="16"/>
                <w:szCs w:val="16"/>
                <w:b w:val="1"/>
                <w:bCs w:val="1"/>
                <w:color w:val="auto"/>
              </w:rPr>
              <w:t>Total Revenue</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150,799</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180,518</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133,821</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13,122</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478,260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00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40" w:type="dxa"/>
            <w:vAlign w:val="bottom"/>
            <w:gridSpan w:val="2"/>
          </w:tcPr>
          <w:p>
            <w:pPr>
              <w:ind w:left="20"/>
              <w:spacing w:after="0"/>
              <w:rPr>
                <w:sz w:val="20"/>
                <w:szCs w:val="20"/>
                <w:color w:val="auto"/>
              </w:rPr>
            </w:pPr>
            <w:r>
              <w:rPr>
                <w:rFonts w:ascii="Arial" w:cs="Arial" w:eastAsia="Arial" w:hAnsi="Arial"/>
                <w:sz w:val="16"/>
                <w:szCs w:val="16"/>
                <w:color w:val="auto"/>
              </w:rPr>
              <w:t>Cost of Revenue</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66,576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95,970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57,740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62,053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282,339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4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320" w:type="dxa"/>
            <w:vAlign w:val="bottom"/>
            <w:shd w:val="clear" w:color="auto" w:fill="CECECE"/>
          </w:tcPr>
          <w:p>
            <w:pPr>
              <w:spacing w:after="0"/>
              <w:rPr>
                <w:sz w:val="18"/>
                <w:szCs w:val="18"/>
                <w:color w:val="auto"/>
              </w:rPr>
            </w:pPr>
          </w:p>
        </w:tc>
        <w:tc>
          <w:tcPr>
            <w:tcW w:w="114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22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480" w:type="dxa"/>
            <w:vAlign w:val="bottom"/>
            <w:shd w:val="clear" w:color="auto" w:fill="CECECE"/>
          </w:tcPr>
          <w:p>
            <w:pPr>
              <w:spacing w:after="0"/>
              <w:rPr>
                <w:sz w:val="18"/>
                <w:szCs w:val="18"/>
                <w:color w:val="auto"/>
              </w:rPr>
            </w:pPr>
          </w:p>
        </w:tc>
        <w:tc>
          <w:tcPr>
            <w:tcW w:w="100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30,725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Selling, General, and Administrative</w:t>
            </w:r>
          </w:p>
        </w:tc>
        <w:tc>
          <w:tcPr>
            <w:tcW w:w="320" w:type="dxa"/>
            <w:vAlign w:val="bottom"/>
            <w:tcBorders>
              <w:bottom w:val="single" w:sz="8" w:color="CECECE"/>
            </w:tcBorders>
            <w:shd w:val="clear" w:color="auto" w:fill="CECECE"/>
          </w:tcPr>
          <w:p>
            <w:pPr>
              <w:spacing w:after="0"/>
              <w:rPr>
                <w:sz w:val="18"/>
                <w:szCs w:val="18"/>
                <w:color w:val="auto"/>
              </w:rPr>
            </w:pPr>
          </w:p>
        </w:tc>
        <w:tc>
          <w:tcPr>
            <w:tcW w:w="114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8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220" w:type="dxa"/>
            <w:vAlign w:val="bottom"/>
            <w:tcBorders>
              <w:bottom w:val="single" w:sz="8" w:color="CECECE"/>
            </w:tcBorders>
            <w:shd w:val="clear" w:color="auto" w:fill="CECECE"/>
          </w:tcPr>
          <w:p>
            <w:pPr>
              <w:spacing w:after="0"/>
              <w:rPr>
                <w:sz w:val="18"/>
                <w:szCs w:val="18"/>
                <w:color w:val="auto"/>
              </w:rPr>
            </w:pPr>
          </w:p>
        </w:tc>
        <w:tc>
          <w:tcPr>
            <w:tcW w:w="126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140" w:type="dxa"/>
            <w:vAlign w:val="bottom"/>
            <w:tcBorders>
              <w:bottom w:val="single" w:sz="8" w:color="CECECE"/>
            </w:tcBorders>
            <w:shd w:val="clear" w:color="auto" w:fill="CECECE"/>
          </w:tcPr>
          <w:p>
            <w:pPr>
              <w:spacing w:after="0"/>
              <w:rPr>
                <w:sz w:val="18"/>
                <w:szCs w:val="18"/>
                <w:color w:val="auto"/>
              </w:rPr>
            </w:pPr>
          </w:p>
        </w:tc>
        <w:tc>
          <w:tcPr>
            <w:tcW w:w="148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480" w:type="dxa"/>
            <w:vAlign w:val="bottom"/>
            <w:tcBorders>
              <w:bottom w:val="single" w:sz="8" w:color="CECECE"/>
            </w:tcBorders>
            <w:shd w:val="clear" w:color="auto" w:fill="CECECE"/>
          </w:tcPr>
          <w:p>
            <w:pPr>
              <w:spacing w:after="0"/>
              <w:rPr>
                <w:sz w:val="18"/>
                <w:szCs w:val="18"/>
                <w:color w:val="auto"/>
              </w:rPr>
            </w:pPr>
          </w:p>
        </w:tc>
        <w:tc>
          <w:tcPr>
            <w:tcW w:w="100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53,607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tcBorders>
              <w:right w:val="single" w:sz="8" w:color="CCEEFF"/>
            </w:tcBorders>
            <w:gridSpan w:val="2"/>
            <w:shd w:val="clear" w:color="auto" w:fill="CCEEFF"/>
          </w:tcPr>
          <w:p>
            <w:pPr>
              <w:ind w:left="540"/>
              <w:spacing w:after="0"/>
              <w:rPr>
                <w:sz w:val="20"/>
                <w:szCs w:val="20"/>
                <w:color w:val="auto"/>
              </w:rPr>
            </w:pPr>
            <w:r>
              <w:rPr>
                <w:rFonts w:ascii="Arial" w:cs="Arial" w:eastAsia="Arial" w:hAnsi="Arial"/>
                <w:sz w:val="16"/>
                <w:szCs w:val="16"/>
                <w:b w:val="1"/>
                <w:bCs w:val="1"/>
                <w:color w:val="auto"/>
              </w:rPr>
              <w:t>Total Expenses</w:t>
            </w:r>
          </w:p>
        </w:tc>
        <w:tc>
          <w:tcPr>
            <w:tcW w:w="320" w:type="dxa"/>
            <w:vAlign w:val="bottom"/>
            <w:shd w:val="clear" w:color="auto" w:fill="CECECE"/>
          </w:tcPr>
          <w:p>
            <w:pPr>
              <w:spacing w:after="0"/>
              <w:rPr>
                <w:sz w:val="18"/>
                <w:szCs w:val="18"/>
                <w:color w:val="auto"/>
              </w:rPr>
            </w:pPr>
          </w:p>
        </w:tc>
        <w:tc>
          <w:tcPr>
            <w:tcW w:w="114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22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480" w:type="dxa"/>
            <w:vAlign w:val="bottom"/>
            <w:shd w:val="clear" w:color="auto" w:fill="CECECE"/>
          </w:tcPr>
          <w:p>
            <w:pPr>
              <w:spacing w:after="0"/>
              <w:rPr>
                <w:sz w:val="18"/>
                <w:szCs w:val="18"/>
                <w:color w:val="auto"/>
              </w:rPr>
            </w:pPr>
          </w:p>
        </w:tc>
        <w:tc>
          <w:tcPr>
            <w:tcW w:w="100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366,671</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40" w:type="dxa"/>
            <w:vAlign w:val="bottom"/>
            <w:gridSpan w:val="2"/>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40" w:type="dxa"/>
            <w:vAlign w:val="bottom"/>
            <w:gridSpan w:val="4"/>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40" w:type="dxa"/>
            <w:vAlign w:val="bottom"/>
            <w:tcBorders>
              <w:top w:val="single" w:sz="8" w:color="CCEEFF"/>
              <w:right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SEGMENT INCOME</w:t>
            </w:r>
          </w:p>
        </w:tc>
        <w:tc>
          <w:tcPr>
            <w:tcW w:w="320" w:type="dxa"/>
            <w:vAlign w:val="bottom"/>
            <w:tcBorders>
              <w:top w:val="single" w:sz="8" w:color="auto"/>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84,223</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gridSpan w:val="2"/>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84,548</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76,081</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(48,931)</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320" w:type="dxa"/>
            <w:vAlign w:val="bottom"/>
            <w:shd w:val="clear" w:color="auto" w:fill="CECECE"/>
          </w:tcPr>
          <w:p>
            <w:pPr>
              <w:spacing w:after="0"/>
              <w:rPr>
                <w:sz w:val="18"/>
                <w:szCs w:val="18"/>
                <w:color w:val="auto"/>
              </w:rPr>
            </w:pPr>
          </w:p>
        </w:tc>
        <w:tc>
          <w:tcPr>
            <w:tcW w:w="114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22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480" w:type="dxa"/>
            <w:vAlign w:val="bottom"/>
            <w:shd w:val="clear" w:color="auto" w:fill="CECECE"/>
          </w:tcPr>
          <w:p>
            <w:pPr>
              <w:spacing w:after="0"/>
              <w:rPr>
                <w:sz w:val="18"/>
                <w:szCs w:val="18"/>
                <w:color w:val="auto"/>
              </w:rPr>
            </w:pPr>
          </w:p>
        </w:tc>
        <w:tc>
          <w:tcPr>
            <w:tcW w:w="100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111,589</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40" w:type="dxa"/>
            <w:vAlign w:val="bottom"/>
            <w:gridSpan w:val="2"/>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INTEREST INCOME (EXPENSE)</w:t>
            </w:r>
          </w:p>
        </w:tc>
        <w:tc>
          <w:tcPr>
            <w:tcW w:w="320" w:type="dxa"/>
            <w:vAlign w:val="bottom"/>
            <w:shd w:val="clear" w:color="auto" w:fill="CECECE"/>
          </w:tcPr>
          <w:p>
            <w:pPr>
              <w:spacing w:after="0"/>
              <w:rPr>
                <w:sz w:val="18"/>
                <w:szCs w:val="18"/>
                <w:color w:val="auto"/>
              </w:rPr>
            </w:pPr>
          </w:p>
        </w:tc>
        <w:tc>
          <w:tcPr>
            <w:tcW w:w="114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22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480" w:type="dxa"/>
            <w:vAlign w:val="bottom"/>
            <w:shd w:val="clear" w:color="auto" w:fill="CECECE"/>
          </w:tcPr>
          <w:p>
            <w:pPr>
              <w:spacing w:after="0"/>
              <w:rPr>
                <w:sz w:val="18"/>
                <w:szCs w:val="18"/>
                <w:color w:val="auto"/>
              </w:rPr>
            </w:pPr>
          </w:p>
        </w:tc>
        <w:tc>
          <w:tcPr>
            <w:tcW w:w="100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40" w:type="dxa"/>
            <w:vAlign w:val="bottom"/>
            <w:tcBorders>
              <w:bottom w:val="single" w:sz="8" w:color="CCEEFF"/>
            </w:tcBorders>
            <w:gridSpan w:val="2"/>
          </w:tcPr>
          <w:p>
            <w:pPr>
              <w:spacing w:after="0"/>
              <w:rPr>
                <w:sz w:val="22"/>
                <w:szCs w:val="22"/>
                <w:color w:val="auto"/>
              </w:rPr>
            </w:pPr>
          </w:p>
        </w:tc>
        <w:tc>
          <w:tcPr>
            <w:tcW w:w="320" w:type="dxa"/>
            <w:vAlign w:val="bottom"/>
            <w:tcBorders>
              <w:bottom w:val="single" w:sz="8" w:color="CECECE"/>
            </w:tcBorders>
          </w:tcPr>
          <w:p>
            <w:pPr>
              <w:spacing w:after="0"/>
              <w:rPr>
                <w:sz w:val="22"/>
                <w:szCs w:val="22"/>
                <w:color w:val="auto"/>
              </w:rPr>
            </w:pPr>
          </w:p>
        </w:tc>
        <w:tc>
          <w:tcPr>
            <w:tcW w:w="1140" w:type="dxa"/>
            <w:vAlign w:val="bottom"/>
            <w:tcBorders>
              <w:bottom w:val="single" w:sz="8" w:color="CECECE"/>
            </w:tcBorders>
          </w:tcPr>
          <w:p>
            <w:pPr>
              <w:spacing w:after="0"/>
              <w:rPr>
                <w:sz w:val="22"/>
                <w:szCs w:val="22"/>
                <w:color w:val="auto"/>
              </w:rPr>
            </w:pPr>
          </w:p>
        </w:tc>
        <w:tc>
          <w:tcPr>
            <w:tcW w:w="20" w:type="dxa"/>
            <w:vAlign w:val="bottom"/>
            <w:tcBorders>
              <w:bottom w:val="single" w:sz="8" w:color="CECECE"/>
            </w:tcBorders>
          </w:tcPr>
          <w:p>
            <w:pPr>
              <w:spacing w:after="0"/>
              <w:rPr>
                <w:sz w:val="22"/>
                <w:szCs w:val="22"/>
                <w:color w:val="auto"/>
              </w:rPr>
            </w:pPr>
          </w:p>
        </w:tc>
        <w:tc>
          <w:tcPr>
            <w:tcW w:w="80" w:type="dxa"/>
            <w:vAlign w:val="bottom"/>
            <w:tcBorders>
              <w:bottom w:val="single" w:sz="8" w:color="CECECE"/>
            </w:tcBorders>
          </w:tcPr>
          <w:p>
            <w:pPr>
              <w:spacing w:after="0"/>
              <w:rPr>
                <w:sz w:val="22"/>
                <w:szCs w:val="22"/>
                <w:color w:val="auto"/>
              </w:rPr>
            </w:pPr>
          </w:p>
        </w:tc>
        <w:tc>
          <w:tcPr>
            <w:tcW w:w="20" w:type="dxa"/>
            <w:vAlign w:val="bottom"/>
            <w:tcBorders>
              <w:bottom w:val="single" w:sz="8" w:color="CECECE"/>
            </w:tcBorders>
          </w:tcPr>
          <w:p>
            <w:pPr>
              <w:spacing w:after="0"/>
              <w:rPr>
                <w:sz w:val="22"/>
                <w:szCs w:val="22"/>
                <w:color w:val="auto"/>
              </w:rPr>
            </w:pPr>
          </w:p>
        </w:tc>
        <w:tc>
          <w:tcPr>
            <w:tcW w:w="220" w:type="dxa"/>
            <w:vAlign w:val="bottom"/>
            <w:tcBorders>
              <w:bottom w:val="single" w:sz="8" w:color="CECECE"/>
            </w:tcBorders>
          </w:tcPr>
          <w:p>
            <w:pPr>
              <w:spacing w:after="0"/>
              <w:rPr>
                <w:sz w:val="22"/>
                <w:szCs w:val="22"/>
                <w:color w:val="auto"/>
              </w:rPr>
            </w:pPr>
          </w:p>
        </w:tc>
        <w:tc>
          <w:tcPr>
            <w:tcW w:w="1260" w:type="dxa"/>
            <w:vAlign w:val="bottom"/>
            <w:tcBorders>
              <w:bottom w:val="single" w:sz="8" w:color="CECECE"/>
            </w:tcBorders>
          </w:tcPr>
          <w:p>
            <w:pPr>
              <w:spacing w:after="0"/>
              <w:rPr>
                <w:sz w:val="22"/>
                <w:szCs w:val="22"/>
                <w:color w:val="auto"/>
              </w:rPr>
            </w:pPr>
          </w:p>
        </w:tc>
        <w:tc>
          <w:tcPr>
            <w:tcW w:w="100" w:type="dxa"/>
            <w:vAlign w:val="bottom"/>
            <w:tcBorders>
              <w:bottom w:val="single" w:sz="8" w:color="CECECE"/>
            </w:tcBorders>
          </w:tcPr>
          <w:p>
            <w:pPr>
              <w:spacing w:after="0"/>
              <w:rPr>
                <w:sz w:val="22"/>
                <w:szCs w:val="22"/>
                <w:color w:val="auto"/>
              </w:rPr>
            </w:pPr>
          </w:p>
        </w:tc>
        <w:tc>
          <w:tcPr>
            <w:tcW w:w="20" w:type="dxa"/>
            <w:vAlign w:val="bottom"/>
            <w:tcBorders>
              <w:bottom w:val="single" w:sz="8" w:color="CECECE"/>
            </w:tcBorders>
          </w:tcPr>
          <w:p>
            <w:pPr>
              <w:spacing w:after="0"/>
              <w:rPr>
                <w:sz w:val="22"/>
                <w:szCs w:val="22"/>
                <w:color w:val="auto"/>
              </w:rPr>
            </w:pPr>
          </w:p>
        </w:tc>
        <w:tc>
          <w:tcPr>
            <w:tcW w:w="140" w:type="dxa"/>
            <w:vAlign w:val="bottom"/>
            <w:tcBorders>
              <w:bottom w:val="single" w:sz="8" w:color="CECECE"/>
            </w:tcBorders>
          </w:tcPr>
          <w:p>
            <w:pPr>
              <w:spacing w:after="0"/>
              <w:rPr>
                <w:sz w:val="22"/>
                <w:szCs w:val="22"/>
                <w:color w:val="auto"/>
              </w:rPr>
            </w:pPr>
          </w:p>
        </w:tc>
        <w:tc>
          <w:tcPr>
            <w:tcW w:w="1480" w:type="dxa"/>
            <w:vAlign w:val="bottom"/>
            <w:tcBorders>
              <w:bottom w:val="single" w:sz="8" w:color="CECECE"/>
            </w:tcBorders>
          </w:tcPr>
          <w:p>
            <w:pPr>
              <w:spacing w:after="0"/>
              <w:rPr>
                <w:sz w:val="22"/>
                <w:szCs w:val="22"/>
                <w:color w:val="auto"/>
              </w:rPr>
            </w:pPr>
          </w:p>
        </w:tc>
        <w:tc>
          <w:tcPr>
            <w:tcW w:w="20" w:type="dxa"/>
            <w:vAlign w:val="bottom"/>
            <w:tcBorders>
              <w:bottom w:val="single" w:sz="8" w:color="CECECE"/>
            </w:tcBorders>
          </w:tcPr>
          <w:p>
            <w:pPr>
              <w:spacing w:after="0"/>
              <w:rPr>
                <w:sz w:val="22"/>
                <w:szCs w:val="22"/>
                <w:color w:val="auto"/>
              </w:rPr>
            </w:pPr>
          </w:p>
        </w:tc>
        <w:tc>
          <w:tcPr>
            <w:tcW w:w="100" w:type="dxa"/>
            <w:vAlign w:val="bottom"/>
            <w:tcBorders>
              <w:bottom w:val="single" w:sz="8" w:color="CECECE"/>
            </w:tcBorders>
          </w:tcPr>
          <w:p>
            <w:pPr>
              <w:spacing w:after="0"/>
              <w:rPr>
                <w:sz w:val="22"/>
                <w:szCs w:val="22"/>
                <w:color w:val="auto"/>
              </w:rPr>
            </w:pPr>
          </w:p>
        </w:tc>
        <w:tc>
          <w:tcPr>
            <w:tcW w:w="20" w:type="dxa"/>
            <w:vAlign w:val="bottom"/>
            <w:tcBorders>
              <w:bottom w:val="single" w:sz="8" w:color="CECECE"/>
            </w:tcBorders>
          </w:tcPr>
          <w:p>
            <w:pPr>
              <w:spacing w:after="0"/>
              <w:rPr>
                <w:sz w:val="22"/>
                <w:szCs w:val="22"/>
                <w:color w:val="auto"/>
              </w:rPr>
            </w:pPr>
          </w:p>
        </w:tc>
        <w:tc>
          <w:tcPr>
            <w:tcW w:w="480" w:type="dxa"/>
            <w:vAlign w:val="bottom"/>
            <w:tcBorders>
              <w:bottom w:val="single" w:sz="8" w:color="CECECE"/>
            </w:tcBorders>
          </w:tcPr>
          <w:p>
            <w:pPr>
              <w:spacing w:after="0"/>
              <w:rPr>
                <w:sz w:val="22"/>
                <w:szCs w:val="22"/>
                <w:color w:val="auto"/>
              </w:rPr>
            </w:pPr>
          </w:p>
        </w:tc>
        <w:tc>
          <w:tcPr>
            <w:tcW w:w="1000" w:type="dxa"/>
            <w:vAlign w:val="bottom"/>
            <w:tcBorders>
              <w:bottom w:val="single" w:sz="8" w:color="CECECE"/>
            </w:tcBorders>
          </w:tcPr>
          <w:p>
            <w:pPr>
              <w:spacing w:after="0"/>
              <w:rPr>
                <w:sz w:val="22"/>
                <w:szCs w:val="22"/>
                <w:color w:val="auto"/>
              </w:rPr>
            </w:pPr>
          </w:p>
        </w:tc>
        <w:tc>
          <w:tcPr>
            <w:tcW w:w="120" w:type="dxa"/>
            <w:vAlign w:val="bottom"/>
            <w:gridSpan w:val="2"/>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19"/>
                <w:szCs w:val="19"/>
                <w:color w:val="auto"/>
              </w:rPr>
            </w:pPr>
          </w:p>
        </w:tc>
        <w:tc>
          <w:tcPr>
            <w:tcW w:w="3240" w:type="dxa"/>
            <w:vAlign w:val="bottom"/>
            <w:tcBorders>
              <w:bottom w:val="single" w:sz="8" w:color="CCEEFF"/>
              <w:right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320" w:type="dxa"/>
            <w:vAlign w:val="bottom"/>
            <w:tcBorders>
              <w:bottom w:val="single" w:sz="8" w:color="CECECE"/>
            </w:tcBorders>
            <w:shd w:val="clear" w:color="auto" w:fill="CECECE"/>
          </w:tcPr>
          <w:p>
            <w:pPr>
              <w:spacing w:after="0"/>
              <w:rPr>
                <w:sz w:val="19"/>
                <w:szCs w:val="19"/>
                <w:color w:val="auto"/>
              </w:rPr>
            </w:pPr>
          </w:p>
        </w:tc>
        <w:tc>
          <w:tcPr>
            <w:tcW w:w="114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8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220" w:type="dxa"/>
            <w:vAlign w:val="bottom"/>
            <w:tcBorders>
              <w:bottom w:val="single" w:sz="8" w:color="CECECE"/>
            </w:tcBorders>
            <w:shd w:val="clear" w:color="auto" w:fill="CECECE"/>
          </w:tcPr>
          <w:p>
            <w:pPr>
              <w:spacing w:after="0"/>
              <w:rPr>
                <w:sz w:val="19"/>
                <w:szCs w:val="19"/>
                <w:color w:val="auto"/>
              </w:rPr>
            </w:pPr>
          </w:p>
        </w:tc>
        <w:tc>
          <w:tcPr>
            <w:tcW w:w="1260" w:type="dxa"/>
            <w:vAlign w:val="bottom"/>
            <w:tcBorders>
              <w:bottom w:val="single" w:sz="8" w:color="CECECE"/>
            </w:tcBorders>
            <w:shd w:val="clear" w:color="auto" w:fill="CECECE"/>
          </w:tcPr>
          <w:p>
            <w:pPr>
              <w:spacing w:after="0"/>
              <w:rPr>
                <w:sz w:val="19"/>
                <w:szCs w:val="19"/>
                <w:color w:val="auto"/>
              </w:rPr>
            </w:pPr>
          </w:p>
        </w:tc>
        <w:tc>
          <w:tcPr>
            <w:tcW w:w="10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140" w:type="dxa"/>
            <w:vAlign w:val="bottom"/>
            <w:tcBorders>
              <w:bottom w:val="single" w:sz="8" w:color="CECECE"/>
            </w:tcBorders>
            <w:shd w:val="clear" w:color="auto" w:fill="CECECE"/>
          </w:tcPr>
          <w:p>
            <w:pPr>
              <w:spacing w:after="0"/>
              <w:rPr>
                <w:sz w:val="19"/>
                <w:szCs w:val="19"/>
                <w:color w:val="auto"/>
              </w:rPr>
            </w:pPr>
          </w:p>
        </w:tc>
        <w:tc>
          <w:tcPr>
            <w:tcW w:w="148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10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480" w:type="dxa"/>
            <w:vAlign w:val="bottom"/>
            <w:tcBorders>
              <w:bottom w:val="single" w:sz="8" w:color="CECECE"/>
            </w:tcBorders>
            <w:shd w:val="clear" w:color="auto" w:fill="CECECE"/>
          </w:tcPr>
          <w:p>
            <w:pPr>
              <w:spacing w:after="0"/>
              <w:rPr>
                <w:sz w:val="19"/>
                <w:szCs w:val="19"/>
                <w:color w:val="auto"/>
              </w:rPr>
            </w:pPr>
          </w:p>
        </w:tc>
        <w:tc>
          <w:tcPr>
            <w:tcW w:w="1000" w:type="dxa"/>
            <w:vAlign w:val="bottom"/>
            <w:tcBorders>
              <w:bottom w:val="single" w:sz="8" w:color="CECECE"/>
            </w:tcBorders>
            <w:shd w:val="clear" w:color="auto" w:fill="CECEC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110,901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ECECE"/>
            </w:tcBorders>
          </w:tcPr>
          <w:p>
            <w:pPr>
              <w:spacing w:after="0" w:line="20" w:lineRule="exact"/>
              <w:rPr>
                <w:sz w:val="1"/>
                <w:szCs w:val="1"/>
                <w:color w:val="auto"/>
              </w:rPr>
            </w:pPr>
          </w:p>
        </w:tc>
        <w:tc>
          <w:tcPr>
            <w:tcW w:w="1140" w:type="dxa"/>
            <w:vAlign w:val="bottom"/>
            <w:tcBorders>
              <w:top w:val="single" w:sz="8" w:color="CECECE"/>
            </w:tcBorders>
          </w:tcPr>
          <w:p>
            <w:pPr>
              <w:spacing w:after="0" w:line="20" w:lineRule="exact"/>
              <w:rPr>
                <w:sz w:val="1"/>
                <w:szCs w:val="1"/>
                <w:color w:val="auto"/>
              </w:rPr>
            </w:pPr>
          </w:p>
        </w:tc>
        <w:tc>
          <w:tcPr>
            <w:tcW w:w="20" w:type="dxa"/>
            <w:vAlign w:val="bottom"/>
            <w:tcBorders>
              <w:top w:val="single" w:sz="8" w:color="CECECE"/>
            </w:tcBorders>
          </w:tcPr>
          <w:p>
            <w:pPr>
              <w:spacing w:after="0" w:line="20" w:lineRule="exact"/>
              <w:rPr>
                <w:sz w:val="1"/>
                <w:szCs w:val="1"/>
                <w:color w:val="auto"/>
              </w:rPr>
            </w:pPr>
          </w:p>
        </w:tc>
        <w:tc>
          <w:tcPr>
            <w:tcW w:w="80" w:type="dxa"/>
            <w:vAlign w:val="bottom"/>
            <w:tcBorders>
              <w:top w:val="single" w:sz="8" w:color="CECECE"/>
            </w:tcBorders>
          </w:tcPr>
          <w:p>
            <w:pPr>
              <w:spacing w:after="0" w:line="20" w:lineRule="exact"/>
              <w:rPr>
                <w:sz w:val="1"/>
                <w:szCs w:val="1"/>
                <w:color w:val="auto"/>
              </w:rPr>
            </w:pPr>
          </w:p>
        </w:tc>
        <w:tc>
          <w:tcPr>
            <w:tcW w:w="20" w:type="dxa"/>
            <w:vAlign w:val="bottom"/>
            <w:tcBorders>
              <w:top w:val="single" w:sz="8" w:color="CECECE"/>
            </w:tcBorders>
          </w:tcPr>
          <w:p>
            <w:pPr>
              <w:spacing w:after="0" w:line="20" w:lineRule="exact"/>
              <w:rPr>
                <w:sz w:val="1"/>
                <w:szCs w:val="1"/>
                <w:color w:val="auto"/>
              </w:rPr>
            </w:pPr>
          </w:p>
        </w:tc>
        <w:tc>
          <w:tcPr>
            <w:tcW w:w="220" w:type="dxa"/>
            <w:vAlign w:val="bottom"/>
            <w:tcBorders>
              <w:top w:val="single" w:sz="8" w:color="CECECE"/>
            </w:tcBorders>
          </w:tcPr>
          <w:p>
            <w:pPr>
              <w:spacing w:after="0" w:line="20" w:lineRule="exact"/>
              <w:rPr>
                <w:sz w:val="1"/>
                <w:szCs w:val="1"/>
                <w:color w:val="auto"/>
              </w:rPr>
            </w:pPr>
          </w:p>
        </w:tc>
        <w:tc>
          <w:tcPr>
            <w:tcW w:w="1260" w:type="dxa"/>
            <w:vAlign w:val="bottom"/>
            <w:tcBorders>
              <w:top w:val="single" w:sz="8" w:color="CECECE"/>
            </w:tcBorders>
          </w:tcPr>
          <w:p>
            <w:pPr>
              <w:spacing w:after="0" w:line="20" w:lineRule="exact"/>
              <w:rPr>
                <w:sz w:val="1"/>
                <w:szCs w:val="1"/>
                <w:color w:val="auto"/>
              </w:rPr>
            </w:pPr>
          </w:p>
        </w:tc>
        <w:tc>
          <w:tcPr>
            <w:tcW w:w="100" w:type="dxa"/>
            <w:vAlign w:val="bottom"/>
            <w:tcBorders>
              <w:top w:val="single" w:sz="8" w:color="CECECE"/>
            </w:tcBorders>
          </w:tcPr>
          <w:p>
            <w:pPr>
              <w:spacing w:after="0" w:line="20" w:lineRule="exact"/>
              <w:rPr>
                <w:sz w:val="1"/>
                <w:szCs w:val="1"/>
                <w:color w:val="auto"/>
              </w:rPr>
            </w:pPr>
          </w:p>
        </w:tc>
        <w:tc>
          <w:tcPr>
            <w:tcW w:w="20" w:type="dxa"/>
            <w:vAlign w:val="bottom"/>
            <w:tcBorders>
              <w:top w:val="single" w:sz="8" w:color="CECECE"/>
            </w:tcBorders>
          </w:tcPr>
          <w:p>
            <w:pPr>
              <w:spacing w:after="0" w:line="20" w:lineRule="exact"/>
              <w:rPr>
                <w:sz w:val="1"/>
                <w:szCs w:val="1"/>
                <w:color w:val="auto"/>
              </w:rPr>
            </w:pPr>
          </w:p>
        </w:tc>
        <w:tc>
          <w:tcPr>
            <w:tcW w:w="140" w:type="dxa"/>
            <w:vAlign w:val="bottom"/>
            <w:tcBorders>
              <w:top w:val="single" w:sz="8" w:color="CECECE"/>
            </w:tcBorders>
          </w:tcPr>
          <w:p>
            <w:pPr>
              <w:spacing w:after="0" w:line="20" w:lineRule="exact"/>
              <w:rPr>
                <w:sz w:val="1"/>
                <w:szCs w:val="1"/>
                <w:color w:val="auto"/>
              </w:rPr>
            </w:pPr>
          </w:p>
        </w:tc>
        <w:tc>
          <w:tcPr>
            <w:tcW w:w="1480" w:type="dxa"/>
            <w:vAlign w:val="bottom"/>
            <w:tcBorders>
              <w:top w:val="single" w:sz="8" w:color="CECECE"/>
            </w:tcBorders>
          </w:tcPr>
          <w:p>
            <w:pPr>
              <w:spacing w:after="0" w:line="20" w:lineRule="exact"/>
              <w:rPr>
                <w:sz w:val="1"/>
                <w:szCs w:val="1"/>
                <w:color w:val="auto"/>
              </w:rPr>
            </w:pPr>
          </w:p>
        </w:tc>
        <w:tc>
          <w:tcPr>
            <w:tcW w:w="20" w:type="dxa"/>
            <w:vAlign w:val="bottom"/>
            <w:tcBorders>
              <w:top w:val="single" w:sz="8" w:color="CECECE"/>
            </w:tcBorders>
          </w:tcPr>
          <w:p>
            <w:pPr>
              <w:spacing w:after="0" w:line="20" w:lineRule="exact"/>
              <w:rPr>
                <w:sz w:val="1"/>
                <w:szCs w:val="1"/>
                <w:color w:val="auto"/>
              </w:rPr>
            </w:pPr>
          </w:p>
        </w:tc>
        <w:tc>
          <w:tcPr>
            <w:tcW w:w="100" w:type="dxa"/>
            <w:vAlign w:val="bottom"/>
            <w:tcBorders>
              <w:top w:val="single" w:sz="8" w:color="CECECE"/>
            </w:tcBorders>
          </w:tcPr>
          <w:p>
            <w:pPr>
              <w:spacing w:after="0" w:line="20" w:lineRule="exact"/>
              <w:rPr>
                <w:sz w:val="1"/>
                <w:szCs w:val="1"/>
                <w:color w:val="auto"/>
              </w:rPr>
            </w:pPr>
          </w:p>
        </w:tc>
        <w:tc>
          <w:tcPr>
            <w:tcW w:w="20" w:type="dxa"/>
            <w:vAlign w:val="bottom"/>
            <w:tcBorders>
              <w:top w:val="single" w:sz="8" w:color="CECECE"/>
            </w:tcBorders>
          </w:tcPr>
          <w:p>
            <w:pPr>
              <w:spacing w:after="0" w:line="20" w:lineRule="exact"/>
              <w:rPr>
                <w:sz w:val="1"/>
                <w:szCs w:val="1"/>
                <w:color w:val="auto"/>
              </w:rPr>
            </w:pPr>
          </w:p>
        </w:tc>
        <w:tc>
          <w:tcPr>
            <w:tcW w:w="480" w:type="dxa"/>
            <w:vAlign w:val="bottom"/>
            <w:tcBorders>
              <w:top w:val="single" w:sz="8" w:color="CECECE"/>
            </w:tcBorders>
          </w:tcPr>
          <w:p>
            <w:pPr>
              <w:spacing w:after="0" w:line="20" w:lineRule="exact"/>
              <w:rPr>
                <w:sz w:val="1"/>
                <w:szCs w:val="1"/>
                <w:color w:val="auto"/>
              </w:rPr>
            </w:pPr>
          </w:p>
        </w:tc>
        <w:tc>
          <w:tcPr>
            <w:tcW w:w="1000" w:type="dxa"/>
            <w:vAlign w:val="bottom"/>
            <w:tcBorders>
              <w:top w:val="single" w:sz="8" w:color="CECEC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9" w:name="page20"/>
    <w:bookmarkEnd w:id="1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3"/>
          </w:tcPr>
          <w:p>
            <w:pPr>
              <w:ind w:left="40"/>
              <w:spacing w:after="0"/>
              <w:rPr>
                <w:sz w:val="20"/>
                <w:szCs w:val="20"/>
                <w:color w:val="auto"/>
              </w:rPr>
            </w:pPr>
            <w:r>
              <w:rPr>
                <w:rFonts w:ascii="Arial" w:cs="Arial" w:eastAsia="Arial" w:hAnsi="Arial"/>
                <w:sz w:val="16"/>
                <w:szCs w:val="16"/>
                <w:b w:val="1"/>
                <w:bCs w:val="1"/>
                <w:color w:val="auto"/>
              </w:rPr>
              <w:t>Nine Months Ended</w:t>
            </w: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March 31, 2023</w:t>
            </w: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REVENUE</w:t>
            </w:r>
          </w:p>
        </w:tc>
        <w:tc>
          <w:tcPr>
            <w:tcW w:w="340" w:type="dxa"/>
            <w:vAlign w:val="bottom"/>
          </w:tcPr>
          <w:p>
            <w:pPr>
              <w:spacing w:after="0"/>
              <w:rPr>
                <w:sz w:val="18"/>
                <w:szCs w:val="18"/>
                <w:color w:val="auto"/>
              </w:rPr>
            </w:pPr>
          </w:p>
        </w:tc>
        <w:tc>
          <w:tcPr>
            <w:tcW w:w="1160" w:type="dxa"/>
            <w:vAlign w:val="bottom"/>
          </w:tcPr>
          <w:p>
            <w:pPr>
              <w:jc w:val="right"/>
              <w:ind w:right="479"/>
              <w:spacing w:after="0"/>
              <w:rPr>
                <w:sz w:val="20"/>
                <w:szCs w:val="20"/>
                <w:color w:val="auto"/>
              </w:rPr>
            </w:pPr>
            <w:r>
              <w:rPr>
                <w:rFonts w:ascii="Arial" w:cs="Arial" w:eastAsia="Arial" w:hAnsi="Arial"/>
                <w:sz w:val="16"/>
                <w:szCs w:val="16"/>
                <w:b w:val="1"/>
                <w:bCs w:val="1"/>
                <w:color w:val="auto"/>
              </w:rPr>
              <w:t>Core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ind w:left="120"/>
              <w:spacing w:after="0"/>
              <w:rPr>
                <w:sz w:val="20"/>
                <w:szCs w:val="20"/>
                <w:color w:val="auto"/>
              </w:rPr>
            </w:pPr>
            <w:r>
              <w:rPr>
                <w:rFonts w:ascii="Arial" w:cs="Arial" w:eastAsia="Arial" w:hAnsi="Arial"/>
                <w:sz w:val="16"/>
                <w:szCs w:val="16"/>
                <w:b w:val="1"/>
                <w:bCs w:val="1"/>
                <w:color w:val="auto"/>
              </w:rPr>
              <w:t>Payments</w:t>
            </w:r>
          </w:p>
        </w:tc>
        <w:tc>
          <w:tcPr>
            <w:tcW w:w="160" w:type="dxa"/>
            <w:vAlign w:val="bottom"/>
          </w:tcPr>
          <w:p>
            <w:pPr>
              <w:spacing w:after="0"/>
              <w:rPr>
                <w:sz w:val="18"/>
                <w:szCs w:val="18"/>
                <w:color w:val="auto"/>
              </w:rPr>
            </w:pPr>
          </w:p>
        </w:tc>
        <w:tc>
          <w:tcPr>
            <w:tcW w:w="1580" w:type="dxa"/>
            <w:vAlign w:val="bottom"/>
            <w:gridSpan w:val="2"/>
          </w:tcPr>
          <w:p>
            <w:pPr>
              <w:ind w:left="40"/>
              <w:spacing w:after="0"/>
              <w:rPr>
                <w:sz w:val="20"/>
                <w:szCs w:val="20"/>
                <w:color w:val="auto"/>
              </w:rPr>
            </w:pPr>
            <w:r>
              <w:rPr>
                <w:rFonts w:ascii="Arial" w:cs="Arial" w:eastAsia="Arial" w:hAnsi="Arial"/>
                <w:sz w:val="16"/>
                <w:szCs w:val="16"/>
                <w:b w:val="1"/>
                <w:bCs w:val="1"/>
                <w:color w:val="auto"/>
              </w:rPr>
              <w:t>Complementary</w:t>
            </w:r>
          </w:p>
        </w:tc>
        <w:tc>
          <w:tcPr>
            <w:tcW w:w="1500" w:type="dxa"/>
            <w:vAlign w:val="bottom"/>
            <w:gridSpan w:val="2"/>
          </w:tcPr>
          <w:p>
            <w:pPr>
              <w:ind w:left="40"/>
              <w:spacing w:after="0"/>
              <w:rPr>
                <w:sz w:val="20"/>
                <w:szCs w:val="20"/>
                <w:color w:val="auto"/>
              </w:rPr>
            </w:pPr>
            <w:r>
              <w:rPr>
                <w:rFonts w:ascii="Arial" w:cs="Arial" w:eastAsia="Arial" w:hAnsi="Arial"/>
                <w:sz w:val="16"/>
                <w:szCs w:val="16"/>
                <w:b w:val="1"/>
                <w:bCs w:val="1"/>
                <w:color w:val="auto"/>
              </w:rPr>
              <w:t>Corporate &amp; Other</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9"/>
        </w:trPr>
        <w:tc>
          <w:tcPr>
            <w:tcW w:w="324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140"/>
              <w:spacing w:after="0"/>
              <w:rPr>
                <w:sz w:val="20"/>
                <w:szCs w:val="20"/>
                <w:color w:val="auto"/>
              </w:rPr>
            </w:pPr>
            <w:r>
              <w:rPr>
                <w:rFonts w:ascii="Arial" w:cs="Arial" w:eastAsia="Arial" w:hAnsi="Arial"/>
                <w:sz w:val="16"/>
                <w:szCs w:val="16"/>
                <w:color w:val="auto"/>
              </w:rPr>
              <w:t>Services and Support</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457,483</w:t>
            </w:r>
          </w:p>
        </w:tc>
        <w:tc>
          <w:tcPr>
            <w:tcW w:w="34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57,838</w:t>
            </w:r>
          </w:p>
        </w:tc>
        <w:tc>
          <w:tcPr>
            <w:tcW w:w="12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337,656</w:t>
            </w:r>
          </w:p>
        </w:tc>
        <w:tc>
          <w:tcPr>
            <w:tcW w:w="100" w:type="dxa"/>
            <w:vAlign w:val="bottom"/>
          </w:tcPr>
          <w:p>
            <w:pPr>
              <w:spacing w:after="0"/>
              <w:rPr>
                <w:sz w:val="18"/>
                <w:szCs w:val="18"/>
                <w:color w:val="auto"/>
              </w:rPr>
            </w:pPr>
          </w:p>
        </w:tc>
        <w:tc>
          <w:tcPr>
            <w:tcW w:w="440" w:type="dxa"/>
            <w:vAlign w:val="bottom"/>
          </w:tcPr>
          <w:p>
            <w:pPr>
              <w:ind w:left="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49,794</w:t>
            </w:r>
          </w:p>
        </w:tc>
        <w:tc>
          <w:tcPr>
            <w:tcW w:w="42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902,771</w:t>
            </w:r>
          </w:p>
        </w:tc>
        <w:tc>
          <w:tcPr>
            <w:tcW w:w="0" w:type="dxa"/>
            <w:vAlign w:val="bottom"/>
          </w:tcPr>
          <w:p>
            <w:pPr>
              <w:spacing w:after="0"/>
              <w:rPr>
                <w:sz w:val="1"/>
                <w:szCs w:val="1"/>
                <w:color w:val="auto"/>
              </w:rPr>
            </w:pPr>
          </w:p>
        </w:tc>
      </w:tr>
      <w:tr>
        <w:trPr>
          <w:trHeight w:val="217"/>
        </w:trPr>
        <w:tc>
          <w:tcPr>
            <w:tcW w:w="3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Processing</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29,934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512,029</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95,113</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640,298</w:t>
            </w:r>
          </w:p>
        </w:tc>
        <w:tc>
          <w:tcPr>
            <w:tcW w:w="0" w:type="dxa"/>
            <w:vAlign w:val="bottom"/>
          </w:tcPr>
          <w:p>
            <w:pPr>
              <w:spacing w:after="0"/>
              <w:rPr>
                <w:sz w:val="1"/>
                <w:szCs w:val="1"/>
                <w:color w:val="auto"/>
              </w:rPr>
            </w:pPr>
          </w:p>
        </w:tc>
      </w:tr>
      <w:tr>
        <w:trPr>
          <w:trHeight w:val="209"/>
        </w:trPr>
        <w:tc>
          <w:tcPr>
            <w:tcW w:w="3240" w:type="dxa"/>
            <w:vAlign w:val="bottom"/>
            <w:tcBorders>
              <w:bottom w:val="single" w:sz="8" w:color="CCEEFF"/>
            </w:tcBorders>
          </w:tcPr>
          <w:p>
            <w:pPr>
              <w:ind w:left="560"/>
              <w:spacing w:after="0"/>
              <w:rPr>
                <w:sz w:val="20"/>
                <w:szCs w:val="20"/>
                <w:color w:val="auto"/>
              </w:rPr>
            </w:pPr>
            <w:r>
              <w:rPr>
                <w:rFonts w:ascii="Arial" w:cs="Arial" w:eastAsia="Arial" w:hAnsi="Arial"/>
                <w:sz w:val="16"/>
                <w:szCs w:val="16"/>
                <w:b w:val="1"/>
                <w:bCs w:val="1"/>
                <w:color w:val="auto"/>
              </w:rPr>
              <w:t>Total Revenue</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487,417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569,867</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432,769</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53,016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1,543,069</w:t>
            </w:r>
          </w:p>
        </w:tc>
        <w:tc>
          <w:tcPr>
            <w:tcW w:w="0" w:type="dxa"/>
            <w:vAlign w:val="bottom"/>
          </w:tcPr>
          <w:p>
            <w:pPr>
              <w:spacing w:after="0"/>
              <w:rPr>
                <w:sz w:val="1"/>
                <w:szCs w:val="1"/>
                <w:color w:val="auto"/>
              </w:rPr>
            </w:pPr>
          </w:p>
        </w:tc>
      </w:tr>
      <w:tr>
        <w:trPr>
          <w:trHeight w:val="250"/>
        </w:trPr>
        <w:tc>
          <w:tcPr>
            <w:tcW w:w="32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324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212,269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316,104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179,074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202,748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910,195</w:t>
            </w:r>
          </w:p>
        </w:tc>
        <w:tc>
          <w:tcPr>
            <w:tcW w:w="0" w:type="dxa"/>
            <w:vAlign w:val="bottom"/>
          </w:tcPr>
          <w:p>
            <w:pPr>
              <w:spacing w:after="0"/>
              <w:rPr>
                <w:sz w:val="1"/>
                <w:szCs w:val="1"/>
                <w:color w:val="auto"/>
              </w:rPr>
            </w:pPr>
          </w:p>
        </w:tc>
      </w:tr>
      <w:tr>
        <w:trPr>
          <w:trHeight w:val="217"/>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34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4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440" w:type="dxa"/>
            <w:vAlign w:val="bottom"/>
            <w:shd w:val="clear" w:color="auto" w:fill="CECECE"/>
          </w:tcPr>
          <w:p>
            <w:pPr>
              <w:spacing w:after="0"/>
              <w:rPr>
                <w:sz w:val="18"/>
                <w:szCs w:val="18"/>
                <w:color w:val="auto"/>
              </w:rPr>
            </w:pPr>
          </w:p>
        </w:tc>
        <w:tc>
          <w:tcPr>
            <w:tcW w:w="106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104,179</w:t>
            </w:r>
          </w:p>
        </w:tc>
        <w:tc>
          <w:tcPr>
            <w:tcW w:w="0" w:type="dxa"/>
            <w:vAlign w:val="bottom"/>
          </w:tcPr>
          <w:p>
            <w:pPr>
              <w:spacing w:after="0"/>
              <w:rPr>
                <w:sz w:val="1"/>
                <w:szCs w:val="1"/>
                <w:color w:val="auto"/>
              </w:rPr>
            </w:pPr>
          </w:p>
        </w:tc>
      </w:tr>
      <w:tr>
        <w:trPr>
          <w:trHeight w:val="215"/>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Selling, General, and Administrative</w:t>
            </w:r>
          </w:p>
        </w:tc>
        <w:tc>
          <w:tcPr>
            <w:tcW w:w="340" w:type="dxa"/>
            <w:vAlign w:val="bottom"/>
            <w:tcBorders>
              <w:bottom w:val="single" w:sz="8" w:color="CECECE"/>
            </w:tcBorders>
            <w:shd w:val="clear" w:color="auto" w:fill="CECECE"/>
          </w:tcPr>
          <w:p>
            <w:pPr>
              <w:spacing w:after="0"/>
              <w:rPr>
                <w:sz w:val="18"/>
                <w:szCs w:val="18"/>
                <w:color w:val="auto"/>
              </w:rPr>
            </w:pPr>
          </w:p>
        </w:tc>
        <w:tc>
          <w:tcPr>
            <w:tcW w:w="116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ECECE"/>
            </w:tcBorders>
            <w:shd w:val="clear" w:color="auto" w:fill="CECECE"/>
          </w:tcPr>
          <w:p>
            <w:pPr>
              <w:spacing w:after="0"/>
              <w:rPr>
                <w:sz w:val="18"/>
                <w:szCs w:val="18"/>
                <w:color w:val="auto"/>
              </w:rPr>
            </w:pPr>
          </w:p>
        </w:tc>
        <w:tc>
          <w:tcPr>
            <w:tcW w:w="240" w:type="dxa"/>
            <w:vAlign w:val="bottom"/>
            <w:tcBorders>
              <w:bottom w:val="single" w:sz="8" w:color="CECECE"/>
            </w:tcBorders>
            <w:shd w:val="clear" w:color="auto" w:fill="CECECE"/>
          </w:tcPr>
          <w:p>
            <w:pPr>
              <w:spacing w:after="0"/>
              <w:rPr>
                <w:sz w:val="18"/>
                <w:szCs w:val="18"/>
                <w:color w:val="auto"/>
              </w:rPr>
            </w:pPr>
          </w:p>
        </w:tc>
        <w:tc>
          <w:tcPr>
            <w:tcW w:w="1240" w:type="dxa"/>
            <w:vAlign w:val="bottom"/>
            <w:tcBorders>
              <w:bottom w:val="single" w:sz="8" w:color="CECECE"/>
            </w:tcBorders>
            <w:shd w:val="clear" w:color="auto" w:fill="CECECE"/>
          </w:tcPr>
          <w:p>
            <w:pPr>
              <w:spacing w:after="0"/>
              <w:rPr>
                <w:sz w:val="18"/>
                <w:szCs w:val="18"/>
                <w:color w:val="auto"/>
              </w:rPr>
            </w:pPr>
          </w:p>
        </w:tc>
        <w:tc>
          <w:tcPr>
            <w:tcW w:w="120" w:type="dxa"/>
            <w:vAlign w:val="bottom"/>
            <w:tcBorders>
              <w:bottom w:val="single" w:sz="8" w:color="CECECE"/>
            </w:tcBorders>
            <w:shd w:val="clear" w:color="auto" w:fill="CECECE"/>
          </w:tcPr>
          <w:p>
            <w:pPr>
              <w:spacing w:after="0"/>
              <w:rPr>
                <w:sz w:val="18"/>
                <w:szCs w:val="18"/>
                <w:color w:val="auto"/>
              </w:rPr>
            </w:pPr>
          </w:p>
        </w:tc>
        <w:tc>
          <w:tcPr>
            <w:tcW w:w="160" w:type="dxa"/>
            <w:vAlign w:val="bottom"/>
            <w:tcBorders>
              <w:bottom w:val="single" w:sz="8" w:color="CECECE"/>
            </w:tcBorders>
            <w:shd w:val="clear" w:color="auto" w:fill="CECECE"/>
          </w:tcPr>
          <w:p>
            <w:pPr>
              <w:spacing w:after="0"/>
              <w:rPr>
                <w:sz w:val="18"/>
                <w:szCs w:val="18"/>
                <w:color w:val="auto"/>
              </w:rPr>
            </w:pPr>
          </w:p>
        </w:tc>
        <w:tc>
          <w:tcPr>
            <w:tcW w:w="148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ECECE"/>
            </w:tcBorders>
            <w:shd w:val="clear" w:color="auto" w:fill="CECECE"/>
          </w:tcPr>
          <w:p>
            <w:pPr>
              <w:spacing w:after="0"/>
              <w:rPr>
                <w:sz w:val="18"/>
                <w:szCs w:val="18"/>
                <w:color w:val="auto"/>
              </w:rPr>
            </w:pPr>
          </w:p>
        </w:tc>
        <w:tc>
          <w:tcPr>
            <w:tcW w:w="440" w:type="dxa"/>
            <w:vAlign w:val="bottom"/>
            <w:tcBorders>
              <w:bottom w:val="single" w:sz="8" w:color="CECECE"/>
            </w:tcBorders>
            <w:shd w:val="clear" w:color="auto" w:fill="CECECE"/>
          </w:tcPr>
          <w:p>
            <w:pPr>
              <w:spacing w:after="0"/>
              <w:rPr>
                <w:sz w:val="18"/>
                <w:szCs w:val="18"/>
                <w:color w:val="auto"/>
              </w:rPr>
            </w:pPr>
          </w:p>
        </w:tc>
        <w:tc>
          <w:tcPr>
            <w:tcW w:w="106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172,205</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560"/>
              <w:spacing w:after="0"/>
              <w:rPr>
                <w:sz w:val="20"/>
                <w:szCs w:val="20"/>
                <w:color w:val="auto"/>
              </w:rPr>
            </w:pPr>
            <w:r>
              <w:rPr>
                <w:rFonts w:ascii="Arial" w:cs="Arial" w:eastAsia="Arial" w:hAnsi="Arial"/>
                <w:sz w:val="16"/>
                <w:szCs w:val="16"/>
                <w:b w:val="1"/>
                <w:bCs w:val="1"/>
                <w:color w:val="auto"/>
              </w:rPr>
              <w:t>Total Expenses</w:t>
            </w:r>
          </w:p>
        </w:tc>
        <w:tc>
          <w:tcPr>
            <w:tcW w:w="34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4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440" w:type="dxa"/>
            <w:vAlign w:val="bottom"/>
            <w:shd w:val="clear" w:color="auto" w:fill="CECECE"/>
          </w:tcPr>
          <w:p>
            <w:pPr>
              <w:spacing w:after="0"/>
              <w:rPr>
                <w:sz w:val="18"/>
                <w:szCs w:val="18"/>
                <w:color w:val="auto"/>
              </w:rPr>
            </w:pPr>
          </w:p>
        </w:tc>
        <w:tc>
          <w:tcPr>
            <w:tcW w:w="106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1,186,579</w:t>
            </w:r>
          </w:p>
        </w:tc>
        <w:tc>
          <w:tcPr>
            <w:tcW w:w="0" w:type="dxa"/>
            <w:vAlign w:val="bottom"/>
          </w:tcPr>
          <w:p>
            <w:pPr>
              <w:spacing w:after="0"/>
              <w:rPr>
                <w:sz w:val="1"/>
                <w:szCs w:val="1"/>
                <w:color w:val="auto"/>
              </w:rPr>
            </w:pPr>
          </w:p>
        </w:tc>
      </w:tr>
      <w:tr>
        <w:trPr>
          <w:trHeight w:val="257"/>
        </w:trPr>
        <w:tc>
          <w:tcPr>
            <w:tcW w:w="3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40" w:type="dxa"/>
            <w:vAlign w:val="bottom"/>
            <w:gridSpan w:val="2"/>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SEGMENT INCOME</w:t>
            </w: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275,148</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253,763</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253,695</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(149,732)</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34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4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440" w:type="dxa"/>
            <w:vAlign w:val="bottom"/>
            <w:shd w:val="clear" w:color="auto" w:fill="CECECE"/>
          </w:tcPr>
          <w:p>
            <w:pPr>
              <w:spacing w:after="0"/>
              <w:rPr>
                <w:sz w:val="18"/>
                <w:szCs w:val="18"/>
                <w:color w:val="auto"/>
              </w:rPr>
            </w:pPr>
          </w:p>
        </w:tc>
        <w:tc>
          <w:tcPr>
            <w:tcW w:w="106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356,490</w:t>
            </w:r>
          </w:p>
        </w:tc>
        <w:tc>
          <w:tcPr>
            <w:tcW w:w="0" w:type="dxa"/>
            <w:vAlign w:val="bottom"/>
          </w:tcPr>
          <w:p>
            <w:pPr>
              <w:spacing w:after="0"/>
              <w:rPr>
                <w:sz w:val="1"/>
                <w:szCs w:val="1"/>
                <w:color w:val="auto"/>
              </w:rPr>
            </w:pPr>
          </w:p>
        </w:tc>
      </w:tr>
      <w:tr>
        <w:trPr>
          <w:trHeight w:val="257"/>
        </w:trPr>
        <w:tc>
          <w:tcPr>
            <w:tcW w:w="3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 (EXPENSE)</w:t>
            </w:r>
          </w:p>
        </w:tc>
        <w:tc>
          <w:tcPr>
            <w:tcW w:w="34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4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440" w:type="dxa"/>
            <w:vAlign w:val="bottom"/>
            <w:shd w:val="clear" w:color="auto" w:fill="CECECE"/>
          </w:tcPr>
          <w:p>
            <w:pPr>
              <w:spacing w:after="0"/>
              <w:rPr>
                <w:sz w:val="18"/>
                <w:szCs w:val="18"/>
                <w:color w:val="auto"/>
              </w:rPr>
            </w:pPr>
          </w:p>
        </w:tc>
        <w:tc>
          <w:tcPr>
            <w:tcW w:w="106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(5,866)</w:t>
            </w:r>
          </w:p>
        </w:tc>
        <w:tc>
          <w:tcPr>
            <w:tcW w:w="0" w:type="dxa"/>
            <w:vAlign w:val="bottom"/>
          </w:tcPr>
          <w:p>
            <w:pPr>
              <w:spacing w:after="0"/>
              <w:rPr>
                <w:sz w:val="1"/>
                <w:szCs w:val="1"/>
                <w:color w:val="auto"/>
              </w:rPr>
            </w:pPr>
          </w:p>
        </w:tc>
      </w:tr>
      <w:tr>
        <w:trPr>
          <w:trHeight w:val="257"/>
        </w:trPr>
        <w:tc>
          <w:tcPr>
            <w:tcW w:w="3240" w:type="dxa"/>
            <w:vAlign w:val="bottom"/>
            <w:tcBorders>
              <w:bottom w:val="single" w:sz="8" w:color="CCEEFF"/>
            </w:tcBorders>
          </w:tcPr>
          <w:p>
            <w:pPr>
              <w:spacing w:after="0"/>
              <w:rPr>
                <w:sz w:val="22"/>
                <w:szCs w:val="22"/>
                <w:color w:val="auto"/>
              </w:rPr>
            </w:pPr>
          </w:p>
        </w:tc>
        <w:tc>
          <w:tcPr>
            <w:tcW w:w="340" w:type="dxa"/>
            <w:vAlign w:val="bottom"/>
            <w:tcBorders>
              <w:bottom w:val="single" w:sz="8" w:color="CECECE"/>
            </w:tcBorders>
          </w:tcPr>
          <w:p>
            <w:pPr>
              <w:spacing w:after="0"/>
              <w:rPr>
                <w:sz w:val="22"/>
                <w:szCs w:val="22"/>
                <w:color w:val="auto"/>
              </w:rPr>
            </w:pPr>
          </w:p>
        </w:tc>
        <w:tc>
          <w:tcPr>
            <w:tcW w:w="1160" w:type="dxa"/>
            <w:vAlign w:val="bottom"/>
            <w:tcBorders>
              <w:bottom w:val="single" w:sz="8" w:color="CECECE"/>
            </w:tcBorders>
          </w:tcPr>
          <w:p>
            <w:pPr>
              <w:spacing w:after="0"/>
              <w:rPr>
                <w:sz w:val="22"/>
                <w:szCs w:val="22"/>
                <w:color w:val="auto"/>
              </w:rPr>
            </w:pPr>
          </w:p>
        </w:tc>
        <w:tc>
          <w:tcPr>
            <w:tcW w:w="100" w:type="dxa"/>
            <w:vAlign w:val="bottom"/>
            <w:tcBorders>
              <w:bottom w:val="single" w:sz="8" w:color="CECECE"/>
            </w:tcBorders>
          </w:tcPr>
          <w:p>
            <w:pPr>
              <w:spacing w:after="0"/>
              <w:rPr>
                <w:sz w:val="22"/>
                <w:szCs w:val="22"/>
                <w:color w:val="auto"/>
              </w:rPr>
            </w:pPr>
          </w:p>
        </w:tc>
        <w:tc>
          <w:tcPr>
            <w:tcW w:w="240" w:type="dxa"/>
            <w:vAlign w:val="bottom"/>
            <w:tcBorders>
              <w:bottom w:val="single" w:sz="8" w:color="CECECE"/>
            </w:tcBorders>
          </w:tcPr>
          <w:p>
            <w:pPr>
              <w:spacing w:after="0"/>
              <w:rPr>
                <w:sz w:val="22"/>
                <w:szCs w:val="22"/>
                <w:color w:val="auto"/>
              </w:rPr>
            </w:pPr>
          </w:p>
        </w:tc>
        <w:tc>
          <w:tcPr>
            <w:tcW w:w="1240" w:type="dxa"/>
            <w:vAlign w:val="bottom"/>
            <w:tcBorders>
              <w:bottom w:val="single" w:sz="8" w:color="CECECE"/>
            </w:tcBorders>
          </w:tcPr>
          <w:p>
            <w:pPr>
              <w:spacing w:after="0"/>
              <w:rPr>
                <w:sz w:val="22"/>
                <w:szCs w:val="22"/>
                <w:color w:val="auto"/>
              </w:rPr>
            </w:pPr>
          </w:p>
        </w:tc>
        <w:tc>
          <w:tcPr>
            <w:tcW w:w="120" w:type="dxa"/>
            <w:vAlign w:val="bottom"/>
            <w:tcBorders>
              <w:bottom w:val="single" w:sz="8" w:color="CECECE"/>
            </w:tcBorders>
          </w:tcPr>
          <w:p>
            <w:pPr>
              <w:spacing w:after="0"/>
              <w:rPr>
                <w:sz w:val="22"/>
                <w:szCs w:val="22"/>
                <w:color w:val="auto"/>
              </w:rPr>
            </w:pPr>
          </w:p>
        </w:tc>
        <w:tc>
          <w:tcPr>
            <w:tcW w:w="160" w:type="dxa"/>
            <w:vAlign w:val="bottom"/>
            <w:tcBorders>
              <w:bottom w:val="single" w:sz="8" w:color="CECECE"/>
            </w:tcBorders>
          </w:tcPr>
          <w:p>
            <w:pPr>
              <w:spacing w:after="0"/>
              <w:rPr>
                <w:sz w:val="22"/>
                <w:szCs w:val="22"/>
                <w:color w:val="auto"/>
              </w:rPr>
            </w:pPr>
          </w:p>
        </w:tc>
        <w:tc>
          <w:tcPr>
            <w:tcW w:w="1480" w:type="dxa"/>
            <w:vAlign w:val="bottom"/>
            <w:tcBorders>
              <w:bottom w:val="single" w:sz="8" w:color="CECECE"/>
            </w:tcBorders>
          </w:tcPr>
          <w:p>
            <w:pPr>
              <w:spacing w:after="0"/>
              <w:rPr>
                <w:sz w:val="22"/>
                <w:szCs w:val="22"/>
                <w:color w:val="auto"/>
              </w:rPr>
            </w:pPr>
          </w:p>
        </w:tc>
        <w:tc>
          <w:tcPr>
            <w:tcW w:w="100" w:type="dxa"/>
            <w:vAlign w:val="bottom"/>
            <w:tcBorders>
              <w:bottom w:val="single" w:sz="8" w:color="CECECE"/>
            </w:tcBorders>
          </w:tcPr>
          <w:p>
            <w:pPr>
              <w:spacing w:after="0"/>
              <w:rPr>
                <w:sz w:val="22"/>
                <w:szCs w:val="22"/>
                <w:color w:val="auto"/>
              </w:rPr>
            </w:pPr>
          </w:p>
        </w:tc>
        <w:tc>
          <w:tcPr>
            <w:tcW w:w="440" w:type="dxa"/>
            <w:vAlign w:val="bottom"/>
            <w:tcBorders>
              <w:bottom w:val="single" w:sz="8" w:color="CECECE"/>
            </w:tcBorders>
          </w:tcPr>
          <w:p>
            <w:pPr>
              <w:spacing w:after="0"/>
              <w:rPr>
                <w:sz w:val="22"/>
                <w:szCs w:val="22"/>
                <w:color w:val="auto"/>
              </w:rPr>
            </w:pPr>
          </w:p>
        </w:tc>
        <w:tc>
          <w:tcPr>
            <w:tcW w:w="1060" w:type="dxa"/>
            <w:vAlign w:val="bottom"/>
            <w:tcBorders>
              <w:bottom w:val="single" w:sz="8" w:color="CECECE"/>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34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4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440" w:type="dxa"/>
            <w:vAlign w:val="bottom"/>
            <w:shd w:val="clear" w:color="auto" w:fill="CECECE"/>
          </w:tcPr>
          <w:p>
            <w:pPr>
              <w:spacing w:after="0"/>
              <w:rPr>
                <w:sz w:val="18"/>
                <w:szCs w:val="18"/>
                <w:color w:val="auto"/>
              </w:rPr>
            </w:pPr>
          </w:p>
        </w:tc>
        <w:tc>
          <w:tcPr>
            <w:tcW w:w="1060" w:type="dxa"/>
            <w:vAlign w:val="bottom"/>
            <w:shd w:val="clear" w:color="auto" w:fill="CECEC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350,624</w:t>
            </w:r>
          </w:p>
        </w:tc>
        <w:tc>
          <w:tcPr>
            <w:tcW w:w="0" w:type="dxa"/>
            <w:vAlign w:val="bottom"/>
          </w:tcPr>
          <w:p>
            <w:pPr>
              <w:spacing w:after="0"/>
              <w:rPr>
                <w:sz w:val="1"/>
                <w:szCs w:val="1"/>
                <w:color w:val="auto"/>
              </w:rPr>
            </w:pPr>
          </w:p>
        </w:tc>
      </w:tr>
    </w:tbl>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3"/>
          </w:tcPr>
          <w:p>
            <w:pPr>
              <w:ind w:left="40"/>
              <w:spacing w:after="0"/>
              <w:rPr>
                <w:sz w:val="20"/>
                <w:szCs w:val="20"/>
                <w:color w:val="auto"/>
              </w:rPr>
            </w:pPr>
            <w:r>
              <w:rPr>
                <w:rFonts w:ascii="Arial" w:cs="Arial" w:eastAsia="Arial" w:hAnsi="Arial"/>
                <w:sz w:val="16"/>
                <w:szCs w:val="16"/>
                <w:b w:val="1"/>
                <w:bCs w:val="1"/>
                <w:color w:val="auto"/>
              </w:rPr>
              <w:t>Nine Months Ended</w:t>
            </w: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March 31, 2022</w:t>
            </w: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REVENUE</w:t>
            </w:r>
          </w:p>
        </w:tc>
        <w:tc>
          <w:tcPr>
            <w:tcW w:w="340" w:type="dxa"/>
            <w:vAlign w:val="bottom"/>
          </w:tcPr>
          <w:p>
            <w:pPr>
              <w:spacing w:after="0"/>
              <w:rPr>
                <w:sz w:val="18"/>
                <w:szCs w:val="18"/>
                <w:color w:val="auto"/>
              </w:rPr>
            </w:pPr>
          </w:p>
        </w:tc>
        <w:tc>
          <w:tcPr>
            <w:tcW w:w="1160" w:type="dxa"/>
            <w:vAlign w:val="bottom"/>
          </w:tcPr>
          <w:p>
            <w:pPr>
              <w:jc w:val="right"/>
              <w:ind w:right="479"/>
              <w:spacing w:after="0"/>
              <w:rPr>
                <w:sz w:val="20"/>
                <w:szCs w:val="20"/>
                <w:color w:val="auto"/>
              </w:rPr>
            </w:pPr>
            <w:r>
              <w:rPr>
                <w:rFonts w:ascii="Arial" w:cs="Arial" w:eastAsia="Arial" w:hAnsi="Arial"/>
                <w:sz w:val="16"/>
                <w:szCs w:val="16"/>
                <w:b w:val="1"/>
                <w:bCs w:val="1"/>
                <w:color w:val="auto"/>
              </w:rPr>
              <w:t>Core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ind w:left="120"/>
              <w:spacing w:after="0"/>
              <w:rPr>
                <w:sz w:val="20"/>
                <w:szCs w:val="20"/>
                <w:color w:val="auto"/>
              </w:rPr>
            </w:pPr>
            <w:r>
              <w:rPr>
                <w:rFonts w:ascii="Arial" w:cs="Arial" w:eastAsia="Arial" w:hAnsi="Arial"/>
                <w:sz w:val="16"/>
                <w:szCs w:val="16"/>
                <w:b w:val="1"/>
                <w:bCs w:val="1"/>
                <w:color w:val="auto"/>
              </w:rPr>
              <w:t>Payments</w:t>
            </w:r>
          </w:p>
        </w:tc>
        <w:tc>
          <w:tcPr>
            <w:tcW w:w="160" w:type="dxa"/>
            <w:vAlign w:val="bottom"/>
          </w:tcPr>
          <w:p>
            <w:pPr>
              <w:spacing w:after="0"/>
              <w:rPr>
                <w:sz w:val="18"/>
                <w:szCs w:val="18"/>
                <w:color w:val="auto"/>
              </w:rPr>
            </w:pPr>
          </w:p>
        </w:tc>
        <w:tc>
          <w:tcPr>
            <w:tcW w:w="1580" w:type="dxa"/>
            <w:vAlign w:val="bottom"/>
            <w:gridSpan w:val="2"/>
          </w:tcPr>
          <w:p>
            <w:pPr>
              <w:ind w:left="40"/>
              <w:spacing w:after="0"/>
              <w:rPr>
                <w:sz w:val="20"/>
                <w:szCs w:val="20"/>
                <w:color w:val="auto"/>
              </w:rPr>
            </w:pPr>
            <w:r>
              <w:rPr>
                <w:rFonts w:ascii="Arial" w:cs="Arial" w:eastAsia="Arial" w:hAnsi="Arial"/>
                <w:sz w:val="16"/>
                <w:szCs w:val="16"/>
                <w:b w:val="1"/>
                <w:bCs w:val="1"/>
                <w:color w:val="auto"/>
              </w:rPr>
              <w:t>Complementary</w:t>
            </w:r>
          </w:p>
        </w:tc>
        <w:tc>
          <w:tcPr>
            <w:tcW w:w="1500" w:type="dxa"/>
            <w:vAlign w:val="bottom"/>
            <w:gridSpan w:val="2"/>
          </w:tcPr>
          <w:p>
            <w:pPr>
              <w:ind w:left="40"/>
              <w:spacing w:after="0"/>
              <w:rPr>
                <w:sz w:val="20"/>
                <w:szCs w:val="20"/>
                <w:color w:val="auto"/>
              </w:rPr>
            </w:pPr>
            <w:r>
              <w:rPr>
                <w:rFonts w:ascii="Arial" w:cs="Arial" w:eastAsia="Arial" w:hAnsi="Arial"/>
                <w:sz w:val="16"/>
                <w:szCs w:val="16"/>
                <w:b w:val="1"/>
                <w:bCs w:val="1"/>
                <w:color w:val="auto"/>
              </w:rPr>
              <w:t>Corporate &amp; Other</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9"/>
        </w:trPr>
        <w:tc>
          <w:tcPr>
            <w:tcW w:w="324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140"/>
              <w:spacing w:after="0"/>
              <w:rPr>
                <w:sz w:val="20"/>
                <w:szCs w:val="20"/>
                <w:color w:val="auto"/>
              </w:rPr>
            </w:pPr>
            <w:r>
              <w:rPr>
                <w:rFonts w:ascii="Arial" w:cs="Arial" w:eastAsia="Arial" w:hAnsi="Arial"/>
                <w:sz w:val="16"/>
                <w:szCs w:val="16"/>
                <w:color w:val="auto"/>
              </w:rPr>
              <w:t>Services and Support</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442,730</w:t>
            </w:r>
          </w:p>
        </w:tc>
        <w:tc>
          <w:tcPr>
            <w:tcW w:w="34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66,105</w:t>
            </w:r>
          </w:p>
        </w:tc>
        <w:tc>
          <w:tcPr>
            <w:tcW w:w="12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327,258</w:t>
            </w:r>
          </w:p>
        </w:tc>
        <w:tc>
          <w:tcPr>
            <w:tcW w:w="100" w:type="dxa"/>
            <w:vAlign w:val="bottom"/>
          </w:tcPr>
          <w:p>
            <w:pPr>
              <w:spacing w:after="0"/>
              <w:rPr>
                <w:sz w:val="18"/>
                <w:szCs w:val="18"/>
                <w:color w:val="auto"/>
              </w:rPr>
            </w:pPr>
          </w:p>
        </w:tc>
        <w:tc>
          <w:tcPr>
            <w:tcW w:w="440" w:type="dxa"/>
            <w:vAlign w:val="bottom"/>
          </w:tcPr>
          <w:p>
            <w:pPr>
              <w:ind w:left="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40,532</w:t>
            </w:r>
          </w:p>
        </w:tc>
        <w:tc>
          <w:tcPr>
            <w:tcW w:w="42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876,625</w:t>
            </w:r>
          </w:p>
        </w:tc>
        <w:tc>
          <w:tcPr>
            <w:tcW w:w="0" w:type="dxa"/>
            <w:vAlign w:val="bottom"/>
          </w:tcPr>
          <w:p>
            <w:pPr>
              <w:spacing w:after="0"/>
              <w:rPr>
                <w:sz w:val="1"/>
                <w:szCs w:val="1"/>
                <w:color w:val="auto"/>
              </w:rPr>
            </w:pPr>
          </w:p>
        </w:tc>
      </w:tr>
      <w:tr>
        <w:trPr>
          <w:trHeight w:val="217"/>
        </w:trPr>
        <w:tc>
          <w:tcPr>
            <w:tcW w:w="3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Processing</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28,232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472,510</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80,879</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583,587</w:t>
            </w:r>
          </w:p>
        </w:tc>
        <w:tc>
          <w:tcPr>
            <w:tcW w:w="0" w:type="dxa"/>
            <w:vAlign w:val="bottom"/>
          </w:tcPr>
          <w:p>
            <w:pPr>
              <w:spacing w:after="0"/>
              <w:rPr>
                <w:sz w:val="1"/>
                <w:szCs w:val="1"/>
                <w:color w:val="auto"/>
              </w:rPr>
            </w:pPr>
          </w:p>
        </w:tc>
      </w:tr>
      <w:tr>
        <w:trPr>
          <w:trHeight w:val="210"/>
        </w:trPr>
        <w:tc>
          <w:tcPr>
            <w:tcW w:w="3240" w:type="dxa"/>
            <w:vAlign w:val="bottom"/>
            <w:tcBorders>
              <w:bottom w:val="single" w:sz="8" w:color="CCEEFF"/>
            </w:tcBorders>
          </w:tcPr>
          <w:p>
            <w:pPr>
              <w:ind w:left="560"/>
              <w:spacing w:after="0"/>
              <w:rPr>
                <w:sz w:val="20"/>
                <w:szCs w:val="20"/>
                <w:color w:val="auto"/>
              </w:rPr>
            </w:pPr>
            <w:r>
              <w:rPr>
                <w:rFonts w:ascii="Arial" w:cs="Arial" w:eastAsia="Arial" w:hAnsi="Arial"/>
                <w:sz w:val="16"/>
                <w:szCs w:val="16"/>
                <w:b w:val="1"/>
                <w:bCs w:val="1"/>
                <w:color w:val="auto"/>
              </w:rPr>
              <w:t>Total Revenue</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470,962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538,615</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408,137</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42,498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1,460,212</w:t>
            </w:r>
          </w:p>
        </w:tc>
        <w:tc>
          <w:tcPr>
            <w:tcW w:w="0" w:type="dxa"/>
            <w:vAlign w:val="bottom"/>
          </w:tcPr>
          <w:p>
            <w:pPr>
              <w:spacing w:after="0"/>
              <w:rPr>
                <w:sz w:val="1"/>
                <w:szCs w:val="1"/>
                <w:color w:val="auto"/>
              </w:rPr>
            </w:pPr>
          </w:p>
        </w:tc>
      </w:tr>
      <w:tr>
        <w:trPr>
          <w:trHeight w:val="250"/>
        </w:trPr>
        <w:tc>
          <w:tcPr>
            <w:tcW w:w="32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324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198,032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287,518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168,139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188,110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841,799</w:t>
            </w:r>
          </w:p>
        </w:tc>
        <w:tc>
          <w:tcPr>
            <w:tcW w:w="0" w:type="dxa"/>
            <w:vAlign w:val="bottom"/>
          </w:tcPr>
          <w:p>
            <w:pPr>
              <w:spacing w:after="0"/>
              <w:rPr>
                <w:sz w:val="1"/>
                <w:szCs w:val="1"/>
                <w:color w:val="auto"/>
              </w:rPr>
            </w:pPr>
          </w:p>
        </w:tc>
      </w:tr>
      <w:tr>
        <w:trPr>
          <w:trHeight w:val="217"/>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34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4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440" w:type="dxa"/>
            <w:vAlign w:val="bottom"/>
            <w:shd w:val="clear" w:color="auto" w:fill="CECECE"/>
          </w:tcPr>
          <w:p>
            <w:pPr>
              <w:spacing w:after="0"/>
              <w:rPr>
                <w:sz w:val="18"/>
                <w:szCs w:val="18"/>
                <w:color w:val="auto"/>
              </w:rPr>
            </w:pPr>
          </w:p>
        </w:tc>
        <w:tc>
          <w:tcPr>
            <w:tcW w:w="106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87,394</w:t>
            </w:r>
          </w:p>
        </w:tc>
        <w:tc>
          <w:tcPr>
            <w:tcW w:w="0" w:type="dxa"/>
            <w:vAlign w:val="bottom"/>
          </w:tcPr>
          <w:p>
            <w:pPr>
              <w:spacing w:after="0"/>
              <w:rPr>
                <w:sz w:val="1"/>
                <w:szCs w:val="1"/>
                <w:color w:val="auto"/>
              </w:rPr>
            </w:pPr>
          </w:p>
        </w:tc>
      </w:tr>
      <w:tr>
        <w:trPr>
          <w:trHeight w:val="215"/>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Selling, General, and Administrative</w:t>
            </w:r>
          </w:p>
        </w:tc>
        <w:tc>
          <w:tcPr>
            <w:tcW w:w="340" w:type="dxa"/>
            <w:vAlign w:val="bottom"/>
            <w:tcBorders>
              <w:bottom w:val="single" w:sz="8" w:color="CECECE"/>
            </w:tcBorders>
            <w:shd w:val="clear" w:color="auto" w:fill="CECECE"/>
          </w:tcPr>
          <w:p>
            <w:pPr>
              <w:spacing w:after="0"/>
              <w:rPr>
                <w:sz w:val="18"/>
                <w:szCs w:val="18"/>
                <w:color w:val="auto"/>
              </w:rPr>
            </w:pPr>
          </w:p>
        </w:tc>
        <w:tc>
          <w:tcPr>
            <w:tcW w:w="116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ECECE"/>
            </w:tcBorders>
            <w:shd w:val="clear" w:color="auto" w:fill="CECECE"/>
          </w:tcPr>
          <w:p>
            <w:pPr>
              <w:spacing w:after="0"/>
              <w:rPr>
                <w:sz w:val="18"/>
                <w:szCs w:val="18"/>
                <w:color w:val="auto"/>
              </w:rPr>
            </w:pPr>
          </w:p>
        </w:tc>
        <w:tc>
          <w:tcPr>
            <w:tcW w:w="240" w:type="dxa"/>
            <w:vAlign w:val="bottom"/>
            <w:tcBorders>
              <w:bottom w:val="single" w:sz="8" w:color="CECECE"/>
            </w:tcBorders>
            <w:shd w:val="clear" w:color="auto" w:fill="CECECE"/>
          </w:tcPr>
          <w:p>
            <w:pPr>
              <w:spacing w:after="0"/>
              <w:rPr>
                <w:sz w:val="18"/>
                <w:szCs w:val="18"/>
                <w:color w:val="auto"/>
              </w:rPr>
            </w:pPr>
          </w:p>
        </w:tc>
        <w:tc>
          <w:tcPr>
            <w:tcW w:w="1240" w:type="dxa"/>
            <w:vAlign w:val="bottom"/>
            <w:tcBorders>
              <w:bottom w:val="single" w:sz="8" w:color="CECECE"/>
            </w:tcBorders>
            <w:shd w:val="clear" w:color="auto" w:fill="CECECE"/>
          </w:tcPr>
          <w:p>
            <w:pPr>
              <w:spacing w:after="0"/>
              <w:rPr>
                <w:sz w:val="18"/>
                <w:szCs w:val="18"/>
                <w:color w:val="auto"/>
              </w:rPr>
            </w:pPr>
          </w:p>
        </w:tc>
        <w:tc>
          <w:tcPr>
            <w:tcW w:w="120" w:type="dxa"/>
            <w:vAlign w:val="bottom"/>
            <w:tcBorders>
              <w:bottom w:val="single" w:sz="8" w:color="CECECE"/>
            </w:tcBorders>
            <w:shd w:val="clear" w:color="auto" w:fill="CECECE"/>
          </w:tcPr>
          <w:p>
            <w:pPr>
              <w:spacing w:after="0"/>
              <w:rPr>
                <w:sz w:val="18"/>
                <w:szCs w:val="18"/>
                <w:color w:val="auto"/>
              </w:rPr>
            </w:pPr>
          </w:p>
        </w:tc>
        <w:tc>
          <w:tcPr>
            <w:tcW w:w="160" w:type="dxa"/>
            <w:vAlign w:val="bottom"/>
            <w:tcBorders>
              <w:bottom w:val="single" w:sz="8" w:color="CECECE"/>
            </w:tcBorders>
            <w:shd w:val="clear" w:color="auto" w:fill="CECECE"/>
          </w:tcPr>
          <w:p>
            <w:pPr>
              <w:spacing w:after="0"/>
              <w:rPr>
                <w:sz w:val="18"/>
                <w:szCs w:val="18"/>
                <w:color w:val="auto"/>
              </w:rPr>
            </w:pPr>
          </w:p>
        </w:tc>
        <w:tc>
          <w:tcPr>
            <w:tcW w:w="148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ECECE"/>
            </w:tcBorders>
            <w:shd w:val="clear" w:color="auto" w:fill="CECECE"/>
          </w:tcPr>
          <w:p>
            <w:pPr>
              <w:spacing w:after="0"/>
              <w:rPr>
                <w:sz w:val="18"/>
                <w:szCs w:val="18"/>
                <w:color w:val="auto"/>
              </w:rPr>
            </w:pPr>
          </w:p>
        </w:tc>
        <w:tc>
          <w:tcPr>
            <w:tcW w:w="440" w:type="dxa"/>
            <w:vAlign w:val="bottom"/>
            <w:tcBorders>
              <w:bottom w:val="single" w:sz="8" w:color="CECECE"/>
            </w:tcBorders>
            <w:shd w:val="clear" w:color="auto" w:fill="CECECE"/>
          </w:tcPr>
          <w:p>
            <w:pPr>
              <w:spacing w:after="0"/>
              <w:rPr>
                <w:sz w:val="18"/>
                <w:szCs w:val="18"/>
                <w:color w:val="auto"/>
              </w:rPr>
            </w:pPr>
          </w:p>
        </w:tc>
        <w:tc>
          <w:tcPr>
            <w:tcW w:w="106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160,172</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560"/>
              <w:spacing w:after="0"/>
              <w:rPr>
                <w:sz w:val="20"/>
                <w:szCs w:val="20"/>
                <w:color w:val="auto"/>
              </w:rPr>
            </w:pPr>
            <w:r>
              <w:rPr>
                <w:rFonts w:ascii="Arial" w:cs="Arial" w:eastAsia="Arial" w:hAnsi="Arial"/>
                <w:sz w:val="16"/>
                <w:szCs w:val="16"/>
                <w:b w:val="1"/>
                <w:bCs w:val="1"/>
                <w:color w:val="auto"/>
              </w:rPr>
              <w:t>Total Expenses</w:t>
            </w:r>
          </w:p>
        </w:tc>
        <w:tc>
          <w:tcPr>
            <w:tcW w:w="34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4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440" w:type="dxa"/>
            <w:vAlign w:val="bottom"/>
            <w:shd w:val="clear" w:color="auto" w:fill="CECECE"/>
          </w:tcPr>
          <w:p>
            <w:pPr>
              <w:spacing w:after="0"/>
              <w:rPr>
                <w:sz w:val="18"/>
                <w:szCs w:val="18"/>
                <w:color w:val="auto"/>
              </w:rPr>
            </w:pPr>
          </w:p>
        </w:tc>
        <w:tc>
          <w:tcPr>
            <w:tcW w:w="106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1,089,365</w:t>
            </w:r>
          </w:p>
        </w:tc>
        <w:tc>
          <w:tcPr>
            <w:tcW w:w="0" w:type="dxa"/>
            <w:vAlign w:val="bottom"/>
          </w:tcPr>
          <w:p>
            <w:pPr>
              <w:spacing w:after="0"/>
              <w:rPr>
                <w:sz w:val="1"/>
                <w:szCs w:val="1"/>
                <w:color w:val="auto"/>
              </w:rPr>
            </w:pPr>
          </w:p>
        </w:tc>
      </w:tr>
      <w:tr>
        <w:trPr>
          <w:trHeight w:val="256"/>
        </w:trPr>
        <w:tc>
          <w:tcPr>
            <w:tcW w:w="3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40" w:type="dxa"/>
            <w:vAlign w:val="bottom"/>
            <w:gridSpan w:val="2"/>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SEGMENT INCOME</w:t>
            </w: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272,930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251,097</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239,998</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(145,612)</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34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4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440" w:type="dxa"/>
            <w:vAlign w:val="bottom"/>
            <w:shd w:val="clear" w:color="auto" w:fill="CECECE"/>
          </w:tcPr>
          <w:p>
            <w:pPr>
              <w:spacing w:after="0"/>
              <w:rPr>
                <w:sz w:val="18"/>
                <w:szCs w:val="18"/>
                <w:color w:val="auto"/>
              </w:rPr>
            </w:pPr>
          </w:p>
        </w:tc>
        <w:tc>
          <w:tcPr>
            <w:tcW w:w="106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370,847</w:t>
            </w:r>
          </w:p>
        </w:tc>
        <w:tc>
          <w:tcPr>
            <w:tcW w:w="0" w:type="dxa"/>
            <w:vAlign w:val="bottom"/>
          </w:tcPr>
          <w:p>
            <w:pPr>
              <w:spacing w:after="0"/>
              <w:rPr>
                <w:sz w:val="1"/>
                <w:szCs w:val="1"/>
                <w:color w:val="auto"/>
              </w:rPr>
            </w:pPr>
          </w:p>
        </w:tc>
      </w:tr>
      <w:tr>
        <w:trPr>
          <w:trHeight w:val="257"/>
        </w:trPr>
        <w:tc>
          <w:tcPr>
            <w:tcW w:w="3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 (EXPENSE)</w:t>
            </w:r>
          </w:p>
        </w:tc>
        <w:tc>
          <w:tcPr>
            <w:tcW w:w="34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4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440" w:type="dxa"/>
            <w:vAlign w:val="bottom"/>
            <w:shd w:val="clear" w:color="auto" w:fill="CECECE"/>
          </w:tcPr>
          <w:p>
            <w:pPr>
              <w:spacing w:after="0"/>
              <w:rPr>
                <w:sz w:val="18"/>
                <w:szCs w:val="18"/>
                <w:color w:val="auto"/>
              </w:rPr>
            </w:pPr>
          </w:p>
        </w:tc>
        <w:tc>
          <w:tcPr>
            <w:tcW w:w="106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(1,371)</w:t>
            </w:r>
          </w:p>
        </w:tc>
        <w:tc>
          <w:tcPr>
            <w:tcW w:w="0" w:type="dxa"/>
            <w:vAlign w:val="bottom"/>
          </w:tcPr>
          <w:p>
            <w:pPr>
              <w:spacing w:after="0"/>
              <w:rPr>
                <w:sz w:val="1"/>
                <w:szCs w:val="1"/>
                <w:color w:val="auto"/>
              </w:rPr>
            </w:pPr>
          </w:p>
        </w:tc>
      </w:tr>
      <w:tr>
        <w:trPr>
          <w:trHeight w:val="256"/>
        </w:trPr>
        <w:tc>
          <w:tcPr>
            <w:tcW w:w="3240" w:type="dxa"/>
            <w:vAlign w:val="bottom"/>
            <w:tcBorders>
              <w:bottom w:val="single" w:sz="8" w:color="CCEEFF"/>
            </w:tcBorders>
          </w:tcPr>
          <w:p>
            <w:pPr>
              <w:spacing w:after="0"/>
              <w:rPr>
                <w:sz w:val="22"/>
                <w:szCs w:val="22"/>
                <w:color w:val="auto"/>
              </w:rPr>
            </w:pPr>
          </w:p>
        </w:tc>
        <w:tc>
          <w:tcPr>
            <w:tcW w:w="340" w:type="dxa"/>
            <w:vAlign w:val="bottom"/>
            <w:tcBorders>
              <w:bottom w:val="single" w:sz="8" w:color="CECECE"/>
            </w:tcBorders>
          </w:tcPr>
          <w:p>
            <w:pPr>
              <w:spacing w:after="0"/>
              <w:rPr>
                <w:sz w:val="22"/>
                <w:szCs w:val="22"/>
                <w:color w:val="auto"/>
              </w:rPr>
            </w:pPr>
          </w:p>
        </w:tc>
        <w:tc>
          <w:tcPr>
            <w:tcW w:w="1160" w:type="dxa"/>
            <w:vAlign w:val="bottom"/>
            <w:tcBorders>
              <w:bottom w:val="single" w:sz="8" w:color="CECECE"/>
            </w:tcBorders>
          </w:tcPr>
          <w:p>
            <w:pPr>
              <w:spacing w:after="0"/>
              <w:rPr>
                <w:sz w:val="22"/>
                <w:szCs w:val="22"/>
                <w:color w:val="auto"/>
              </w:rPr>
            </w:pPr>
          </w:p>
        </w:tc>
        <w:tc>
          <w:tcPr>
            <w:tcW w:w="100" w:type="dxa"/>
            <w:vAlign w:val="bottom"/>
            <w:tcBorders>
              <w:bottom w:val="single" w:sz="8" w:color="CECECE"/>
            </w:tcBorders>
          </w:tcPr>
          <w:p>
            <w:pPr>
              <w:spacing w:after="0"/>
              <w:rPr>
                <w:sz w:val="22"/>
                <w:szCs w:val="22"/>
                <w:color w:val="auto"/>
              </w:rPr>
            </w:pPr>
          </w:p>
        </w:tc>
        <w:tc>
          <w:tcPr>
            <w:tcW w:w="240" w:type="dxa"/>
            <w:vAlign w:val="bottom"/>
            <w:tcBorders>
              <w:bottom w:val="single" w:sz="8" w:color="CECECE"/>
            </w:tcBorders>
          </w:tcPr>
          <w:p>
            <w:pPr>
              <w:spacing w:after="0"/>
              <w:rPr>
                <w:sz w:val="22"/>
                <w:szCs w:val="22"/>
                <w:color w:val="auto"/>
              </w:rPr>
            </w:pPr>
          </w:p>
        </w:tc>
        <w:tc>
          <w:tcPr>
            <w:tcW w:w="1240" w:type="dxa"/>
            <w:vAlign w:val="bottom"/>
            <w:tcBorders>
              <w:bottom w:val="single" w:sz="8" w:color="CECECE"/>
            </w:tcBorders>
          </w:tcPr>
          <w:p>
            <w:pPr>
              <w:spacing w:after="0"/>
              <w:rPr>
                <w:sz w:val="22"/>
                <w:szCs w:val="22"/>
                <w:color w:val="auto"/>
              </w:rPr>
            </w:pPr>
          </w:p>
        </w:tc>
        <w:tc>
          <w:tcPr>
            <w:tcW w:w="120" w:type="dxa"/>
            <w:vAlign w:val="bottom"/>
            <w:tcBorders>
              <w:bottom w:val="single" w:sz="8" w:color="CECECE"/>
            </w:tcBorders>
          </w:tcPr>
          <w:p>
            <w:pPr>
              <w:spacing w:after="0"/>
              <w:rPr>
                <w:sz w:val="22"/>
                <w:szCs w:val="22"/>
                <w:color w:val="auto"/>
              </w:rPr>
            </w:pPr>
          </w:p>
        </w:tc>
        <w:tc>
          <w:tcPr>
            <w:tcW w:w="160" w:type="dxa"/>
            <w:vAlign w:val="bottom"/>
            <w:tcBorders>
              <w:bottom w:val="single" w:sz="8" w:color="CECECE"/>
            </w:tcBorders>
          </w:tcPr>
          <w:p>
            <w:pPr>
              <w:spacing w:after="0"/>
              <w:rPr>
                <w:sz w:val="22"/>
                <w:szCs w:val="22"/>
                <w:color w:val="auto"/>
              </w:rPr>
            </w:pPr>
          </w:p>
        </w:tc>
        <w:tc>
          <w:tcPr>
            <w:tcW w:w="1480" w:type="dxa"/>
            <w:vAlign w:val="bottom"/>
            <w:tcBorders>
              <w:bottom w:val="single" w:sz="8" w:color="CECECE"/>
            </w:tcBorders>
          </w:tcPr>
          <w:p>
            <w:pPr>
              <w:spacing w:after="0"/>
              <w:rPr>
                <w:sz w:val="22"/>
                <w:szCs w:val="22"/>
                <w:color w:val="auto"/>
              </w:rPr>
            </w:pPr>
          </w:p>
        </w:tc>
        <w:tc>
          <w:tcPr>
            <w:tcW w:w="100" w:type="dxa"/>
            <w:vAlign w:val="bottom"/>
            <w:tcBorders>
              <w:bottom w:val="single" w:sz="8" w:color="CECECE"/>
            </w:tcBorders>
          </w:tcPr>
          <w:p>
            <w:pPr>
              <w:spacing w:after="0"/>
              <w:rPr>
                <w:sz w:val="22"/>
                <w:szCs w:val="22"/>
                <w:color w:val="auto"/>
              </w:rPr>
            </w:pPr>
          </w:p>
        </w:tc>
        <w:tc>
          <w:tcPr>
            <w:tcW w:w="440" w:type="dxa"/>
            <w:vAlign w:val="bottom"/>
            <w:tcBorders>
              <w:bottom w:val="single" w:sz="8" w:color="CECECE"/>
            </w:tcBorders>
          </w:tcPr>
          <w:p>
            <w:pPr>
              <w:spacing w:after="0"/>
              <w:rPr>
                <w:sz w:val="22"/>
                <w:szCs w:val="22"/>
                <w:color w:val="auto"/>
              </w:rPr>
            </w:pPr>
          </w:p>
        </w:tc>
        <w:tc>
          <w:tcPr>
            <w:tcW w:w="1060" w:type="dxa"/>
            <w:vAlign w:val="bottom"/>
            <w:tcBorders>
              <w:bottom w:val="single" w:sz="8" w:color="CECECE"/>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34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4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440" w:type="dxa"/>
            <w:vAlign w:val="bottom"/>
            <w:shd w:val="clear" w:color="auto" w:fill="CECECE"/>
          </w:tcPr>
          <w:p>
            <w:pPr>
              <w:spacing w:after="0"/>
              <w:rPr>
                <w:sz w:val="18"/>
                <w:szCs w:val="18"/>
                <w:color w:val="auto"/>
              </w:rPr>
            </w:pPr>
          </w:p>
        </w:tc>
        <w:tc>
          <w:tcPr>
            <w:tcW w:w="1060" w:type="dxa"/>
            <w:vAlign w:val="bottom"/>
            <w:shd w:val="clear" w:color="auto" w:fill="CECEC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369,476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The Company has not disclosed any additional asset information by segment, as the information is not generated for internal management reporting to the Chief Executive Officer, who is also the Chief Operating Decision Maker.</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0" w:name="page21"/>
    <w:bookmarkEnd w:id="2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NOTE 12.</w:t>
      </w:r>
      <w:r>
        <w:rPr>
          <w:sz w:val="20"/>
          <w:szCs w:val="20"/>
          <w:color w:val="auto"/>
        </w:rPr>
        <w:tab/>
      </w:r>
      <w:r>
        <w:rPr>
          <w:rFonts w:ascii="Arial" w:cs="Arial" w:eastAsia="Arial" w:hAnsi="Arial"/>
          <w:sz w:val="17"/>
          <w:szCs w:val="17"/>
          <w:color w:val="auto"/>
        </w:rPr>
        <w:t>SUBSEQUENT EVENTS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This discussion and analysis should be read in conjunction with the condensed consolidated financial statements and the accompanying notes to the condensed consolidated financial statements included in this Form 10-Q for the quarter ended March 31, 2023.</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Jack Henry &amp; Associates, Inc. ("JKHY") is a well-rounded financial technology company and is a leading provider of technology solutions and payment processing services primarily for financial services organizations. Its solutions consist of integrated data processing systems solutions to U.S. banks ranging from de novo to multi-billion-dollar institutions, core data processing solutions for credit unions of all sizes, and non-core highly specialized core-agnostic products and services that enable financial institutions of every asset size and charter, and diverse corporate entities outside the financial services industry, to mitigate and control risks, optimize revenue and growth opportunities, and contain costs. JKHY's integrated solutions are available for on-premise installation and delivery in our private cloud.</w:t>
      </w:r>
    </w:p>
    <w:p>
      <w:pPr>
        <w:spacing w:after="0" w:line="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two primary revenue streams are "services and support" and "processing." Services and support includes: "private and public cloud" fees that predominantly have contract terms of seven years or longer at inception; "product delivery and services" revenue, which includes revenue from the sales of licenses, implementation services, deconversion fees, consulting, and hardware; and "on-premise support" revenue, composed of maintenance fees which primarily contain annual contract terms. Processing revenue includes: "remittance" revenue from payment processing, remote capture, and ACH transactions; "card" fees, including card transaction processing and monthly fees; and "transaction and digital" revenue, which includes transaction and mobile processing fees. We continually seek opportunities to increase revenue while at the same time containing costs to expand margins.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All amounts in the following discussion are in thousands, except per share amounts.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the third quarter of fiscal 2023, total revenue increased 6%, or $30,292, compared to the same quarter in fiscal 2022. Total revenue less deconversion fee and acquisition revenues of $6,143 and $2,658, respectively, for the current fiscal quarter and less deconversion fee revenues of $ 17,431 for the prior fiscal quarter, results in an increase of 8%, quarter over quarter. This increase was primarily driven by growth in data processing and hosting, higher card and payment processing, and increased hardware revenues.</w:t>
      </w:r>
    </w:p>
    <w:p>
      <w:pPr>
        <w:spacing w:after="0" w:line="5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expenses increased 9% for the third quarter of fiscal 2023 compared to the third quarter of fiscal 2022. Total operating expenses less deconversion expenses of $1,013 and acquisition-related expenses of $6,167 for the current fiscal quarter, and reducing operating expenses by deconversion expenses of $ 1,949 for the prior fiscal year quarter, results in an 8% increase quarter over quarter. This increase was primarily driven by higher personnel costs, including benefits expenses, resulting from a 3% headcount increase in the trailing twelve months, higher direct costs as revenue increased, increased amortization of intangible assets, and increased cost of hardware.</w:t>
      </w:r>
    </w:p>
    <w:p>
      <w:pPr>
        <w:spacing w:after="0" w:line="4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Operating income decreased 3% for the third quarter of fiscal 2023 compared to the third quarter of fiscal 2022. Total operating income less deconversion fee operating income of $5,130 plus an acquisition operating loss of $3,508 for the current fiscal quarter, and less deconversion fee operating income of $15,482 for the prior fiscal quarter, results in an 11% increase quarter over quarter. This increase was primarily driven by revenue growth partially offset by increased operating expenses detailed above.</w:t>
      </w:r>
    </w:p>
    <w:p>
      <w:pPr>
        <w:spacing w:after="0" w:line="5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provision for income taxes decreased 6% for the third quarter of fiscal 2023 compared to the prior fiscal year third quarter. The effective tax rate for the third quarter of fiscal 2023 was 23.2% compared to 23.6% for the same quarter a year ago.</w:t>
      </w:r>
    </w:p>
    <w:p>
      <w:pPr>
        <w:spacing w:after="0" w:line="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Due to the above changes, net income decreased 4% for the third quarter of fiscal 2023 compared to the third quarter of fiscal 2022. Total net income less deconversion fee net income of $3,861 plus acquisition net loss of $4,938 for the current fiscal quarter, and less deconversion fee net income of $11,666 for the prior fiscal quarter, results in a 13% increase quarter over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the nine months ended March 31, 2023, total revenue increased 6%, or $ 82,857, compared to the same period in fiscal year 2022. Total revenue less deconversion fee and acquisition revenues of $17,042 and $5,975, respectively, for the current fiscal period and less deconversion fee revenues of $48,058 for the prior fiscal period, results in an increase of 8%, period over period. This increase was primarily driven by growth in data processing and hosting fees and card, payment, and digital processing revenues.</w:t>
      </w:r>
    </w:p>
    <w:p>
      <w:pPr>
        <w:spacing w:after="0" w:line="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expenses increased 9% for the nine months ended March 31, 2023, compared to the same period in fiscal year 2022. Total operating expenses less deconversion expenses of $2,583 and acquisition-related expenses of $ 15,609 plus the gain on sale of assets of $7,384 for the current fiscal period, and reducing operating expenses by deconversion expenses of $5,036 for the prior fiscal year period, results in an 8% increase period over period. The increase in operating expenses was primarily driven by higher personnel costs, including benefits expenses, resulting from a 3% headcount increase in the trailing twelve months, increased direct costs related to growth in revenue activity, higher amortization of intangible assets, increased travel-related expenses, and increased internal licenses and fees.</w:t>
      </w:r>
    </w:p>
    <w:p>
      <w:pPr>
        <w:spacing w:after="0" w:line="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income decreased 4% for the nine months ended March 31, 2023, compared to the same period in fiscal year 2022. Total operating income less deconversion fee operating income of $14,459, plus an acquisition operating loss of $9,634, less the gain on disposal of assets, net, of $7,384 for the current fiscal period, less deconversion fee operating income of $43,022 for the prior fiscal period, results in a 5% increase period over period. This increase was primarily driven by revenue growth partially offset by increased operating expenses detailed above.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decreased 6% for the nine months ended March 31, 2023, compared to the same period in fiscal year 2022.</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effective tax rate for the nine months ended March 31, 2023, was 23.3% compared to 23.5% for the same period a year ago.</w:t>
      </w:r>
    </w:p>
    <w:p>
      <w:pPr>
        <w:spacing w:after="0" w:line="7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Due to the above changes, net income decreased 5% for the nine months ended March 31, 2023, compared to the same period a year ago. Total net income less deconversion fee net income of $10,880, plus acquisition net loss of $12,213, less the gain on disposal of assets, net, of $5,556 for the current fiscal period, and less deconversion fee net income of $32,417 for the prior fiscal period, results in a 6% increase period over period.</w:t>
      </w:r>
    </w:p>
    <w:p>
      <w:pPr>
        <w:spacing w:after="0" w:line="5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third fiscal quarter was significantly impacted by a continuing slowdown of merger and acquisition activity in the financial institution industry, which has caused decreases in deconversion fee revenue, as noted, and in conversion/merger services revenue. However, we move into the fourth quarter of fiscal 2023 with significant portions of our business continuing to come from recurring revenues and our sales pipeline remaining encouraging. Our customers continue to face regulatory and operational challenges which our products and services address, and we believe they have a great need for our solutions that directly address institutional profitability, efficiency, and security. Our strong balance sheet, access to extensive lines of credit, the continued strength of our existing lines of revenue, and an unwavering commitment to superior customer service should position us well to address current and future opportunities.</w:t>
      </w:r>
    </w:p>
    <w:p>
      <w:pPr>
        <w:spacing w:after="0" w:line="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 detailed discussion of the major components of the results of operations for the three and nine months ended March 31, 2023, follows. Discussions compare the current fiscal year's three and nine months ended March 31, 2023, to the prior fiscal year's three and nine months ended March 31, 2022.</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04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3040" w:type="dxa"/>
            <w:vAlign w:val="bottom"/>
          </w:tcPr>
          <w:p>
            <w:pPr>
              <w:ind w:left="20"/>
              <w:spacing w:after="0" w:line="199" w:lineRule="exact"/>
              <w:rPr>
                <w:sz w:val="20"/>
                <w:szCs w:val="20"/>
                <w:color w:val="auto"/>
              </w:rPr>
            </w:pPr>
            <w:r>
              <w:rPr>
                <w:rFonts w:ascii="Arial" w:cs="Arial" w:eastAsia="Arial" w:hAnsi="Arial"/>
                <w:sz w:val="18"/>
                <w:szCs w:val="18"/>
                <w:b w:val="1"/>
                <w:bCs w:val="1"/>
                <w:color w:val="auto"/>
              </w:rPr>
              <w:t>Services and Support</w:t>
            </w:r>
          </w:p>
        </w:tc>
        <w:tc>
          <w:tcPr>
            <w:tcW w:w="120" w:type="dxa"/>
            <w:vAlign w:val="bottom"/>
          </w:tcPr>
          <w:p>
            <w:pPr>
              <w:spacing w:after="0"/>
              <w:rPr>
                <w:sz w:val="17"/>
                <w:szCs w:val="17"/>
                <w:color w:val="auto"/>
              </w:rPr>
            </w:pPr>
          </w:p>
        </w:tc>
        <w:tc>
          <w:tcPr>
            <w:tcW w:w="2820" w:type="dxa"/>
            <w:vAlign w:val="bottom"/>
            <w:gridSpan w:val="8"/>
            <w:vMerge w:val="restart"/>
          </w:tcPr>
          <w:p>
            <w:pPr>
              <w:ind w:left="20"/>
              <w:spacing w:after="0"/>
              <w:rPr>
                <w:sz w:val="20"/>
                <w:szCs w:val="20"/>
                <w:color w:val="auto"/>
              </w:rPr>
            </w:pPr>
            <w:r>
              <w:rPr>
                <w:rFonts w:ascii="Arial" w:cs="Arial" w:eastAsia="Arial" w:hAnsi="Arial"/>
                <w:sz w:val="18"/>
                <w:szCs w:val="18"/>
                <w:color w:val="auto"/>
              </w:rPr>
              <w:t>Three Months Ended March 31,</w:t>
            </w:r>
          </w:p>
        </w:tc>
        <w:tc>
          <w:tcPr>
            <w:tcW w:w="1080" w:type="dxa"/>
            <w:vAlign w:val="bottom"/>
          </w:tcPr>
          <w:p>
            <w:pPr>
              <w:jc w:val="right"/>
              <w:ind w:right="370"/>
              <w:spacing w:after="0" w:line="19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0" w:type="dxa"/>
            <w:vAlign w:val="bottom"/>
            <w:gridSpan w:val="8"/>
            <w:vMerge w:val="restart"/>
          </w:tcPr>
          <w:p>
            <w:pPr>
              <w:ind w:left="60"/>
              <w:spacing w:after="0"/>
              <w:rPr>
                <w:sz w:val="20"/>
                <w:szCs w:val="20"/>
                <w:color w:val="auto"/>
              </w:rPr>
            </w:pPr>
            <w:r>
              <w:rPr>
                <w:rFonts w:ascii="Arial" w:cs="Arial" w:eastAsia="Arial" w:hAnsi="Arial"/>
                <w:sz w:val="18"/>
                <w:szCs w:val="18"/>
                <w:color w:val="auto"/>
              </w:rPr>
              <w:t>Nine Months Ended March 31,</w:t>
            </w:r>
          </w:p>
        </w:tc>
        <w:tc>
          <w:tcPr>
            <w:tcW w:w="1100" w:type="dxa"/>
            <w:vAlign w:val="bottom"/>
          </w:tcPr>
          <w:p>
            <w:pPr>
              <w:jc w:val="right"/>
              <w:ind w:right="370"/>
              <w:spacing w:after="0" w:line="19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3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20" w:type="dxa"/>
            <w:vAlign w:val="bottom"/>
            <w:gridSpan w:val="8"/>
            <w:vMerge w:val="continue"/>
          </w:tcPr>
          <w:p>
            <w:pPr>
              <w:spacing w:after="0"/>
              <w:rPr>
                <w:sz w:val="20"/>
                <w:szCs w:val="20"/>
                <w:color w:val="auto"/>
              </w:rPr>
            </w:pPr>
          </w:p>
        </w:tc>
        <w:tc>
          <w:tcPr>
            <w:tcW w:w="1360" w:type="dxa"/>
            <w:vAlign w:val="bottom"/>
            <w:gridSpan w:val="3"/>
          </w:tcPr>
          <w:p>
            <w:pPr>
              <w:jc w:val="center"/>
              <w:ind w:right="280"/>
              <w:spacing w:after="0"/>
              <w:rPr>
                <w:sz w:val="20"/>
                <w:szCs w:val="20"/>
                <w:color w:val="auto"/>
              </w:rPr>
            </w:pPr>
            <w:r>
              <w:rPr>
                <w:rFonts w:ascii="Arial" w:cs="Arial" w:eastAsia="Arial" w:hAnsi="Arial"/>
                <w:sz w:val="18"/>
                <w:szCs w:val="18"/>
                <w:color w:val="auto"/>
              </w:rPr>
              <w:t>Change</w:t>
            </w:r>
          </w:p>
        </w:tc>
        <w:tc>
          <w:tcPr>
            <w:tcW w:w="2800" w:type="dxa"/>
            <w:vAlign w:val="bottom"/>
            <w:gridSpan w:val="8"/>
            <w:vMerge w:val="continue"/>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8"/>
              </w:rPr>
              <w:t>Change</w:t>
            </w:r>
          </w:p>
        </w:tc>
        <w:tc>
          <w:tcPr>
            <w:tcW w:w="0" w:type="dxa"/>
            <w:vAlign w:val="bottom"/>
          </w:tcPr>
          <w:p>
            <w:pPr>
              <w:spacing w:after="0"/>
              <w:rPr>
                <w:sz w:val="1"/>
                <w:szCs w:val="1"/>
                <w:color w:val="auto"/>
              </w:rPr>
            </w:pPr>
          </w:p>
        </w:tc>
      </w:tr>
      <w:tr>
        <w:trPr>
          <w:trHeight w:val="183"/>
        </w:trPr>
        <w:tc>
          <w:tcPr>
            <w:tcW w:w="30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3"/>
          </w:tcPr>
          <w:p>
            <w:pPr>
              <w:jc w:val="right"/>
              <w:ind w:right="520"/>
              <w:spacing w:after="0" w:line="182" w:lineRule="exact"/>
              <w:rPr>
                <w:sz w:val="20"/>
                <w:szCs w:val="20"/>
                <w:color w:val="auto"/>
              </w:rPr>
            </w:pPr>
            <w:r>
              <w:rPr>
                <w:rFonts w:ascii="Arial" w:cs="Arial" w:eastAsia="Arial" w:hAnsi="Arial"/>
                <w:sz w:val="18"/>
                <w:szCs w:val="18"/>
                <w:b w:val="1"/>
                <w:bCs w:val="1"/>
                <w:color w:val="auto"/>
              </w:rPr>
              <w:t>2023</w:t>
            </w:r>
          </w:p>
        </w:tc>
        <w:tc>
          <w:tcPr>
            <w:tcW w:w="3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3"/>
          </w:tcPr>
          <w:p>
            <w:pPr>
              <w:jc w:val="right"/>
              <w:ind w:right="480"/>
              <w:spacing w:after="0" w:line="182" w:lineRule="exact"/>
              <w:rPr>
                <w:sz w:val="20"/>
                <w:szCs w:val="20"/>
                <w:color w:val="auto"/>
              </w:rPr>
            </w:pPr>
            <w:r>
              <w:rPr>
                <w:rFonts w:ascii="Arial" w:cs="Arial" w:eastAsia="Arial" w:hAnsi="Arial"/>
                <w:sz w:val="18"/>
                <w:szCs w:val="18"/>
                <w:color w:val="auto"/>
              </w:rPr>
              <w:t>2022</w:t>
            </w:r>
          </w:p>
        </w:tc>
        <w:tc>
          <w:tcPr>
            <w:tcW w:w="12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3"/>
          </w:tcPr>
          <w:p>
            <w:pPr>
              <w:jc w:val="right"/>
              <w:ind w:right="540"/>
              <w:spacing w:after="0" w:line="182" w:lineRule="exact"/>
              <w:rPr>
                <w:sz w:val="20"/>
                <w:szCs w:val="20"/>
                <w:color w:val="auto"/>
              </w:rPr>
            </w:pPr>
            <w:r>
              <w:rPr>
                <w:rFonts w:ascii="Arial" w:cs="Arial" w:eastAsia="Arial" w:hAnsi="Arial"/>
                <w:sz w:val="18"/>
                <w:szCs w:val="18"/>
                <w:b w:val="1"/>
                <w:bCs w:val="1"/>
                <w:color w:val="auto"/>
              </w:rPr>
              <w:t>2023</w:t>
            </w:r>
          </w:p>
        </w:tc>
        <w:tc>
          <w:tcPr>
            <w:tcW w:w="3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gridSpan w:val="3"/>
          </w:tcPr>
          <w:p>
            <w:pPr>
              <w:jc w:val="right"/>
              <w:ind w:right="480"/>
              <w:spacing w:after="0" w:line="182" w:lineRule="exact"/>
              <w:rPr>
                <w:sz w:val="20"/>
                <w:szCs w:val="20"/>
                <w:color w:val="auto"/>
              </w:rPr>
            </w:pPr>
            <w:r>
              <w:rPr>
                <w:rFonts w:ascii="Arial" w:cs="Arial" w:eastAsia="Arial" w:hAnsi="Arial"/>
                <w:sz w:val="18"/>
                <w:szCs w:val="18"/>
                <w:color w:val="auto"/>
              </w:rPr>
              <w:t>2022</w:t>
            </w:r>
          </w:p>
        </w:tc>
        <w:tc>
          <w:tcPr>
            <w:tcW w:w="10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Services and Support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291,922</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282,921</w:t>
            </w:r>
          </w:p>
        </w:tc>
        <w:tc>
          <w:tcPr>
            <w:tcW w:w="12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3 %  $</w:t>
            </w:r>
          </w:p>
        </w:tc>
        <w:tc>
          <w:tcPr>
            <w:tcW w:w="12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902,771</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876,625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3 %</w:t>
            </w:r>
          </w:p>
        </w:tc>
        <w:tc>
          <w:tcPr>
            <w:tcW w:w="0" w:type="dxa"/>
            <w:vAlign w:val="bottom"/>
          </w:tcPr>
          <w:p>
            <w:pPr>
              <w:spacing w:after="0"/>
              <w:rPr>
                <w:sz w:val="1"/>
                <w:szCs w:val="1"/>
                <w:color w:val="auto"/>
              </w:rPr>
            </w:pPr>
          </w:p>
        </w:tc>
      </w:tr>
      <w:tr>
        <w:trPr>
          <w:trHeight w:val="247"/>
        </w:trPr>
        <w:tc>
          <w:tcPr>
            <w:tcW w:w="304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120" w:type="dxa"/>
            <w:vAlign w:val="bottom"/>
          </w:tcPr>
          <w:p>
            <w:pPr>
              <w:spacing w:after="0"/>
              <w:rPr>
                <w:sz w:val="21"/>
                <w:szCs w:val="21"/>
                <w:color w:val="auto"/>
              </w:rPr>
            </w:pPr>
          </w:p>
        </w:tc>
        <w:tc>
          <w:tcPr>
            <w:tcW w:w="128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57 %</w:t>
            </w:r>
          </w:p>
        </w:tc>
        <w:tc>
          <w:tcPr>
            <w:tcW w:w="360" w:type="dxa"/>
            <w:vAlign w:val="bottom"/>
          </w:tcPr>
          <w:p>
            <w:pPr>
              <w:spacing w:after="0"/>
              <w:rPr>
                <w:sz w:val="21"/>
                <w:szCs w:val="21"/>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59 %</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59 %</w:t>
            </w:r>
          </w:p>
        </w:tc>
        <w:tc>
          <w:tcPr>
            <w:tcW w:w="360" w:type="dxa"/>
            <w:vAlign w:val="bottom"/>
          </w:tcPr>
          <w:p>
            <w:pPr>
              <w:spacing w:after="0"/>
              <w:rPr>
                <w:sz w:val="21"/>
                <w:szCs w:val="21"/>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60 %</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Services and support revenue increased 3% for the third quarter of fiscal 2023 compared to the same quarter a year ago. Reducing services and support revenue for deconversion fee revenue from each quarter, which was $6,143 for the current fiscal quarter and $17,431 for the prior fiscal year quarter and acquisition revenue of $1 for the current fiscal quarter, results in growth of 8% quarter over quarter. This increase was primarily driven by growth in data processing and hosting fee and hardware revenues.</w:t>
      </w:r>
    </w:p>
    <w:p>
      <w:pPr>
        <w:spacing w:after="0" w:line="4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Services and support revenue increased 3% for the nine months ended March 31, 2023 compared to the same period a year ago. Reducing services and support revenue for deconversion fee revenue from each period, which was $17,042 for the current fiscal period and $48,058 for the prior fiscal period, and acquisition revenue of $45 for the current fiscal period, results in growth of 7% period over period. This increase was primarily driven by growth in</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data processing and hosting fees, software usage and subscription fees, and hardware revenues. Growth in software usage fee revenues reflects a continuing shift of customers to our time-based license model.</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40" w:type="dxa"/>
            <w:vAlign w:val="bottom"/>
          </w:tcPr>
          <w:p>
            <w:pPr>
              <w:ind w:left="20"/>
              <w:spacing w:after="0"/>
              <w:rPr>
                <w:sz w:val="20"/>
                <w:szCs w:val="20"/>
                <w:color w:val="auto"/>
              </w:rPr>
            </w:pPr>
            <w:r>
              <w:rPr>
                <w:rFonts w:ascii="Arial" w:cs="Arial" w:eastAsia="Arial" w:hAnsi="Arial"/>
                <w:sz w:val="18"/>
                <w:szCs w:val="18"/>
                <w:b w:val="1"/>
                <w:bCs w:val="1"/>
                <w:color w:val="auto"/>
              </w:rPr>
              <w:t>Processing</w:t>
            </w:r>
          </w:p>
        </w:tc>
        <w:tc>
          <w:tcPr>
            <w:tcW w:w="120" w:type="dxa"/>
            <w:vAlign w:val="bottom"/>
          </w:tcPr>
          <w:p>
            <w:pPr>
              <w:spacing w:after="0"/>
              <w:rPr>
                <w:sz w:val="17"/>
                <w:szCs w:val="17"/>
                <w:color w:val="auto"/>
              </w:rPr>
            </w:pPr>
          </w:p>
        </w:tc>
        <w:tc>
          <w:tcPr>
            <w:tcW w:w="2820" w:type="dxa"/>
            <w:vAlign w:val="bottom"/>
            <w:gridSpan w:val="8"/>
            <w:vMerge w:val="restart"/>
          </w:tcPr>
          <w:p>
            <w:pPr>
              <w:ind w:left="20"/>
              <w:spacing w:after="0"/>
              <w:rPr>
                <w:sz w:val="20"/>
                <w:szCs w:val="20"/>
                <w:color w:val="auto"/>
              </w:rPr>
            </w:pPr>
            <w:r>
              <w:rPr>
                <w:rFonts w:ascii="Arial" w:cs="Arial" w:eastAsia="Arial" w:hAnsi="Arial"/>
                <w:sz w:val="18"/>
                <w:szCs w:val="18"/>
                <w:color w:val="auto"/>
              </w:rPr>
              <w:t>Three Months Ended March 31,</w:t>
            </w:r>
          </w:p>
        </w:tc>
        <w:tc>
          <w:tcPr>
            <w:tcW w:w="108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0" w:type="dxa"/>
            <w:vAlign w:val="bottom"/>
            <w:gridSpan w:val="8"/>
            <w:vMerge w:val="restart"/>
          </w:tcPr>
          <w:p>
            <w:pPr>
              <w:ind w:left="60"/>
              <w:spacing w:after="0"/>
              <w:rPr>
                <w:sz w:val="20"/>
                <w:szCs w:val="20"/>
                <w:color w:val="auto"/>
              </w:rPr>
            </w:pPr>
            <w:r>
              <w:rPr>
                <w:rFonts w:ascii="Arial" w:cs="Arial" w:eastAsia="Arial" w:hAnsi="Arial"/>
                <w:sz w:val="18"/>
                <w:szCs w:val="18"/>
                <w:color w:val="auto"/>
              </w:rPr>
              <w:t>Nine Months Ended March 31,</w:t>
            </w:r>
          </w:p>
        </w:tc>
        <w:tc>
          <w:tcPr>
            <w:tcW w:w="11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3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20" w:type="dxa"/>
            <w:vAlign w:val="bottom"/>
            <w:gridSpan w:val="8"/>
            <w:vMerge w:val="continue"/>
          </w:tcPr>
          <w:p>
            <w:pPr>
              <w:spacing w:after="0"/>
              <w:rPr>
                <w:sz w:val="20"/>
                <w:szCs w:val="20"/>
                <w:color w:val="auto"/>
              </w:rPr>
            </w:pPr>
          </w:p>
        </w:tc>
        <w:tc>
          <w:tcPr>
            <w:tcW w:w="1360" w:type="dxa"/>
            <w:vAlign w:val="bottom"/>
            <w:gridSpan w:val="3"/>
          </w:tcPr>
          <w:p>
            <w:pPr>
              <w:jc w:val="center"/>
              <w:ind w:right="280"/>
              <w:spacing w:after="0"/>
              <w:rPr>
                <w:sz w:val="20"/>
                <w:szCs w:val="20"/>
                <w:color w:val="auto"/>
              </w:rPr>
            </w:pPr>
            <w:r>
              <w:rPr>
                <w:rFonts w:ascii="Arial" w:cs="Arial" w:eastAsia="Arial" w:hAnsi="Arial"/>
                <w:sz w:val="18"/>
                <w:szCs w:val="18"/>
                <w:color w:val="auto"/>
              </w:rPr>
              <w:t>Change</w:t>
            </w:r>
          </w:p>
        </w:tc>
        <w:tc>
          <w:tcPr>
            <w:tcW w:w="2800" w:type="dxa"/>
            <w:vAlign w:val="bottom"/>
            <w:gridSpan w:val="8"/>
            <w:vMerge w:val="continue"/>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8"/>
              </w:rPr>
              <w:t>Change</w:t>
            </w:r>
          </w:p>
        </w:tc>
        <w:tc>
          <w:tcPr>
            <w:tcW w:w="0" w:type="dxa"/>
            <w:vAlign w:val="bottom"/>
          </w:tcPr>
          <w:p>
            <w:pPr>
              <w:spacing w:after="0"/>
              <w:rPr>
                <w:sz w:val="1"/>
                <w:szCs w:val="1"/>
                <w:color w:val="auto"/>
              </w:rPr>
            </w:pPr>
          </w:p>
        </w:tc>
      </w:tr>
      <w:tr>
        <w:trPr>
          <w:trHeight w:val="183"/>
        </w:trPr>
        <w:tc>
          <w:tcPr>
            <w:tcW w:w="30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3"/>
          </w:tcPr>
          <w:p>
            <w:pPr>
              <w:jc w:val="right"/>
              <w:ind w:right="520"/>
              <w:spacing w:after="0" w:line="182" w:lineRule="exact"/>
              <w:rPr>
                <w:sz w:val="20"/>
                <w:szCs w:val="20"/>
                <w:color w:val="auto"/>
              </w:rPr>
            </w:pPr>
            <w:r>
              <w:rPr>
                <w:rFonts w:ascii="Arial" w:cs="Arial" w:eastAsia="Arial" w:hAnsi="Arial"/>
                <w:sz w:val="18"/>
                <w:szCs w:val="18"/>
                <w:b w:val="1"/>
                <w:bCs w:val="1"/>
                <w:color w:val="auto"/>
              </w:rPr>
              <w:t>2023</w:t>
            </w:r>
          </w:p>
        </w:tc>
        <w:tc>
          <w:tcPr>
            <w:tcW w:w="3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3"/>
          </w:tcPr>
          <w:p>
            <w:pPr>
              <w:jc w:val="right"/>
              <w:ind w:right="480"/>
              <w:spacing w:after="0" w:line="182" w:lineRule="exact"/>
              <w:rPr>
                <w:sz w:val="20"/>
                <w:szCs w:val="20"/>
                <w:color w:val="auto"/>
              </w:rPr>
            </w:pPr>
            <w:r>
              <w:rPr>
                <w:rFonts w:ascii="Arial" w:cs="Arial" w:eastAsia="Arial" w:hAnsi="Arial"/>
                <w:sz w:val="18"/>
                <w:szCs w:val="18"/>
                <w:color w:val="auto"/>
              </w:rPr>
              <w:t>2022</w:t>
            </w:r>
          </w:p>
        </w:tc>
        <w:tc>
          <w:tcPr>
            <w:tcW w:w="12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3"/>
          </w:tcPr>
          <w:p>
            <w:pPr>
              <w:jc w:val="right"/>
              <w:ind w:right="540"/>
              <w:spacing w:after="0" w:line="182" w:lineRule="exact"/>
              <w:rPr>
                <w:sz w:val="20"/>
                <w:szCs w:val="20"/>
                <w:color w:val="auto"/>
              </w:rPr>
            </w:pPr>
            <w:r>
              <w:rPr>
                <w:rFonts w:ascii="Arial" w:cs="Arial" w:eastAsia="Arial" w:hAnsi="Arial"/>
                <w:sz w:val="18"/>
                <w:szCs w:val="18"/>
                <w:b w:val="1"/>
                <w:bCs w:val="1"/>
                <w:color w:val="auto"/>
              </w:rPr>
              <w:t>2023</w:t>
            </w:r>
          </w:p>
        </w:tc>
        <w:tc>
          <w:tcPr>
            <w:tcW w:w="3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gridSpan w:val="3"/>
          </w:tcPr>
          <w:p>
            <w:pPr>
              <w:jc w:val="right"/>
              <w:ind w:right="480"/>
              <w:spacing w:after="0" w:line="182" w:lineRule="exact"/>
              <w:rPr>
                <w:sz w:val="20"/>
                <w:szCs w:val="20"/>
                <w:color w:val="auto"/>
              </w:rPr>
            </w:pPr>
            <w:r>
              <w:rPr>
                <w:rFonts w:ascii="Arial" w:cs="Arial" w:eastAsia="Arial" w:hAnsi="Arial"/>
                <w:sz w:val="18"/>
                <w:szCs w:val="18"/>
                <w:color w:val="auto"/>
              </w:rPr>
              <w:t>2022</w:t>
            </w:r>
          </w:p>
        </w:tc>
        <w:tc>
          <w:tcPr>
            <w:tcW w:w="10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Processing</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216,630</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195,339</w:t>
            </w:r>
          </w:p>
        </w:tc>
        <w:tc>
          <w:tcPr>
            <w:tcW w:w="12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11 %  $</w:t>
            </w:r>
          </w:p>
        </w:tc>
        <w:tc>
          <w:tcPr>
            <w:tcW w:w="12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640,298</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583,587</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10 %</w:t>
            </w:r>
          </w:p>
        </w:tc>
        <w:tc>
          <w:tcPr>
            <w:tcW w:w="0" w:type="dxa"/>
            <w:vAlign w:val="bottom"/>
          </w:tcPr>
          <w:p>
            <w:pPr>
              <w:spacing w:after="0"/>
              <w:rPr>
                <w:sz w:val="1"/>
                <w:szCs w:val="1"/>
                <w:color w:val="auto"/>
              </w:rPr>
            </w:pPr>
          </w:p>
        </w:tc>
      </w:tr>
      <w:tr>
        <w:trPr>
          <w:trHeight w:val="247"/>
        </w:trPr>
        <w:tc>
          <w:tcPr>
            <w:tcW w:w="304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120" w:type="dxa"/>
            <w:vAlign w:val="bottom"/>
          </w:tcPr>
          <w:p>
            <w:pPr>
              <w:spacing w:after="0"/>
              <w:rPr>
                <w:sz w:val="21"/>
                <w:szCs w:val="21"/>
                <w:color w:val="auto"/>
              </w:rPr>
            </w:pPr>
          </w:p>
        </w:tc>
        <w:tc>
          <w:tcPr>
            <w:tcW w:w="128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43 %</w:t>
            </w:r>
          </w:p>
        </w:tc>
        <w:tc>
          <w:tcPr>
            <w:tcW w:w="360" w:type="dxa"/>
            <w:vAlign w:val="bottom"/>
          </w:tcPr>
          <w:p>
            <w:pPr>
              <w:spacing w:after="0"/>
              <w:rPr>
                <w:sz w:val="21"/>
                <w:szCs w:val="21"/>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41 %</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41 %</w:t>
            </w:r>
          </w:p>
        </w:tc>
        <w:tc>
          <w:tcPr>
            <w:tcW w:w="360" w:type="dxa"/>
            <w:vAlign w:val="bottom"/>
          </w:tcPr>
          <w:p>
            <w:pPr>
              <w:spacing w:after="0"/>
              <w:rPr>
                <w:sz w:val="21"/>
                <w:szCs w:val="21"/>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40 %</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Processing revenue increased 11% for the third quarter of fiscal 2023 compared to the same quarter last fiscal year. Reducing processing revenue for acquisition revenue of $2,657 for the current fiscal quarter, results in growth of 10% quarter over quarter. This increase was primarily driven by higher card processing, payment processing, including iPay, and Jack Henry digital revenue, including Banno, as well as other processing fee revenues, as new customers are added and the active user base expands.</w:t>
      </w:r>
    </w:p>
    <w:p>
      <w:pPr>
        <w:spacing w:after="0" w:line="4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Processing revenue increased 10% for the nine months ended March 31, 2023, compared to the same period last fiscal year. Reducing processing revenue for acquisition revenue of $5,930 for the current fiscal period, results in growth of 9% period over period. This increase was primarily driven by higher card processing, payment processing, including iPay, and Jack Henry digital revenue, including Banno, as well as other processing fee revenues, as new customers are added and the active user base expands.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0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3040" w:type="dxa"/>
            <w:vAlign w:val="bottom"/>
          </w:tcPr>
          <w:p>
            <w:pPr>
              <w:ind w:left="20"/>
              <w:spacing w:after="0"/>
              <w:rPr>
                <w:sz w:val="20"/>
                <w:szCs w:val="20"/>
                <w:color w:val="auto"/>
              </w:rPr>
            </w:pPr>
            <w:r>
              <w:rPr>
                <w:rFonts w:ascii="Arial" w:cs="Arial" w:eastAsia="Arial" w:hAnsi="Arial"/>
                <w:sz w:val="18"/>
                <w:szCs w:val="18"/>
                <w:b w:val="1"/>
                <w:bCs w:val="1"/>
                <w:color w:val="auto"/>
              </w:rPr>
              <w:t>Cost of Revenue</w:t>
            </w:r>
          </w:p>
        </w:tc>
        <w:tc>
          <w:tcPr>
            <w:tcW w:w="120" w:type="dxa"/>
            <w:vAlign w:val="bottom"/>
          </w:tcPr>
          <w:p>
            <w:pPr>
              <w:spacing w:after="0"/>
              <w:rPr>
                <w:sz w:val="24"/>
                <w:szCs w:val="24"/>
                <w:color w:val="auto"/>
              </w:rPr>
            </w:pPr>
          </w:p>
        </w:tc>
        <w:tc>
          <w:tcPr>
            <w:tcW w:w="2820" w:type="dxa"/>
            <w:vAlign w:val="bottom"/>
            <w:gridSpan w:val="8"/>
            <w:vMerge w:val="restart"/>
          </w:tcPr>
          <w:p>
            <w:pPr>
              <w:ind w:left="20"/>
              <w:spacing w:after="0"/>
              <w:rPr>
                <w:sz w:val="20"/>
                <w:szCs w:val="20"/>
                <w:color w:val="auto"/>
              </w:rPr>
            </w:pPr>
            <w:r>
              <w:rPr>
                <w:rFonts w:ascii="Arial" w:cs="Arial" w:eastAsia="Arial" w:hAnsi="Arial"/>
                <w:sz w:val="18"/>
                <w:szCs w:val="18"/>
                <w:color w:val="auto"/>
              </w:rPr>
              <w:t>Three Months Ended March 31,</w:t>
            </w:r>
          </w:p>
        </w:tc>
        <w:tc>
          <w:tcPr>
            <w:tcW w:w="108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0" w:type="dxa"/>
            <w:vAlign w:val="bottom"/>
            <w:gridSpan w:val="8"/>
            <w:vMerge w:val="restart"/>
          </w:tcPr>
          <w:p>
            <w:pPr>
              <w:ind w:left="60"/>
              <w:spacing w:after="0"/>
              <w:rPr>
                <w:sz w:val="20"/>
                <w:szCs w:val="20"/>
                <w:color w:val="auto"/>
              </w:rPr>
            </w:pPr>
            <w:r>
              <w:rPr>
                <w:rFonts w:ascii="Arial" w:cs="Arial" w:eastAsia="Arial" w:hAnsi="Arial"/>
                <w:sz w:val="18"/>
                <w:szCs w:val="18"/>
                <w:color w:val="auto"/>
              </w:rPr>
              <w:t>Nine Months Ended March 31,</w:t>
            </w:r>
          </w:p>
        </w:tc>
        <w:tc>
          <w:tcPr>
            <w:tcW w:w="11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20" w:type="dxa"/>
            <w:vAlign w:val="bottom"/>
            <w:gridSpan w:val="8"/>
            <w:vMerge w:val="continue"/>
          </w:tcPr>
          <w:p>
            <w:pPr>
              <w:spacing w:after="0"/>
              <w:rPr>
                <w:sz w:val="21"/>
                <w:szCs w:val="21"/>
                <w:color w:val="auto"/>
              </w:rPr>
            </w:pPr>
          </w:p>
        </w:tc>
        <w:tc>
          <w:tcPr>
            <w:tcW w:w="1360" w:type="dxa"/>
            <w:vAlign w:val="bottom"/>
            <w:gridSpan w:val="3"/>
          </w:tcPr>
          <w:p>
            <w:pPr>
              <w:jc w:val="center"/>
              <w:ind w:right="280"/>
              <w:spacing w:after="0"/>
              <w:rPr>
                <w:sz w:val="20"/>
                <w:szCs w:val="20"/>
                <w:color w:val="auto"/>
              </w:rPr>
            </w:pPr>
            <w:r>
              <w:rPr>
                <w:rFonts w:ascii="Arial" w:cs="Arial" w:eastAsia="Arial" w:hAnsi="Arial"/>
                <w:sz w:val="18"/>
                <w:szCs w:val="18"/>
                <w:color w:val="auto"/>
              </w:rPr>
              <w:t>Change</w:t>
            </w:r>
          </w:p>
        </w:tc>
        <w:tc>
          <w:tcPr>
            <w:tcW w:w="2800" w:type="dxa"/>
            <w:vAlign w:val="bottom"/>
            <w:gridSpan w:val="8"/>
            <w:vMerge w:val="continue"/>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8"/>
              </w:rPr>
              <w:t>Change</w:t>
            </w:r>
          </w:p>
        </w:tc>
        <w:tc>
          <w:tcPr>
            <w:tcW w:w="0" w:type="dxa"/>
            <w:vAlign w:val="bottom"/>
          </w:tcPr>
          <w:p>
            <w:pPr>
              <w:spacing w:after="0"/>
              <w:rPr>
                <w:sz w:val="1"/>
                <w:szCs w:val="1"/>
                <w:color w:val="auto"/>
              </w:rPr>
            </w:pPr>
          </w:p>
        </w:tc>
      </w:tr>
      <w:tr>
        <w:trPr>
          <w:trHeight w:val="183"/>
        </w:trPr>
        <w:tc>
          <w:tcPr>
            <w:tcW w:w="30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3"/>
          </w:tcPr>
          <w:p>
            <w:pPr>
              <w:jc w:val="right"/>
              <w:ind w:right="520"/>
              <w:spacing w:after="0" w:line="182" w:lineRule="exact"/>
              <w:rPr>
                <w:sz w:val="20"/>
                <w:szCs w:val="20"/>
                <w:color w:val="auto"/>
              </w:rPr>
            </w:pPr>
            <w:r>
              <w:rPr>
                <w:rFonts w:ascii="Arial" w:cs="Arial" w:eastAsia="Arial" w:hAnsi="Arial"/>
                <w:sz w:val="18"/>
                <w:szCs w:val="18"/>
                <w:b w:val="1"/>
                <w:bCs w:val="1"/>
                <w:color w:val="auto"/>
              </w:rPr>
              <w:t>2023</w:t>
            </w:r>
          </w:p>
        </w:tc>
        <w:tc>
          <w:tcPr>
            <w:tcW w:w="3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3"/>
          </w:tcPr>
          <w:p>
            <w:pPr>
              <w:jc w:val="right"/>
              <w:ind w:right="480"/>
              <w:spacing w:after="0" w:line="182" w:lineRule="exact"/>
              <w:rPr>
                <w:sz w:val="20"/>
                <w:szCs w:val="20"/>
                <w:color w:val="auto"/>
              </w:rPr>
            </w:pPr>
            <w:r>
              <w:rPr>
                <w:rFonts w:ascii="Arial" w:cs="Arial" w:eastAsia="Arial" w:hAnsi="Arial"/>
                <w:sz w:val="18"/>
                <w:szCs w:val="18"/>
                <w:color w:val="auto"/>
              </w:rPr>
              <w:t>2022</w:t>
            </w:r>
          </w:p>
        </w:tc>
        <w:tc>
          <w:tcPr>
            <w:tcW w:w="12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3"/>
          </w:tcPr>
          <w:p>
            <w:pPr>
              <w:jc w:val="right"/>
              <w:ind w:right="540"/>
              <w:spacing w:after="0" w:line="182" w:lineRule="exact"/>
              <w:rPr>
                <w:sz w:val="20"/>
                <w:szCs w:val="20"/>
                <w:color w:val="auto"/>
              </w:rPr>
            </w:pPr>
            <w:r>
              <w:rPr>
                <w:rFonts w:ascii="Arial" w:cs="Arial" w:eastAsia="Arial" w:hAnsi="Arial"/>
                <w:sz w:val="18"/>
                <w:szCs w:val="18"/>
                <w:b w:val="1"/>
                <w:bCs w:val="1"/>
                <w:color w:val="auto"/>
              </w:rPr>
              <w:t>2023</w:t>
            </w:r>
          </w:p>
        </w:tc>
        <w:tc>
          <w:tcPr>
            <w:tcW w:w="3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gridSpan w:val="3"/>
          </w:tcPr>
          <w:p>
            <w:pPr>
              <w:jc w:val="right"/>
              <w:ind w:right="480"/>
              <w:spacing w:after="0" w:line="182" w:lineRule="exact"/>
              <w:rPr>
                <w:sz w:val="20"/>
                <w:szCs w:val="20"/>
                <w:color w:val="auto"/>
              </w:rPr>
            </w:pPr>
            <w:r>
              <w:rPr>
                <w:rFonts w:ascii="Arial" w:cs="Arial" w:eastAsia="Arial" w:hAnsi="Arial"/>
                <w:sz w:val="18"/>
                <w:szCs w:val="18"/>
                <w:color w:val="auto"/>
              </w:rPr>
              <w:t>2022</w:t>
            </w:r>
          </w:p>
        </w:tc>
        <w:tc>
          <w:tcPr>
            <w:tcW w:w="10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307,345</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282,339</w:t>
            </w:r>
          </w:p>
        </w:tc>
        <w:tc>
          <w:tcPr>
            <w:tcW w:w="12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9 %  $</w:t>
            </w:r>
          </w:p>
        </w:tc>
        <w:tc>
          <w:tcPr>
            <w:tcW w:w="12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910,195</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841,799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8 %</w:t>
            </w:r>
          </w:p>
        </w:tc>
        <w:tc>
          <w:tcPr>
            <w:tcW w:w="0" w:type="dxa"/>
            <w:vAlign w:val="bottom"/>
          </w:tcPr>
          <w:p>
            <w:pPr>
              <w:spacing w:after="0"/>
              <w:rPr>
                <w:sz w:val="1"/>
                <w:szCs w:val="1"/>
                <w:color w:val="auto"/>
              </w:rPr>
            </w:pPr>
          </w:p>
        </w:tc>
      </w:tr>
      <w:tr>
        <w:trPr>
          <w:trHeight w:val="247"/>
        </w:trPr>
        <w:tc>
          <w:tcPr>
            <w:tcW w:w="304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120" w:type="dxa"/>
            <w:vAlign w:val="bottom"/>
          </w:tcPr>
          <w:p>
            <w:pPr>
              <w:spacing w:after="0"/>
              <w:rPr>
                <w:sz w:val="21"/>
                <w:szCs w:val="21"/>
                <w:color w:val="auto"/>
              </w:rPr>
            </w:pPr>
          </w:p>
        </w:tc>
        <w:tc>
          <w:tcPr>
            <w:tcW w:w="128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60 %</w:t>
            </w:r>
          </w:p>
        </w:tc>
        <w:tc>
          <w:tcPr>
            <w:tcW w:w="360" w:type="dxa"/>
            <w:vAlign w:val="bottom"/>
          </w:tcPr>
          <w:p>
            <w:pPr>
              <w:spacing w:after="0"/>
              <w:rPr>
                <w:sz w:val="21"/>
                <w:szCs w:val="21"/>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59 %</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59 %</w:t>
            </w:r>
          </w:p>
        </w:tc>
        <w:tc>
          <w:tcPr>
            <w:tcW w:w="360" w:type="dxa"/>
            <w:vAlign w:val="bottom"/>
          </w:tcPr>
          <w:p>
            <w:pPr>
              <w:spacing w:after="0"/>
              <w:rPr>
                <w:sz w:val="21"/>
                <w:szCs w:val="21"/>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58 %</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Cost of revenue for the third quarter of fiscal 2023 increased 9% over the prior fiscal year third quarter. Reducing cost of revenue for deconversion costs from each quarter, which were $470 for the current fiscal year quarter and $1,129 for the prior fiscal year quarter, and for acquisition costs of $ 5,133 from the current fiscal year quarter, results in a 7% increase quarter over quarter. This increase was primarily due to higher direct costs in line with related increases in revenue, higher personnel costs, including benefits expenses, increased amortization of intangible assets, and increased cost of hardware. Cost of revenue increased 1% compared to the prior fiscal year quarter as a percentage of total revenue.</w:t>
      </w:r>
    </w:p>
    <w:p>
      <w:pPr>
        <w:spacing w:after="0" w:line="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Cost of revenue increased 8% for the nine months ended March 31, 2023, compared to the same period last fiscal year. Reducing cost of revenue for deconversion costs from each period, which were $1,435 for the current fiscal period and $3,067 for the prior fiscal period, and for acquisition costs of $12,533 from the current fiscal period, results in a 7% increase period over period. This increase was primarily due to higher direct costs in line with related increases in revenue, higher personnel costs, including benefits expenses, increased amortization of intangible assets, and increased internal licenses and fees. Cost of revenue increased 1% compared to the prior fiscal period as a percentage of total revenue.</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80" w:type="dxa"/>
            <w:vAlign w:val="bottom"/>
          </w:tcPr>
          <w:p>
            <w:pPr>
              <w:ind w:left="20"/>
              <w:spacing w:after="0"/>
              <w:rPr>
                <w:sz w:val="20"/>
                <w:szCs w:val="20"/>
                <w:color w:val="auto"/>
              </w:rPr>
            </w:pPr>
            <w:r>
              <w:rPr>
                <w:rFonts w:ascii="Arial" w:cs="Arial" w:eastAsia="Arial" w:hAnsi="Arial"/>
                <w:sz w:val="18"/>
                <w:szCs w:val="18"/>
                <w:b w:val="1"/>
                <w:bCs w:val="1"/>
                <w:color w:val="auto"/>
              </w:rPr>
              <w:t>Research and Development</w:t>
            </w:r>
          </w:p>
        </w:tc>
        <w:tc>
          <w:tcPr>
            <w:tcW w:w="140" w:type="dxa"/>
            <w:vAlign w:val="bottom"/>
          </w:tcPr>
          <w:p>
            <w:pPr>
              <w:spacing w:after="0"/>
              <w:rPr>
                <w:sz w:val="18"/>
                <w:szCs w:val="18"/>
                <w:color w:val="auto"/>
              </w:rPr>
            </w:pPr>
          </w:p>
        </w:tc>
        <w:tc>
          <w:tcPr>
            <w:tcW w:w="2780" w:type="dxa"/>
            <w:vAlign w:val="bottom"/>
            <w:gridSpan w:val="8"/>
            <w:vMerge w:val="restart"/>
          </w:tcPr>
          <w:p>
            <w:pPr>
              <w:spacing w:after="0"/>
              <w:rPr>
                <w:sz w:val="20"/>
                <w:szCs w:val="20"/>
                <w:color w:val="auto"/>
              </w:rPr>
            </w:pPr>
            <w:r>
              <w:rPr>
                <w:rFonts w:ascii="Arial" w:cs="Arial" w:eastAsia="Arial" w:hAnsi="Arial"/>
                <w:sz w:val="18"/>
                <w:szCs w:val="18"/>
                <w:color w:val="auto"/>
              </w:rPr>
              <w:t>Three Months Ended March 31,</w:t>
            </w:r>
          </w:p>
        </w:tc>
        <w:tc>
          <w:tcPr>
            <w:tcW w:w="110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80" w:type="dxa"/>
            <w:vAlign w:val="bottom"/>
            <w:gridSpan w:val="7"/>
            <w:vMerge w:val="restart"/>
          </w:tcPr>
          <w:p>
            <w:pPr>
              <w:ind w:left="40"/>
              <w:spacing w:after="0"/>
              <w:rPr>
                <w:sz w:val="20"/>
                <w:szCs w:val="20"/>
                <w:color w:val="auto"/>
              </w:rPr>
            </w:pPr>
            <w:r>
              <w:rPr>
                <w:rFonts w:ascii="Arial" w:cs="Arial" w:eastAsia="Arial" w:hAnsi="Arial"/>
                <w:sz w:val="18"/>
                <w:szCs w:val="18"/>
                <w:color w:val="auto"/>
              </w:rPr>
              <w:t>Nine Months Ended March 31,</w:t>
            </w:r>
          </w:p>
        </w:tc>
        <w:tc>
          <w:tcPr>
            <w:tcW w:w="11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3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80" w:type="dxa"/>
            <w:vAlign w:val="bottom"/>
            <w:gridSpan w:val="8"/>
            <w:vMerge w:val="continue"/>
          </w:tcPr>
          <w:p>
            <w:pPr>
              <w:spacing w:after="0"/>
              <w:rPr>
                <w:sz w:val="20"/>
                <w:szCs w:val="20"/>
                <w:color w:val="auto"/>
              </w:rPr>
            </w:pPr>
          </w:p>
        </w:tc>
        <w:tc>
          <w:tcPr>
            <w:tcW w:w="1360" w:type="dxa"/>
            <w:vAlign w:val="bottom"/>
            <w:gridSpan w:val="3"/>
          </w:tcPr>
          <w:p>
            <w:pPr>
              <w:jc w:val="center"/>
              <w:ind w:right="260"/>
              <w:spacing w:after="0"/>
              <w:rPr>
                <w:sz w:val="20"/>
                <w:szCs w:val="20"/>
                <w:color w:val="auto"/>
              </w:rPr>
            </w:pPr>
            <w:r>
              <w:rPr>
                <w:rFonts w:ascii="Arial" w:cs="Arial" w:eastAsia="Arial" w:hAnsi="Arial"/>
                <w:sz w:val="18"/>
                <w:szCs w:val="18"/>
                <w:color w:val="auto"/>
                <w:w w:val="98"/>
              </w:rPr>
              <w:t>Change</w:t>
            </w:r>
          </w:p>
        </w:tc>
        <w:tc>
          <w:tcPr>
            <w:tcW w:w="2780" w:type="dxa"/>
            <w:vAlign w:val="bottom"/>
            <w:gridSpan w:val="7"/>
            <w:vMerge w:val="continue"/>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8"/>
              </w:rPr>
              <w:t>Change</w:t>
            </w:r>
          </w:p>
        </w:tc>
        <w:tc>
          <w:tcPr>
            <w:tcW w:w="0" w:type="dxa"/>
            <w:vAlign w:val="bottom"/>
          </w:tcPr>
          <w:p>
            <w:pPr>
              <w:spacing w:after="0"/>
              <w:rPr>
                <w:sz w:val="1"/>
                <w:szCs w:val="1"/>
                <w:color w:val="auto"/>
              </w:rPr>
            </w:pPr>
          </w:p>
        </w:tc>
      </w:tr>
      <w:tr>
        <w:trPr>
          <w:trHeight w:val="183"/>
        </w:trPr>
        <w:tc>
          <w:tcPr>
            <w:tcW w:w="30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3"/>
          </w:tcPr>
          <w:p>
            <w:pPr>
              <w:jc w:val="right"/>
              <w:ind w:right="540"/>
              <w:spacing w:after="0" w:line="182" w:lineRule="exact"/>
              <w:rPr>
                <w:sz w:val="20"/>
                <w:szCs w:val="20"/>
                <w:color w:val="auto"/>
              </w:rPr>
            </w:pPr>
            <w:r>
              <w:rPr>
                <w:rFonts w:ascii="Arial" w:cs="Arial" w:eastAsia="Arial" w:hAnsi="Arial"/>
                <w:sz w:val="18"/>
                <w:szCs w:val="18"/>
                <w:b w:val="1"/>
                <w:bCs w:val="1"/>
                <w:color w:val="auto"/>
              </w:rPr>
              <w:t>2023</w:t>
            </w:r>
          </w:p>
        </w:tc>
        <w:tc>
          <w:tcPr>
            <w:tcW w:w="3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3"/>
          </w:tcPr>
          <w:p>
            <w:pPr>
              <w:jc w:val="right"/>
              <w:ind w:right="480"/>
              <w:spacing w:after="0" w:line="182" w:lineRule="exact"/>
              <w:rPr>
                <w:sz w:val="20"/>
                <w:szCs w:val="20"/>
                <w:color w:val="auto"/>
              </w:rPr>
            </w:pPr>
            <w:r>
              <w:rPr>
                <w:rFonts w:ascii="Arial" w:cs="Arial" w:eastAsia="Arial" w:hAnsi="Arial"/>
                <w:sz w:val="18"/>
                <w:szCs w:val="18"/>
                <w:color w:val="auto"/>
              </w:rPr>
              <w:t>2022</w:t>
            </w:r>
          </w:p>
        </w:tc>
        <w:tc>
          <w:tcPr>
            <w:tcW w:w="10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3"/>
          </w:tcPr>
          <w:p>
            <w:pPr>
              <w:jc w:val="right"/>
              <w:ind w:right="540"/>
              <w:spacing w:after="0" w:line="182" w:lineRule="exact"/>
              <w:rPr>
                <w:sz w:val="20"/>
                <w:szCs w:val="20"/>
                <w:color w:val="auto"/>
              </w:rPr>
            </w:pPr>
            <w:r>
              <w:rPr>
                <w:rFonts w:ascii="Arial" w:cs="Arial" w:eastAsia="Arial" w:hAnsi="Arial"/>
                <w:sz w:val="18"/>
                <w:szCs w:val="18"/>
                <w:b w:val="1"/>
                <w:bCs w:val="1"/>
                <w:color w:val="auto"/>
              </w:rPr>
              <w:t>2023</w:t>
            </w:r>
          </w:p>
        </w:tc>
        <w:tc>
          <w:tcPr>
            <w:tcW w:w="5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gridSpan w:val="2"/>
          </w:tcPr>
          <w:p>
            <w:pPr>
              <w:jc w:val="right"/>
              <w:ind w:right="480"/>
              <w:spacing w:after="0" w:line="182" w:lineRule="exact"/>
              <w:rPr>
                <w:sz w:val="20"/>
                <w:szCs w:val="20"/>
                <w:color w:val="auto"/>
              </w:rPr>
            </w:pPr>
            <w:r>
              <w:rPr>
                <w:rFonts w:ascii="Arial" w:cs="Arial" w:eastAsia="Arial" w:hAnsi="Arial"/>
                <w:sz w:val="18"/>
                <w:szCs w:val="18"/>
                <w:color w:val="auto"/>
                <w:w w:val="94"/>
              </w:rPr>
              <w:t>2022</w:t>
            </w:r>
          </w:p>
        </w:tc>
        <w:tc>
          <w:tcPr>
            <w:tcW w:w="10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34,625</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30,725</w:t>
            </w:r>
          </w:p>
        </w:tc>
        <w:tc>
          <w:tcPr>
            <w:tcW w:w="10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13 %  $</w:t>
            </w:r>
          </w:p>
        </w:tc>
        <w:tc>
          <w:tcPr>
            <w:tcW w:w="12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104,179</w:t>
            </w:r>
          </w:p>
        </w:tc>
        <w:tc>
          <w:tcPr>
            <w:tcW w:w="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87,394</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19 %</w:t>
            </w:r>
          </w:p>
        </w:tc>
        <w:tc>
          <w:tcPr>
            <w:tcW w:w="0" w:type="dxa"/>
            <w:vAlign w:val="bottom"/>
          </w:tcPr>
          <w:p>
            <w:pPr>
              <w:spacing w:after="0"/>
              <w:rPr>
                <w:sz w:val="1"/>
                <w:szCs w:val="1"/>
                <w:color w:val="auto"/>
              </w:rPr>
            </w:pPr>
          </w:p>
        </w:tc>
      </w:tr>
      <w:tr>
        <w:trPr>
          <w:trHeight w:val="247"/>
        </w:trPr>
        <w:tc>
          <w:tcPr>
            <w:tcW w:w="308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140" w:type="dxa"/>
            <w:vAlign w:val="bottom"/>
          </w:tcPr>
          <w:p>
            <w:pPr>
              <w:spacing w:after="0"/>
              <w:rPr>
                <w:sz w:val="21"/>
                <w:szCs w:val="21"/>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7 %</w:t>
            </w:r>
          </w:p>
        </w:tc>
        <w:tc>
          <w:tcPr>
            <w:tcW w:w="340" w:type="dxa"/>
            <w:vAlign w:val="bottom"/>
          </w:tcPr>
          <w:p>
            <w:pPr>
              <w:spacing w:after="0"/>
              <w:rPr>
                <w:sz w:val="21"/>
                <w:szCs w:val="21"/>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6 %</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7 %</w:t>
            </w:r>
          </w:p>
        </w:tc>
        <w:tc>
          <w:tcPr>
            <w:tcW w:w="520" w:type="dxa"/>
            <w:vAlign w:val="bottom"/>
          </w:tcPr>
          <w:p>
            <w:pPr>
              <w:spacing w:after="0"/>
              <w:rPr>
                <w:sz w:val="21"/>
                <w:szCs w:val="21"/>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6 %</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Research and development expense increased 13% for the third quarter of fiscal 2023 over the prior fiscal year third quarter. Reducing research and development expense for the effects of acquisitions of $606 for the current fiscal quarter, results in an 11% increase quarter over quarter. This increase was primarily due to an increase in personnel costs, net of capitalization, including benefits expenses, partially resulting from a 10% headcount increase in the trailing twelve months. Research and development expense for the quarter increased 1% compared to the prior fiscal year quarter as a percentage of total revenue.</w:t>
      </w:r>
    </w:p>
    <w:p>
      <w:pPr>
        <w:spacing w:after="0" w:line="4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Research and development expense increased 19% for the nine months ended March 31, 2023, compared to the same period last fiscal year. Reducing research and development expense for the effects of acquisitions of $1,213 for the current fiscal period, results in an 18% increase period over period. This increase was primarily due to an</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increase in personnel costs, net of capitalization, including benefits expenses, partially resulting from a 10% headcount increase in the trailing twelve months. Research and development expense for the current fiscal period increased 1% compared to the prior fiscal year period as a percentage of total revenue.</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00" w:type="dxa"/>
            <w:vAlign w:val="bottom"/>
          </w:tcPr>
          <w:p>
            <w:pPr>
              <w:ind w:left="20"/>
              <w:spacing w:after="0"/>
              <w:rPr>
                <w:sz w:val="20"/>
                <w:szCs w:val="20"/>
                <w:color w:val="auto"/>
              </w:rPr>
            </w:pPr>
            <w:r>
              <w:rPr>
                <w:rFonts w:ascii="Arial" w:cs="Arial" w:eastAsia="Arial" w:hAnsi="Arial"/>
                <w:sz w:val="18"/>
                <w:szCs w:val="18"/>
                <w:b w:val="1"/>
                <w:bCs w:val="1"/>
                <w:color w:val="auto"/>
              </w:rPr>
              <w:t>Selling, General, and</w:t>
            </w:r>
          </w:p>
        </w:tc>
        <w:tc>
          <w:tcPr>
            <w:tcW w:w="120" w:type="dxa"/>
            <w:vAlign w:val="bottom"/>
          </w:tcPr>
          <w:p>
            <w:pPr>
              <w:spacing w:after="0"/>
              <w:rPr>
                <w:sz w:val="17"/>
                <w:szCs w:val="17"/>
                <w:color w:val="auto"/>
              </w:rPr>
            </w:pPr>
          </w:p>
        </w:tc>
        <w:tc>
          <w:tcPr>
            <w:tcW w:w="2760" w:type="dxa"/>
            <w:vAlign w:val="bottom"/>
            <w:gridSpan w:val="8"/>
            <w:vMerge w:val="restart"/>
          </w:tcPr>
          <w:p>
            <w:pPr>
              <w:spacing w:after="0"/>
              <w:rPr>
                <w:sz w:val="20"/>
                <w:szCs w:val="20"/>
                <w:color w:val="auto"/>
              </w:rPr>
            </w:pPr>
            <w:r>
              <w:rPr>
                <w:rFonts w:ascii="Arial" w:cs="Arial" w:eastAsia="Arial" w:hAnsi="Arial"/>
                <w:sz w:val="18"/>
                <w:szCs w:val="18"/>
                <w:color w:val="auto"/>
              </w:rPr>
              <w:t>Three Months Ended March 31,</w:t>
            </w:r>
          </w:p>
        </w:tc>
        <w:tc>
          <w:tcPr>
            <w:tcW w:w="11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0" w:type="dxa"/>
            <w:vAlign w:val="bottom"/>
            <w:gridSpan w:val="8"/>
            <w:vMerge w:val="restart"/>
          </w:tcPr>
          <w:p>
            <w:pPr>
              <w:ind w:left="40"/>
              <w:spacing w:after="0"/>
              <w:rPr>
                <w:sz w:val="20"/>
                <w:szCs w:val="20"/>
                <w:color w:val="auto"/>
              </w:rPr>
            </w:pPr>
            <w:r>
              <w:rPr>
                <w:rFonts w:ascii="Arial" w:cs="Arial" w:eastAsia="Arial" w:hAnsi="Arial"/>
                <w:sz w:val="18"/>
                <w:szCs w:val="18"/>
                <w:color w:val="auto"/>
              </w:rPr>
              <w:t>Nine Months Ended March 31,</w:t>
            </w:r>
          </w:p>
        </w:tc>
        <w:tc>
          <w:tcPr>
            <w:tcW w:w="108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3100" w:type="dxa"/>
            <w:vAlign w:val="bottom"/>
          </w:tcPr>
          <w:p>
            <w:pPr>
              <w:ind w:left="20"/>
              <w:spacing w:after="0"/>
              <w:rPr>
                <w:sz w:val="20"/>
                <w:szCs w:val="20"/>
                <w:color w:val="auto"/>
              </w:rPr>
            </w:pPr>
            <w:r>
              <w:rPr>
                <w:rFonts w:ascii="Arial" w:cs="Arial" w:eastAsia="Arial" w:hAnsi="Arial"/>
                <w:sz w:val="18"/>
                <w:szCs w:val="18"/>
                <w:b w:val="1"/>
                <w:bCs w:val="1"/>
                <w:color w:val="auto"/>
              </w:rPr>
              <w:t>Administrative</w:t>
            </w:r>
          </w:p>
        </w:tc>
        <w:tc>
          <w:tcPr>
            <w:tcW w:w="120" w:type="dxa"/>
            <w:vAlign w:val="bottom"/>
          </w:tcPr>
          <w:p>
            <w:pPr>
              <w:spacing w:after="0"/>
              <w:rPr>
                <w:sz w:val="20"/>
                <w:szCs w:val="20"/>
                <w:color w:val="auto"/>
              </w:rPr>
            </w:pPr>
          </w:p>
        </w:tc>
        <w:tc>
          <w:tcPr>
            <w:tcW w:w="2760" w:type="dxa"/>
            <w:vAlign w:val="bottom"/>
            <w:gridSpan w:val="8"/>
            <w:vMerge w:val="continue"/>
          </w:tcPr>
          <w:p>
            <w:pPr>
              <w:spacing w:after="0"/>
              <w:rPr>
                <w:sz w:val="20"/>
                <w:szCs w:val="20"/>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8"/>
                <w:szCs w:val="18"/>
                <w:color w:val="auto"/>
              </w:rPr>
              <w:t>Change</w:t>
            </w:r>
          </w:p>
        </w:tc>
        <w:tc>
          <w:tcPr>
            <w:tcW w:w="2800" w:type="dxa"/>
            <w:vAlign w:val="bottom"/>
            <w:gridSpan w:val="8"/>
            <w:vMerge w:val="continue"/>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183"/>
        </w:trPr>
        <w:tc>
          <w:tcPr>
            <w:tcW w:w="3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3"/>
          </w:tcPr>
          <w:p>
            <w:pPr>
              <w:jc w:val="right"/>
              <w:ind w:right="540"/>
              <w:spacing w:after="0" w:line="182" w:lineRule="exact"/>
              <w:rPr>
                <w:sz w:val="20"/>
                <w:szCs w:val="20"/>
                <w:color w:val="auto"/>
              </w:rPr>
            </w:pPr>
            <w:r>
              <w:rPr>
                <w:rFonts w:ascii="Arial" w:cs="Arial" w:eastAsia="Arial" w:hAnsi="Arial"/>
                <w:sz w:val="18"/>
                <w:szCs w:val="18"/>
                <w:b w:val="1"/>
                <w:bCs w:val="1"/>
                <w:color w:val="auto"/>
              </w:rPr>
              <w:t>2023</w:t>
            </w:r>
          </w:p>
        </w:tc>
        <w:tc>
          <w:tcPr>
            <w:tcW w:w="3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gridSpan w:val="3"/>
          </w:tcPr>
          <w:p>
            <w:pPr>
              <w:jc w:val="right"/>
              <w:ind w:right="460"/>
              <w:spacing w:after="0" w:line="182" w:lineRule="exact"/>
              <w:rPr>
                <w:sz w:val="20"/>
                <w:szCs w:val="20"/>
                <w:color w:val="auto"/>
              </w:rPr>
            </w:pPr>
            <w:r>
              <w:rPr>
                <w:rFonts w:ascii="Arial" w:cs="Arial" w:eastAsia="Arial" w:hAnsi="Arial"/>
                <w:sz w:val="18"/>
                <w:szCs w:val="18"/>
                <w:color w:val="auto"/>
              </w:rPr>
              <w:t>2022</w:t>
            </w:r>
          </w:p>
        </w:tc>
        <w:tc>
          <w:tcPr>
            <w:tcW w:w="10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3"/>
          </w:tcPr>
          <w:p>
            <w:pPr>
              <w:jc w:val="right"/>
              <w:ind w:right="540"/>
              <w:spacing w:after="0" w:line="182" w:lineRule="exact"/>
              <w:rPr>
                <w:sz w:val="20"/>
                <w:szCs w:val="20"/>
                <w:color w:val="auto"/>
              </w:rPr>
            </w:pPr>
            <w:r>
              <w:rPr>
                <w:rFonts w:ascii="Arial" w:cs="Arial" w:eastAsia="Arial" w:hAnsi="Arial"/>
                <w:sz w:val="18"/>
                <w:szCs w:val="18"/>
                <w:b w:val="1"/>
                <w:bCs w:val="1"/>
                <w:color w:val="auto"/>
              </w:rPr>
              <w:t>2023</w:t>
            </w:r>
          </w:p>
        </w:tc>
        <w:tc>
          <w:tcPr>
            <w:tcW w:w="3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gridSpan w:val="3"/>
          </w:tcPr>
          <w:p>
            <w:pPr>
              <w:jc w:val="right"/>
              <w:ind w:right="500"/>
              <w:spacing w:after="0" w:line="182" w:lineRule="exact"/>
              <w:rPr>
                <w:sz w:val="20"/>
                <w:szCs w:val="20"/>
                <w:color w:val="auto"/>
              </w:rPr>
            </w:pPr>
            <w:r>
              <w:rPr>
                <w:rFonts w:ascii="Arial" w:cs="Arial" w:eastAsia="Arial" w:hAnsi="Arial"/>
                <w:sz w:val="18"/>
                <w:szCs w:val="18"/>
                <w:color w:val="auto"/>
              </w:rPr>
              <w:t>2022</w:t>
            </w:r>
          </w:p>
        </w:tc>
        <w:tc>
          <w:tcPr>
            <w:tcW w:w="10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58,192</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53,607</w:t>
            </w:r>
          </w:p>
        </w:tc>
        <w:tc>
          <w:tcPr>
            <w:tcW w:w="10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9 %  $</w:t>
            </w:r>
          </w:p>
        </w:tc>
        <w:tc>
          <w:tcPr>
            <w:tcW w:w="12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172,205</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160,172</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8 %</w:t>
            </w:r>
          </w:p>
        </w:tc>
        <w:tc>
          <w:tcPr>
            <w:tcW w:w="0" w:type="dxa"/>
            <w:vAlign w:val="bottom"/>
          </w:tcPr>
          <w:p>
            <w:pPr>
              <w:spacing w:after="0"/>
              <w:rPr>
                <w:sz w:val="1"/>
                <w:szCs w:val="1"/>
                <w:color w:val="auto"/>
              </w:rPr>
            </w:pPr>
          </w:p>
        </w:tc>
      </w:tr>
      <w:tr>
        <w:trPr>
          <w:trHeight w:val="247"/>
        </w:trPr>
        <w:tc>
          <w:tcPr>
            <w:tcW w:w="310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120" w:type="dxa"/>
            <w:vAlign w:val="bottom"/>
          </w:tcPr>
          <w:p>
            <w:pPr>
              <w:spacing w:after="0"/>
              <w:rPr>
                <w:sz w:val="21"/>
                <w:szCs w:val="21"/>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11 %</w:t>
            </w:r>
          </w:p>
        </w:tc>
        <w:tc>
          <w:tcPr>
            <w:tcW w:w="340" w:type="dxa"/>
            <w:vAlign w:val="bottom"/>
          </w:tcPr>
          <w:p>
            <w:pPr>
              <w:spacing w:after="0"/>
              <w:rPr>
                <w:sz w:val="21"/>
                <w:szCs w:val="21"/>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11 %</w:t>
            </w:r>
          </w:p>
        </w:tc>
        <w:tc>
          <w:tcPr>
            <w:tcW w:w="360" w:type="dxa"/>
            <w:vAlign w:val="bottom"/>
          </w:tcPr>
          <w:p>
            <w:pPr>
              <w:spacing w:after="0"/>
              <w:rPr>
                <w:sz w:val="21"/>
                <w:szCs w:val="21"/>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Selling, general, and administrative expense increased 9% in the third quarter of fiscal 2023 over the same quarter in the prior fiscal year. Reducing selling, general, and administrative expense for the effects of deconversion fees from each quarter, which were $543 for the current fiscal year quarter and $820 for the prior fiscal year quarter, and for the effects of acquisitions of $427 for the current fiscal year quarter, results in an 8% increase quarter over quarter. This increase was primarily due to higher personnel costs, including commissions and benefits expenses, partially resulting from a 5% headcount increase in the trailing twelve months. Selling, general, and administrative expense remained consistent as a percentage of total revenue this fiscal quarter versus the prior fiscal year quarter.</w:t>
      </w:r>
    </w:p>
    <w:p>
      <w:pPr>
        <w:spacing w:after="0" w:line="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Selling, general, and administrative expense increased 8% in the nine months ended March 31, 2023, compared to the same period last fiscal year. Reducing selling, general, and administrative expense for the effects of deconversion fees from each period, which were $1,148 for the current fiscal year period and $1,968 for the prior fiscal year period, and for the effects of acquisitions of $1,864 plus the gain on disposal of assets, net, of $7,384 for the current fiscal period, results in a 12% increase period over period. This increase was primarily due to higher personnel costs, including commissions and benefits expenses, partially resulting from a 5% headcount increase in the trailing twelve months and increased travel-related expenses. Selling, general, and administrative expense remained consistent as a percentage of total revenue this fiscal period versus the prior fiscal year period.</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0" w:type="dxa"/>
            <w:vAlign w:val="bottom"/>
          </w:tcPr>
          <w:p>
            <w:pPr>
              <w:ind w:left="20"/>
              <w:spacing w:after="0"/>
              <w:rPr>
                <w:sz w:val="20"/>
                <w:szCs w:val="20"/>
                <w:color w:val="auto"/>
              </w:rPr>
            </w:pPr>
            <w:r>
              <w:rPr>
                <w:rFonts w:ascii="Arial" w:cs="Arial" w:eastAsia="Arial" w:hAnsi="Arial"/>
                <w:sz w:val="18"/>
                <w:szCs w:val="18"/>
                <w:b w:val="1"/>
                <w:bCs w:val="1"/>
                <w:color w:val="auto"/>
              </w:rPr>
              <w:t>INTEREST INCOME (EXPENSE)</w:t>
            </w:r>
          </w:p>
        </w:tc>
        <w:tc>
          <w:tcPr>
            <w:tcW w:w="2720" w:type="dxa"/>
            <w:vAlign w:val="bottom"/>
            <w:gridSpan w:val="7"/>
            <w:vMerge w:val="restart"/>
          </w:tcPr>
          <w:p>
            <w:pPr>
              <w:ind w:left="40"/>
              <w:spacing w:after="0"/>
              <w:rPr>
                <w:sz w:val="20"/>
                <w:szCs w:val="20"/>
                <w:color w:val="auto"/>
              </w:rPr>
            </w:pPr>
            <w:r>
              <w:rPr>
                <w:rFonts w:ascii="Arial" w:cs="Arial" w:eastAsia="Arial" w:hAnsi="Arial"/>
                <w:sz w:val="18"/>
                <w:szCs w:val="18"/>
                <w:color w:val="auto"/>
              </w:rPr>
              <w:t>Three Months Ended March 31,</w:t>
            </w:r>
          </w:p>
        </w:tc>
        <w:tc>
          <w:tcPr>
            <w:tcW w:w="11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740" w:type="dxa"/>
            <w:vAlign w:val="bottom"/>
            <w:gridSpan w:val="7"/>
            <w:vMerge w:val="restart"/>
          </w:tcPr>
          <w:p>
            <w:pPr>
              <w:ind w:left="100"/>
              <w:spacing w:after="0"/>
              <w:rPr>
                <w:sz w:val="20"/>
                <w:szCs w:val="20"/>
                <w:color w:val="auto"/>
              </w:rPr>
            </w:pPr>
            <w:r>
              <w:rPr>
                <w:rFonts w:ascii="Arial" w:cs="Arial" w:eastAsia="Arial" w:hAnsi="Arial"/>
                <w:sz w:val="18"/>
                <w:szCs w:val="18"/>
                <w:color w:val="auto"/>
              </w:rPr>
              <w:t>Nine Months Ended March 31,</w:t>
            </w: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400" w:type="dxa"/>
            <w:vAlign w:val="bottom"/>
          </w:tcPr>
          <w:p>
            <w:pPr>
              <w:spacing w:after="0"/>
              <w:rPr>
                <w:sz w:val="21"/>
                <w:szCs w:val="21"/>
                <w:color w:val="auto"/>
              </w:rPr>
            </w:pPr>
          </w:p>
        </w:tc>
        <w:tc>
          <w:tcPr>
            <w:tcW w:w="2720" w:type="dxa"/>
            <w:vAlign w:val="bottom"/>
            <w:gridSpan w:val="7"/>
            <w:vMerge w:val="continue"/>
          </w:tcPr>
          <w:p>
            <w:pPr>
              <w:spacing w:after="0"/>
              <w:rPr>
                <w:sz w:val="21"/>
                <w:szCs w:val="21"/>
                <w:color w:val="auto"/>
              </w:rPr>
            </w:pPr>
          </w:p>
        </w:tc>
        <w:tc>
          <w:tcPr>
            <w:tcW w:w="1240" w:type="dxa"/>
            <w:vAlign w:val="bottom"/>
            <w:gridSpan w:val="2"/>
          </w:tcPr>
          <w:p>
            <w:pPr>
              <w:ind w:left="240"/>
              <w:spacing w:after="0"/>
              <w:rPr>
                <w:sz w:val="20"/>
                <w:szCs w:val="20"/>
                <w:color w:val="auto"/>
              </w:rPr>
            </w:pPr>
            <w:r>
              <w:rPr>
                <w:rFonts w:ascii="Arial" w:cs="Arial" w:eastAsia="Arial" w:hAnsi="Arial"/>
                <w:sz w:val="18"/>
                <w:szCs w:val="18"/>
                <w:color w:val="auto"/>
              </w:rPr>
              <w:t>Change</w:t>
            </w:r>
          </w:p>
        </w:tc>
        <w:tc>
          <w:tcPr>
            <w:tcW w:w="2740" w:type="dxa"/>
            <w:vAlign w:val="bottom"/>
            <w:gridSpan w:val="7"/>
            <w:vMerge w:val="continue"/>
          </w:tcPr>
          <w:p>
            <w:pPr>
              <w:spacing w:after="0"/>
              <w:rPr>
                <w:sz w:val="21"/>
                <w:szCs w:val="21"/>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183"/>
        </w:trPr>
        <w:tc>
          <w:tcPr>
            <w:tcW w:w="340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w w:val="94"/>
              </w:rPr>
              <w:t>2023</w:t>
            </w:r>
          </w:p>
        </w:tc>
        <w:tc>
          <w:tcPr>
            <w:tcW w:w="48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w w:val="94"/>
              </w:rPr>
              <w:t>2022</w:t>
            </w:r>
          </w:p>
        </w:tc>
        <w:tc>
          <w:tcPr>
            <w:tcW w:w="4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gridSpan w:val="2"/>
          </w:tcPr>
          <w:p>
            <w:pPr>
              <w:jc w:val="right"/>
              <w:ind w:right="500"/>
              <w:spacing w:after="0" w:line="182" w:lineRule="exact"/>
              <w:rPr>
                <w:sz w:val="20"/>
                <w:szCs w:val="20"/>
                <w:color w:val="auto"/>
              </w:rPr>
            </w:pPr>
            <w:r>
              <w:rPr>
                <w:rFonts w:ascii="Arial" w:cs="Arial" w:eastAsia="Arial" w:hAnsi="Arial"/>
                <w:sz w:val="18"/>
                <w:szCs w:val="18"/>
                <w:b w:val="1"/>
                <w:bCs w:val="1"/>
                <w:color w:val="auto"/>
                <w:w w:val="94"/>
              </w:rPr>
              <w:t>2023</w:t>
            </w:r>
          </w:p>
        </w:tc>
        <w:tc>
          <w:tcPr>
            <w:tcW w:w="4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2"/>
          </w:tcPr>
          <w:p>
            <w:pPr>
              <w:jc w:val="right"/>
              <w:ind w:right="440"/>
              <w:spacing w:after="0" w:line="182" w:lineRule="exact"/>
              <w:rPr>
                <w:sz w:val="20"/>
                <w:szCs w:val="20"/>
                <w:color w:val="auto"/>
              </w:rPr>
            </w:pPr>
            <w:r>
              <w:rPr>
                <w:rFonts w:ascii="Arial" w:cs="Arial" w:eastAsia="Arial" w:hAnsi="Arial"/>
                <w:sz w:val="18"/>
                <w:szCs w:val="18"/>
                <w:color w:val="auto"/>
                <w:w w:val="94"/>
              </w:rPr>
              <w:t>2022</w:t>
            </w:r>
          </w:p>
        </w:tc>
        <w:tc>
          <w:tcPr>
            <w:tcW w:w="10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44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2,391</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79,600 %</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3,783</w:t>
            </w:r>
          </w:p>
        </w:tc>
        <w:tc>
          <w:tcPr>
            <w:tcW w:w="4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23,544 %</w:t>
            </w: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(4,666)</w:t>
            </w:r>
          </w:p>
        </w:tc>
        <w:tc>
          <w:tcPr>
            <w:tcW w:w="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575 %</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(9,649)</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(1,387)</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596 %</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Interest income fluctuated due to changes in invested balances and yields on invested balances during the third quarter of fiscal 2023 and nine months ended March 31, 2023, compared to the same periods a year ago. Interest expense increased when compared to the prior fiscal year quarter and year-to-date period due to recent increases in prevailing interest rates, length of borrowing time, and amounts borrowed. There was a $375,000 outstanding balance under the credit facility at March 31, 2023, and $225,000 outstanding balance at March 31, 2022. The increase in the outstanding balance was primarily due to funding the Payrailz acquisition on August 31, 2022, and the increase in cash taxes paid during the third quarter ended March 31, 2023, due to tax law changes.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80" w:type="dxa"/>
            <w:vAlign w:val="bottom"/>
          </w:tcPr>
          <w:p>
            <w:pPr>
              <w:ind w:left="20"/>
              <w:spacing w:after="0"/>
              <w:rPr>
                <w:sz w:val="20"/>
                <w:szCs w:val="20"/>
                <w:color w:val="auto"/>
              </w:rPr>
            </w:pPr>
            <w:r>
              <w:rPr>
                <w:rFonts w:ascii="Arial" w:cs="Arial" w:eastAsia="Arial" w:hAnsi="Arial"/>
                <w:sz w:val="18"/>
                <w:szCs w:val="18"/>
                <w:b w:val="1"/>
                <w:bCs w:val="1"/>
                <w:color w:val="auto"/>
              </w:rPr>
              <w:t>PROVISION FOR INCOME TAXES</w:t>
            </w:r>
          </w:p>
        </w:tc>
        <w:tc>
          <w:tcPr>
            <w:tcW w:w="140" w:type="dxa"/>
            <w:vAlign w:val="bottom"/>
          </w:tcPr>
          <w:p>
            <w:pPr>
              <w:spacing w:after="0"/>
              <w:rPr>
                <w:sz w:val="18"/>
                <w:szCs w:val="18"/>
                <w:color w:val="auto"/>
              </w:rPr>
            </w:pPr>
          </w:p>
        </w:tc>
        <w:tc>
          <w:tcPr>
            <w:tcW w:w="2780" w:type="dxa"/>
            <w:vAlign w:val="bottom"/>
            <w:gridSpan w:val="8"/>
            <w:vMerge w:val="restart"/>
          </w:tcPr>
          <w:p>
            <w:pPr>
              <w:spacing w:after="0"/>
              <w:rPr>
                <w:sz w:val="20"/>
                <w:szCs w:val="20"/>
                <w:color w:val="auto"/>
              </w:rPr>
            </w:pPr>
            <w:r>
              <w:rPr>
                <w:rFonts w:ascii="Arial" w:cs="Arial" w:eastAsia="Arial" w:hAnsi="Arial"/>
                <w:sz w:val="18"/>
                <w:szCs w:val="18"/>
                <w:color w:val="auto"/>
              </w:rPr>
              <w:t>Three Months Ended March 31,</w:t>
            </w:r>
          </w:p>
        </w:tc>
        <w:tc>
          <w:tcPr>
            <w:tcW w:w="110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80" w:type="dxa"/>
            <w:vAlign w:val="bottom"/>
            <w:gridSpan w:val="7"/>
            <w:vMerge w:val="restart"/>
          </w:tcPr>
          <w:p>
            <w:pPr>
              <w:ind w:left="40"/>
              <w:spacing w:after="0"/>
              <w:rPr>
                <w:sz w:val="20"/>
                <w:szCs w:val="20"/>
                <w:color w:val="auto"/>
              </w:rPr>
            </w:pPr>
            <w:r>
              <w:rPr>
                <w:rFonts w:ascii="Arial" w:cs="Arial" w:eastAsia="Arial" w:hAnsi="Arial"/>
                <w:sz w:val="18"/>
                <w:szCs w:val="18"/>
                <w:color w:val="auto"/>
              </w:rPr>
              <w:t>Nine Months Ended March 31,</w:t>
            </w:r>
          </w:p>
        </w:tc>
        <w:tc>
          <w:tcPr>
            <w:tcW w:w="11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780" w:type="dxa"/>
            <w:vAlign w:val="bottom"/>
            <w:gridSpan w:val="8"/>
            <w:vMerge w:val="continue"/>
          </w:tcPr>
          <w:p>
            <w:pPr>
              <w:spacing w:after="0"/>
              <w:rPr>
                <w:sz w:val="21"/>
                <w:szCs w:val="21"/>
                <w:color w:val="auto"/>
              </w:rPr>
            </w:pPr>
          </w:p>
        </w:tc>
        <w:tc>
          <w:tcPr>
            <w:tcW w:w="1360" w:type="dxa"/>
            <w:vAlign w:val="bottom"/>
            <w:gridSpan w:val="3"/>
          </w:tcPr>
          <w:p>
            <w:pPr>
              <w:jc w:val="center"/>
              <w:ind w:right="260"/>
              <w:spacing w:after="0"/>
              <w:rPr>
                <w:sz w:val="20"/>
                <w:szCs w:val="20"/>
                <w:color w:val="auto"/>
              </w:rPr>
            </w:pPr>
            <w:r>
              <w:rPr>
                <w:rFonts w:ascii="Arial" w:cs="Arial" w:eastAsia="Arial" w:hAnsi="Arial"/>
                <w:sz w:val="18"/>
                <w:szCs w:val="18"/>
                <w:color w:val="auto"/>
                <w:w w:val="98"/>
              </w:rPr>
              <w:t>Change</w:t>
            </w:r>
          </w:p>
        </w:tc>
        <w:tc>
          <w:tcPr>
            <w:tcW w:w="2780" w:type="dxa"/>
            <w:vAlign w:val="bottom"/>
            <w:gridSpan w:val="7"/>
            <w:vMerge w:val="continue"/>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8"/>
              </w:rPr>
              <w:t>Change</w:t>
            </w:r>
          </w:p>
        </w:tc>
        <w:tc>
          <w:tcPr>
            <w:tcW w:w="0" w:type="dxa"/>
            <w:vAlign w:val="bottom"/>
          </w:tcPr>
          <w:p>
            <w:pPr>
              <w:spacing w:after="0"/>
              <w:rPr>
                <w:sz w:val="1"/>
                <w:szCs w:val="1"/>
                <w:color w:val="auto"/>
              </w:rPr>
            </w:pPr>
          </w:p>
        </w:tc>
      </w:tr>
      <w:tr>
        <w:trPr>
          <w:trHeight w:val="183"/>
        </w:trPr>
        <w:tc>
          <w:tcPr>
            <w:tcW w:w="30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w w:val="94"/>
              </w:rPr>
              <w:t>2023</w:t>
            </w:r>
          </w:p>
        </w:tc>
        <w:tc>
          <w:tcPr>
            <w:tcW w:w="54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3"/>
          </w:tcPr>
          <w:p>
            <w:pPr>
              <w:jc w:val="right"/>
              <w:ind w:right="480"/>
              <w:spacing w:after="0" w:line="182" w:lineRule="exact"/>
              <w:rPr>
                <w:sz w:val="20"/>
                <w:szCs w:val="20"/>
                <w:color w:val="auto"/>
              </w:rPr>
            </w:pPr>
            <w:r>
              <w:rPr>
                <w:rFonts w:ascii="Arial" w:cs="Arial" w:eastAsia="Arial" w:hAnsi="Arial"/>
                <w:sz w:val="18"/>
                <w:szCs w:val="18"/>
                <w:color w:val="auto"/>
              </w:rPr>
              <w:t>2022</w:t>
            </w:r>
          </w:p>
        </w:tc>
        <w:tc>
          <w:tcPr>
            <w:tcW w:w="10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3"/>
          </w:tcPr>
          <w:p>
            <w:pPr>
              <w:jc w:val="right"/>
              <w:ind w:right="540"/>
              <w:spacing w:after="0" w:line="182" w:lineRule="exact"/>
              <w:rPr>
                <w:sz w:val="20"/>
                <w:szCs w:val="20"/>
                <w:color w:val="auto"/>
              </w:rPr>
            </w:pPr>
            <w:r>
              <w:rPr>
                <w:rFonts w:ascii="Arial" w:cs="Arial" w:eastAsia="Arial" w:hAnsi="Arial"/>
                <w:sz w:val="18"/>
                <w:szCs w:val="18"/>
                <w:b w:val="1"/>
                <w:bCs w:val="1"/>
                <w:color w:val="auto"/>
              </w:rPr>
              <w:t>2023</w:t>
            </w:r>
          </w:p>
        </w:tc>
        <w:tc>
          <w:tcPr>
            <w:tcW w:w="5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gridSpan w:val="2"/>
          </w:tcPr>
          <w:p>
            <w:pPr>
              <w:jc w:val="right"/>
              <w:ind w:right="480"/>
              <w:spacing w:after="0" w:line="182" w:lineRule="exact"/>
              <w:rPr>
                <w:sz w:val="20"/>
                <w:szCs w:val="20"/>
                <w:color w:val="auto"/>
              </w:rPr>
            </w:pPr>
            <w:r>
              <w:rPr>
                <w:rFonts w:ascii="Arial" w:cs="Arial" w:eastAsia="Arial" w:hAnsi="Arial"/>
                <w:sz w:val="18"/>
                <w:szCs w:val="18"/>
                <w:color w:val="auto"/>
                <w:w w:val="94"/>
              </w:rPr>
              <w:t>2022</w:t>
            </w:r>
          </w:p>
        </w:tc>
        <w:tc>
          <w:tcPr>
            <w:tcW w:w="10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340" w:type="dxa"/>
            <w:vAlign w:val="bottom"/>
          </w:tcPr>
          <w:p>
            <w:pPr>
              <w:spacing w:after="0"/>
              <w:rPr>
                <w:sz w:val="21"/>
                <w:szCs w:val="21"/>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24,566</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26,194</w:t>
            </w:r>
          </w:p>
        </w:tc>
        <w:tc>
          <w:tcPr>
            <w:tcW w:w="100" w:type="dxa"/>
            <w:vAlign w:val="bottom"/>
          </w:tcPr>
          <w:p>
            <w:pPr>
              <w:spacing w:after="0"/>
              <w:rPr>
                <w:sz w:val="21"/>
                <w:szCs w:val="21"/>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(6)%  $</w:t>
            </w:r>
          </w:p>
        </w:tc>
        <w:tc>
          <w:tcPr>
            <w:tcW w:w="126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81,751</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86,986</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Rate</w:t>
            </w:r>
          </w:p>
        </w:tc>
        <w:tc>
          <w:tcPr>
            <w:tcW w:w="14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23.2 %</w:t>
            </w:r>
          </w:p>
        </w:tc>
        <w:tc>
          <w:tcPr>
            <w:tcW w:w="34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23.6 %</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23.3 %</w:t>
            </w:r>
          </w:p>
        </w:tc>
        <w:tc>
          <w:tcPr>
            <w:tcW w:w="5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23.5 %</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change in effective tax rate for the third quarter of fiscal 2023 compared to the same quarter a year ago was primarily due to greater benefits recognized from tax credits during the current fiscal year quarter.</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4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2760" w:type="dxa"/>
            <w:vAlign w:val="bottom"/>
            <w:gridSpan w:val="9"/>
            <w:vMerge w:val="restart"/>
          </w:tcPr>
          <w:p>
            <w:pPr>
              <w:ind w:left="60"/>
              <w:spacing w:after="0"/>
              <w:rPr>
                <w:sz w:val="20"/>
                <w:szCs w:val="20"/>
                <w:color w:val="auto"/>
              </w:rPr>
            </w:pPr>
            <w:r>
              <w:rPr>
                <w:rFonts w:ascii="Arial" w:cs="Arial" w:eastAsia="Arial" w:hAnsi="Arial"/>
                <w:sz w:val="18"/>
                <w:szCs w:val="18"/>
                <w:color w:val="auto"/>
              </w:rPr>
              <w:t>Three Months Ended March 31,</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gridSpan w:val="9"/>
          </w:tcPr>
          <w:p>
            <w:pPr>
              <w:ind w:left="80"/>
              <w:spacing w:after="0"/>
              <w:rPr>
                <w:sz w:val="20"/>
                <w:szCs w:val="20"/>
                <w:color w:val="auto"/>
              </w:rPr>
            </w:pPr>
            <w:r>
              <w:rPr>
                <w:rFonts w:ascii="Arial" w:cs="Arial" w:eastAsia="Arial" w:hAnsi="Arial"/>
                <w:sz w:val="18"/>
                <w:szCs w:val="18"/>
                <w:color w:val="auto"/>
              </w:rPr>
              <w:t>Nine Months Ended March</w:t>
            </w:r>
          </w:p>
        </w:tc>
        <w:tc>
          <w:tcPr>
            <w:tcW w:w="124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3340" w:type="dxa"/>
            <w:vAlign w:val="bottom"/>
          </w:tcPr>
          <w:p>
            <w:pPr>
              <w:spacing w:after="0"/>
              <w:rPr>
                <w:sz w:val="16"/>
                <w:szCs w:val="16"/>
                <w:color w:val="auto"/>
              </w:rPr>
            </w:pPr>
          </w:p>
        </w:tc>
        <w:tc>
          <w:tcPr>
            <w:tcW w:w="2760" w:type="dxa"/>
            <w:vAlign w:val="bottom"/>
            <w:gridSpan w:val="9"/>
            <w:vMerge w:val="continue"/>
          </w:tcPr>
          <w:p>
            <w:pPr>
              <w:spacing w:after="0"/>
              <w:rPr>
                <w:sz w:val="16"/>
                <w:szCs w:val="16"/>
                <w:color w:val="auto"/>
              </w:rPr>
            </w:pPr>
          </w:p>
        </w:tc>
        <w:tc>
          <w:tcPr>
            <w:tcW w:w="1320" w:type="dxa"/>
            <w:vAlign w:val="bottom"/>
            <w:gridSpan w:val="4"/>
          </w:tcPr>
          <w:p>
            <w:pPr>
              <w:jc w:val="center"/>
              <w:ind w:right="100"/>
              <w:spacing w:after="0" w:line="169" w:lineRule="exact"/>
              <w:rPr>
                <w:sz w:val="20"/>
                <w:szCs w:val="20"/>
                <w:color w:val="auto"/>
              </w:rPr>
            </w:pPr>
            <w:r>
              <w:rPr>
                <w:rFonts w:ascii="Arial" w:cs="Arial" w:eastAsia="Arial" w:hAnsi="Arial"/>
                <w:sz w:val="18"/>
                <w:szCs w:val="18"/>
                <w:color w:val="auto"/>
                <w:w w:val="98"/>
              </w:rPr>
              <w:t>Change</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jc w:val="right"/>
              <w:ind w:right="70"/>
              <w:spacing w:after="0" w:line="169" w:lineRule="exact"/>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ind w:right="210"/>
              <w:spacing w:after="0" w:line="169" w:lineRule="exact"/>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34"/>
        </w:trPr>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gridSpan w:val="2"/>
          </w:tcPr>
          <w:p>
            <w:pPr>
              <w:jc w:val="right"/>
              <w:spacing w:after="0" w:line="182" w:lineRule="exact"/>
              <w:rPr>
                <w:sz w:val="20"/>
                <w:szCs w:val="20"/>
                <w:color w:val="auto"/>
              </w:rPr>
            </w:pPr>
            <w:r>
              <w:rPr>
                <w:rFonts w:ascii="Arial" w:cs="Arial" w:eastAsia="Arial" w:hAnsi="Arial"/>
                <w:sz w:val="18"/>
                <w:szCs w:val="18"/>
                <w:b w:val="1"/>
                <w:bCs w:val="1"/>
                <w:color w:val="auto"/>
              </w:rPr>
              <w:t>2023</w:t>
            </w: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gridSpan w:val="3"/>
          </w:tcPr>
          <w:p>
            <w:pPr>
              <w:jc w:val="right"/>
              <w:ind w:right="420"/>
              <w:spacing w:after="0" w:line="182" w:lineRule="exact"/>
              <w:rPr>
                <w:sz w:val="20"/>
                <w:szCs w:val="20"/>
                <w:color w:val="auto"/>
              </w:rPr>
            </w:pPr>
            <w:r>
              <w:rPr>
                <w:rFonts w:ascii="Arial" w:cs="Arial" w:eastAsia="Arial" w:hAnsi="Arial"/>
                <w:sz w:val="18"/>
                <w:szCs w:val="18"/>
                <w:color w:val="auto"/>
              </w:rPr>
              <w:t>2022</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gridSpan w:val="3"/>
          </w:tcPr>
          <w:p>
            <w:pPr>
              <w:jc w:val="right"/>
              <w:ind w:right="280"/>
              <w:spacing w:after="0" w:line="182" w:lineRule="exact"/>
              <w:rPr>
                <w:sz w:val="20"/>
                <w:szCs w:val="20"/>
                <w:color w:val="auto"/>
              </w:rPr>
            </w:pPr>
            <w:r>
              <w:rPr>
                <w:rFonts w:ascii="Arial" w:cs="Arial" w:eastAsia="Arial" w:hAnsi="Arial"/>
                <w:sz w:val="18"/>
                <w:szCs w:val="18"/>
                <w:b w:val="1"/>
                <w:bCs w:val="1"/>
                <w:color w:val="auto"/>
              </w:rPr>
              <w:t>2023</w:t>
            </w:r>
          </w:p>
        </w:tc>
        <w:tc>
          <w:tcPr>
            <w:tcW w:w="400" w:type="dxa"/>
            <w:vAlign w:val="bottom"/>
          </w:tcPr>
          <w:p>
            <w:pPr>
              <w:spacing w:after="0"/>
              <w:rPr>
                <w:sz w:val="15"/>
                <w:szCs w:val="15"/>
                <w:color w:val="auto"/>
              </w:rPr>
            </w:pPr>
          </w:p>
        </w:tc>
        <w:tc>
          <w:tcPr>
            <w:tcW w:w="860" w:type="dxa"/>
            <w:vAlign w:val="bottom"/>
            <w:gridSpan w:val="3"/>
          </w:tcPr>
          <w:p>
            <w:pPr>
              <w:jc w:val="right"/>
              <w:ind w:right="340"/>
              <w:spacing w:after="0" w:line="182" w:lineRule="exact"/>
              <w:rPr>
                <w:sz w:val="20"/>
                <w:szCs w:val="20"/>
                <w:color w:val="auto"/>
              </w:rPr>
            </w:pPr>
            <w:r>
              <w:rPr>
                <w:rFonts w:ascii="Arial" w:cs="Arial" w:eastAsia="Arial" w:hAnsi="Arial"/>
                <w:sz w:val="18"/>
                <w:szCs w:val="18"/>
                <w:color w:val="auto"/>
              </w:rPr>
              <w:t>2022</w:t>
            </w: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6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81,549</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84,707</w:t>
            </w:r>
          </w:p>
        </w:tc>
        <w:tc>
          <w:tcPr>
            <w:tcW w:w="120" w:type="dxa"/>
            <w:vAlign w:val="bottom"/>
          </w:tcPr>
          <w:p>
            <w:pPr>
              <w:spacing w:after="0"/>
              <w:rPr>
                <w:sz w:val="21"/>
                <w:szCs w:val="21"/>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gridSpan w:val="3"/>
          </w:tcPr>
          <w:p>
            <w:pPr>
              <w:jc w:val="right"/>
              <w:spacing w:after="0"/>
              <w:rPr>
                <w:sz w:val="20"/>
                <w:szCs w:val="20"/>
                <w:color w:val="auto"/>
              </w:rPr>
            </w:pPr>
            <w:r>
              <w:rPr>
                <w:rFonts w:ascii="Arial" w:cs="Arial" w:eastAsia="Arial" w:hAnsi="Arial"/>
                <w:sz w:val="18"/>
                <w:szCs w:val="18"/>
                <w:b w:val="1"/>
                <w:bCs w:val="1"/>
                <w:color w:val="auto"/>
              </w:rPr>
              <w:t>268,873</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282,490</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1.12</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3.68</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3.84</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income decreased 4% to $81,549, or $1.12 per diluted share, for the third quarter of fiscal 2023 compared to $ 84,707, or $1.16 per diluted share in the same quarter of fiscal 2022. Reducing net income by deconversion fee net income of $3,861 for the current fiscal quarter and $11,666 for the prior year fiscal quarter, and increasing net</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income for the current fiscal quarter by an acquisition net loss of $4,938, results in a 13% increase quarter over quarter.</w:t>
      </w:r>
    </w:p>
    <w:p>
      <w:pPr>
        <w:spacing w:after="0" w:line="9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Net income decreased 5% to $268,873, or $3.68 per diluted share, for the nine months ended March 31, 2023, compared to $282,490, or $3.84 per diluted share, in the same period of fiscal 2022. Reducing net income by deconversion fee net income of $10,880 and a gain on disposal of assets, net, of $5,556 for the current fiscal period and $32,417 for the prior year fiscal period, and increasing net income for the current fiscal period by an acquisition net loss of $12,213, results in a 6% increase period over period.</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 DISCUSSION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a leading provider of technology solutions and payment processing services primarily for financial services organizations.</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operations are classified into four reportable segments: Core, Payments, Complementary, and Corporate and Other. The Core segment provides core information processing platforms to banks and credit unions, which consist of integrated applications required to process deposit, loan, and general ledger transactions, and maintain centralized customer/member information. The Payments segment provides secure payment processing tools and services, including ATM, debit, and credit card processing services; online and mobile bill pay solutions; ACH origination and remote deposit capture processing; and risk management products and services. The Complementary segment provides additional software, hosted processing platforms, and services, including call center support, and network security management, consulting, and monitoring, that can be integrated with our core solutions and many can be used independently. The Corporate and Other segment includes revenue and costs from hardware and other products not attributed to any of the other three segments, as well as operating costs not directly attributable to the other three segments.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360" w:type="dxa"/>
            <w:vAlign w:val="bottom"/>
          </w:tcPr>
          <w:p>
            <w:pPr>
              <w:ind w:left="20"/>
              <w:spacing w:after="0"/>
              <w:rPr>
                <w:sz w:val="20"/>
                <w:szCs w:val="20"/>
                <w:color w:val="auto"/>
              </w:rPr>
            </w:pPr>
            <w:r>
              <w:rPr>
                <w:rFonts w:ascii="Arial" w:cs="Arial" w:eastAsia="Arial" w:hAnsi="Arial"/>
                <w:sz w:val="18"/>
                <w:szCs w:val="18"/>
                <w:b w:val="1"/>
                <w:bCs w:val="1"/>
                <w:color w:val="auto"/>
              </w:rPr>
              <w:t>Core</w:t>
            </w:r>
          </w:p>
        </w:tc>
        <w:tc>
          <w:tcPr>
            <w:tcW w:w="2760" w:type="dxa"/>
            <w:vAlign w:val="bottom"/>
            <w:gridSpan w:val="9"/>
            <w:vMerge w:val="restart"/>
          </w:tcPr>
          <w:p>
            <w:pPr>
              <w:ind w:left="60"/>
              <w:spacing w:after="0"/>
              <w:rPr>
                <w:sz w:val="20"/>
                <w:szCs w:val="20"/>
                <w:color w:val="auto"/>
              </w:rPr>
            </w:pPr>
            <w:r>
              <w:rPr>
                <w:rFonts w:ascii="Arial" w:cs="Arial" w:eastAsia="Arial" w:hAnsi="Arial"/>
                <w:sz w:val="18"/>
                <w:szCs w:val="18"/>
                <w:color w:val="auto"/>
              </w:rPr>
              <w:t>Three Months Ended March 31,</w:t>
            </w:r>
          </w:p>
        </w:tc>
        <w:tc>
          <w:tcPr>
            <w:tcW w:w="1240" w:type="dxa"/>
            <w:vAlign w:val="bottom"/>
            <w:gridSpan w:val="2"/>
            <w:vMerge w:val="restart"/>
          </w:tcPr>
          <w:p>
            <w:pPr>
              <w:ind w:left="140"/>
              <w:spacing w:after="0"/>
              <w:rPr>
                <w:sz w:val="20"/>
                <w:szCs w:val="20"/>
                <w:color w:val="auto"/>
              </w:rPr>
            </w:pPr>
            <w:r>
              <w:rPr>
                <w:rFonts w:ascii="Arial" w:cs="Arial" w:eastAsia="Arial" w:hAnsi="Arial"/>
                <w:sz w:val="18"/>
                <w:szCs w:val="18"/>
                <w:color w:val="auto"/>
              </w:rPr>
              <w:t>% Change</w:t>
            </w:r>
          </w:p>
        </w:tc>
        <w:tc>
          <w:tcPr>
            <w:tcW w:w="2740" w:type="dxa"/>
            <w:vAlign w:val="bottom"/>
            <w:gridSpan w:val="7"/>
            <w:vMerge w:val="restart"/>
          </w:tcPr>
          <w:p>
            <w:pPr>
              <w:ind w:left="100"/>
              <w:spacing w:after="0"/>
              <w:rPr>
                <w:sz w:val="20"/>
                <w:szCs w:val="20"/>
                <w:color w:val="auto"/>
              </w:rPr>
            </w:pPr>
            <w:r>
              <w:rPr>
                <w:rFonts w:ascii="Arial" w:cs="Arial" w:eastAsia="Arial" w:hAnsi="Arial"/>
                <w:sz w:val="18"/>
                <w:szCs w:val="18"/>
                <w:color w:val="auto"/>
              </w:rPr>
              <w:t>Nine Months Ended March 31,</w:t>
            </w:r>
          </w:p>
        </w:tc>
        <w:tc>
          <w:tcPr>
            <w:tcW w:w="1140" w:type="dxa"/>
            <w:vAlign w:val="bottom"/>
            <w:vMerge w:val="restart"/>
          </w:tcPr>
          <w:p>
            <w:pPr>
              <w:jc w:val="right"/>
              <w:ind w:right="50"/>
              <w:spacing w:after="0"/>
              <w:rPr>
                <w:sz w:val="20"/>
                <w:szCs w:val="20"/>
                <w:color w:val="auto"/>
              </w:rPr>
            </w:pPr>
            <w:r>
              <w:rPr>
                <w:rFonts w:ascii="Arial" w:cs="Arial" w:eastAsia="Arial" w:hAnsi="Arial"/>
                <w:sz w:val="18"/>
                <w:szCs w:val="18"/>
                <w:color w:val="auto"/>
              </w:rPr>
              <w:t>% Change</w:t>
            </w:r>
          </w:p>
        </w:tc>
        <w:tc>
          <w:tcPr>
            <w:tcW w:w="0" w:type="dxa"/>
            <w:vAlign w:val="bottom"/>
          </w:tcPr>
          <w:p>
            <w:pPr>
              <w:spacing w:after="0"/>
              <w:rPr>
                <w:sz w:val="1"/>
                <w:szCs w:val="1"/>
                <w:color w:val="auto"/>
              </w:rPr>
            </w:pPr>
          </w:p>
        </w:tc>
      </w:tr>
      <w:tr>
        <w:trPr>
          <w:trHeight w:val="218"/>
        </w:trPr>
        <w:tc>
          <w:tcPr>
            <w:tcW w:w="3360" w:type="dxa"/>
            <w:vAlign w:val="bottom"/>
          </w:tcPr>
          <w:p>
            <w:pPr>
              <w:spacing w:after="0"/>
              <w:rPr>
                <w:sz w:val="18"/>
                <w:szCs w:val="18"/>
                <w:color w:val="auto"/>
              </w:rPr>
            </w:pPr>
          </w:p>
        </w:tc>
        <w:tc>
          <w:tcPr>
            <w:tcW w:w="2760" w:type="dxa"/>
            <w:vAlign w:val="bottom"/>
            <w:gridSpan w:val="9"/>
            <w:vMerge w:val="continue"/>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2740" w:type="dxa"/>
            <w:vAlign w:val="bottom"/>
            <w:gridSpan w:val="7"/>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336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w w:val="94"/>
              </w:rPr>
              <w:t>2023</w:t>
            </w:r>
          </w:p>
        </w:tc>
        <w:tc>
          <w:tcPr>
            <w:tcW w:w="46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2"/>
          </w:tcPr>
          <w:p>
            <w:pPr>
              <w:jc w:val="right"/>
              <w:ind w:right="440"/>
              <w:spacing w:after="0" w:line="182" w:lineRule="exact"/>
              <w:rPr>
                <w:sz w:val="20"/>
                <w:szCs w:val="20"/>
                <w:color w:val="auto"/>
              </w:rPr>
            </w:pPr>
            <w:r>
              <w:rPr>
                <w:rFonts w:ascii="Arial" w:cs="Arial" w:eastAsia="Arial" w:hAnsi="Arial"/>
                <w:sz w:val="18"/>
                <w:szCs w:val="18"/>
                <w:color w:val="auto"/>
                <w:w w:val="94"/>
              </w:rPr>
              <w:t>2022</w:t>
            </w:r>
          </w:p>
        </w:tc>
        <w:tc>
          <w:tcPr>
            <w:tcW w:w="10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gridSpan w:val="2"/>
          </w:tcPr>
          <w:p>
            <w:pPr>
              <w:jc w:val="right"/>
              <w:ind w:right="460"/>
              <w:spacing w:after="0" w:line="182" w:lineRule="exact"/>
              <w:rPr>
                <w:sz w:val="20"/>
                <w:szCs w:val="20"/>
                <w:color w:val="auto"/>
              </w:rPr>
            </w:pPr>
            <w:r>
              <w:rPr>
                <w:rFonts w:ascii="Arial" w:cs="Arial" w:eastAsia="Arial" w:hAnsi="Arial"/>
                <w:sz w:val="18"/>
                <w:szCs w:val="18"/>
                <w:b w:val="1"/>
                <w:bCs w:val="1"/>
                <w:color w:val="auto"/>
                <w:w w:val="94"/>
              </w:rPr>
              <w:t>2023</w:t>
            </w:r>
          </w:p>
        </w:tc>
        <w:tc>
          <w:tcPr>
            <w:tcW w:w="5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2"/>
          </w:tcPr>
          <w:p>
            <w:pPr>
              <w:jc w:val="right"/>
              <w:ind w:right="440"/>
              <w:spacing w:after="0" w:line="182" w:lineRule="exact"/>
              <w:rPr>
                <w:sz w:val="20"/>
                <w:szCs w:val="20"/>
                <w:color w:val="auto"/>
              </w:rPr>
            </w:pPr>
            <w:r>
              <w:rPr>
                <w:rFonts w:ascii="Arial" w:cs="Arial" w:eastAsia="Arial" w:hAnsi="Arial"/>
                <w:sz w:val="18"/>
                <w:szCs w:val="18"/>
                <w:color w:val="auto"/>
                <w:w w:val="94"/>
              </w:rPr>
              <w:t>2022</w:t>
            </w:r>
          </w:p>
        </w:tc>
        <w:tc>
          <w:tcPr>
            <w:tcW w:w="10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6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156,903</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150,799</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4 %</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487,417</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470,962</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71,705</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66,576</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212,269</w:t>
            </w:r>
          </w:p>
        </w:tc>
        <w:tc>
          <w:tcPr>
            <w:tcW w:w="5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198,032</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Revenue in the Core segment increased 4% and cost of revenue increased 8% for the three months ended March 31, 2023, compared to the three months ended March 31, 2022. Reducing Core revenue for deconversion fee revenue in both quarters, which totaled $2,315 for the third quarter of fiscal 2023 and $8,154 for the third quarter of fiscal 2022, results in an 8% increase quarter over quarter. This increase was primarily driven by growth in data processing and hosting fee revenue. The cost of revenue increase was primarily driven by higher personnel costs, including benefits expenses, and increased direct support costs. Core segment deconversion fee costs did not significantly affect the Core cost of revenue increase quarter over quarter. Cost of revenue increased 2% as a percentage of revenue for the third quarter of fiscal 2023 compared to the same quarter of fiscal 2022.</w:t>
      </w:r>
    </w:p>
    <w:p>
      <w:pPr>
        <w:spacing w:after="0" w:line="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in the Core segment increased 3% and cost of revenue increased 7% for the nine months ended March 31, 2023, compared to the nine months ended March 31, 2022. Reducing Core revenue for deconversion fee revenue in both periods, which totaled $ 6,248 for the nine months ended March 31, 2023, and $21,176 for the nine months ended March 31, 2022, results in a 7% increase period over period. This increase was primarily driven by the growth in data processing and hosting and software usage fee revenues. Reducing Core cost of revenue for deconversion fee costs in both periods, which totaled $656 for the nine months ended March 31, 2023 and $1,378 for the nine months ended March 31, 2022 results in an 8% increase period over period. This increase was primarily due to increased direct support costs and higher personnel costs, including benefits expenses. Cost of revenue increased 2% as a percentage of revenue for the nine months ended March 31, 2023, compared to the same period of fiscal 2022.</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360" w:type="dxa"/>
            <w:vAlign w:val="bottom"/>
          </w:tcPr>
          <w:p>
            <w:pPr>
              <w:ind w:left="20"/>
              <w:spacing w:after="0"/>
              <w:rPr>
                <w:sz w:val="20"/>
                <w:szCs w:val="20"/>
                <w:color w:val="auto"/>
              </w:rPr>
            </w:pPr>
            <w:r>
              <w:rPr>
                <w:rFonts w:ascii="Arial" w:cs="Arial" w:eastAsia="Arial" w:hAnsi="Arial"/>
                <w:sz w:val="18"/>
                <w:szCs w:val="18"/>
                <w:b w:val="1"/>
                <w:bCs w:val="1"/>
                <w:color w:val="auto"/>
              </w:rPr>
              <w:t>Payments</w:t>
            </w:r>
          </w:p>
        </w:tc>
        <w:tc>
          <w:tcPr>
            <w:tcW w:w="2760" w:type="dxa"/>
            <w:vAlign w:val="bottom"/>
            <w:gridSpan w:val="9"/>
            <w:vMerge w:val="restart"/>
          </w:tcPr>
          <w:p>
            <w:pPr>
              <w:ind w:left="60"/>
              <w:spacing w:after="0"/>
              <w:rPr>
                <w:sz w:val="20"/>
                <w:szCs w:val="20"/>
                <w:color w:val="auto"/>
              </w:rPr>
            </w:pPr>
            <w:r>
              <w:rPr>
                <w:rFonts w:ascii="Arial" w:cs="Arial" w:eastAsia="Arial" w:hAnsi="Arial"/>
                <w:sz w:val="18"/>
                <w:szCs w:val="18"/>
                <w:color w:val="auto"/>
              </w:rPr>
              <w:t>Three Months Ended March 31,</w:t>
            </w:r>
          </w:p>
        </w:tc>
        <w:tc>
          <w:tcPr>
            <w:tcW w:w="1240" w:type="dxa"/>
            <w:vAlign w:val="bottom"/>
            <w:gridSpan w:val="2"/>
            <w:vMerge w:val="restart"/>
          </w:tcPr>
          <w:p>
            <w:pPr>
              <w:ind w:left="140"/>
              <w:spacing w:after="0"/>
              <w:rPr>
                <w:sz w:val="20"/>
                <w:szCs w:val="20"/>
                <w:color w:val="auto"/>
              </w:rPr>
            </w:pPr>
            <w:r>
              <w:rPr>
                <w:rFonts w:ascii="Arial" w:cs="Arial" w:eastAsia="Arial" w:hAnsi="Arial"/>
                <w:sz w:val="18"/>
                <w:szCs w:val="18"/>
                <w:color w:val="auto"/>
              </w:rPr>
              <w:t>% Change</w:t>
            </w:r>
          </w:p>
        </w:tc>
        <w:tc>
          <w:tcPr>
            <w:tcW w:w="2740" w:type="dxa"/>
            <w:vAlign w:val="bottom"/>
            <w:gridSpan w:val="7"/>
            <w:vMerge w:val="restart"/>
          </w:tcPr>
          <w:p>
            <w:pPr>
              <w:ind w:left="100"/>
              <w:spacing w:after="0"/>
              <w:rPr>
                <w:sz w:val="20"/>
                <w:szCs w:val="20"/>
                <w:color w:val="auto"/>
              </w:rPr>
            </w:pPr>
            <w:r>
              <w:rPr>
                <w:rFonts w:ascii="Arial" w:cs="Arial" w:eastAsia="Arial" w:hAnsi="Arial"/>
                <w:sz w:val="18"/>
                <w:szCs w:val="18"/>
                <w:color w:val="auto"/>
              </w:rPr>
              <w:t>Nine Months Ended March 31,</w:t>
            </w:r>
          </w:p>
        </w:tc>
        <w:tc>
          <w:tcPr>
            <w:tcW w:w="1140" w:type="dxa"/>
            <w:vAlign w:val="bottom"/>
            <w:vMerge w:val="restart"/>
          </w:tcPr>
          <w:p>
            <w:pPr>
              <w:jc w:val="right"/>
              <w:ind w:right="50"/>
              <w:spacing w:after="0"/>
              <w:rPr>
                <w:sz w:val="20"/>
                <w:szCs w:val="20"/>
                <w:color w:val="auto"/>
              </w:rPr>
            </w:pPr>
            <w:r>
              <w:rPr>
                <w:rFonts w:ascii="Arial" w:cs="Arial" w:eastAsia="Arial" w:hAnsi="Arial"/>
                <w:sz w:val="18"/>
                <w:szCs w:val="18"/>
                <w:color w:val="auto"/>
              </w:rPr>
              <w:t>% Change</w:t>
            </w:r>
          </w:p>
        </w:tc>
        <w:tc>
          <w:tcPr>
            <w:tcW w:w="0" w:type="dxa"/>
            <w:vAlign w:val="bottom"/>
          </w:tcPr>
          <w:p>
            <w:pPr>
              <w:spacing w:after="0"/>
              <w:rPr>
                <w:sz w:val="1"/>
                <w:szCs w:val="1"/>
                <w:color w:val="auto"/>
              </w:rPr>
            </w:pPr>
          </w:p>
        </w:tc>
      </w:tr>
      <w:tr>
        <w:trPr>
          <w:trHeight w:val="218"/>
        </w:trPr>
        <w:tc>
          <w:tcPr>
            <w:tcW w:w="3360" w:type="dxa"/>
            <w:vAlign w:val="bottom"/>
          </w:tcPr>
          <w:p>
            <w:pPr>
              <w:spacing w:after="0"/>
              <w:rPr>
                <w:sz w:val="18"/>
                <w:szCs w:val="18"/>
                <w:color w:val="auto"/>
              </w:rPr>
            </w:pPr>
          </w:p>
        </w:tc>
        <w:tc>
          <w:tcPr>
            <w:tcW w:w="2760" w:type="dxa"/>
            <w:vAlign w:val="bottom"/>
            <w:gridSpan w:val="9"/>
            <w:vMerge w:val="continue"/>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2740" w:type="dxa"/>
            <w:vAlign w:val="bottom"/>
            <w:gridSpan w:val="7"/>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336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w w:val="94"/>
              </w:rPr>
              <w:t>2023</w:t>
            </w:r>
          </w:p>
        </w:tc>
        <w:tc>
          <w:tcPr>
            <w:tcW w:w="46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2"/>
          </w:tcPr>
          <w:p>
            <w:pPr>
              <w:jc w:val="right"/>
              <w:ind w:right="440"/>
              <w:spacing w:after="0" w:line="182" w:lineRule="exact"/>
              <w:rPr>
                <w:sz w:val="20"/>
                <w:szCs w:val="20"/>
                <w:color w:val="auto"/>
              </w:rPr>
            </w:pPr>
            <w:r>
              <w:rPr>
                <w:rFonts w:ascii="Arial" w:cs="Arial" w:eastAsia="Arial" w:hAnsi="Arial"/>
                <w:sz w:val="18"/>
                <w:szCs w:val="18"/>
                <w:color w:val="auto"/>
                <w:w w:val="94"/>
              </w:rPr>
              <w:t>2022</w:t>
            </w:r>
          </w:p>
        </w:tc>
        <w:tc>
          <w:tcPr>
            <w:tcW w:w="10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gridSpan w:val="2"/>
          </w:tcPr>
          <w:p>
            <w:pPr>
              <w:jc w:val="right"/>
              <w:ind w:right="460"/>
              <w:spacing w:after="0" w:line="182" w:lineRule="exact"/>
              <w:rPr>
                <w:sz w:val="20"/>
                <w:szCs w:val="20"/>
                <w:color w:val="auto"/>
              </w:rPr>
            </w:pPr>
            <w:r>
              <w:rPr>
                <w:rFonts w:ascii="Arial" w:cs="Arial" w:eastAsia="Arial" w:hAnsi="Arial"/>
                <w:sz w:val="18"/>
                <w:szCs w:val="18"/>
                <w:b w:val="1"/>
                <w:bCs w:val="1"/>
                <w:color w:val="auto"/>
                <w:w w:val="94"/>
              </w:rPr>
              <w:t>2023</w:t>
            </w:r>
          </w:p>
        </w:tc>
        <w:tc>
          <w:tcPr>
            <w:tcW w:w="5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2"/>
          </w:tcPr>
          <w:p>
            <w:pPr>
              <w:jc w:val="right"/>
              <w:ind w:right="440"/>
              <w:spacing w:after="0" w:line="182" w:lineRule="exact"/>
              <w:rPr>
                <w:sz w:val="20"/>
                <w:szCs w:val="20"/>
                <w:color w:val="auto"/>
              </w:rPr>
            </w:pPr>
            <w:r>
              <w:rPr>
                <w:rFonts w:ascii="Arial" w:cs="Arial" w:eastAsia="Arial" w:hAnsi="Arial"/>
                <w:sz w:val="18"/>
                <w:szCs w:val="18"/>
                <w:color w:val="auto"/>
                <w:w w:val="94"/>
              </w:rPr>
              <w:t>2022</w:t>
            </w:r>
          </w:p>
        </w:tc>
        <w:tc>
          <w:tcPr>
            <w:tcW w:w="10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6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191,840</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180,518</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6 %</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569,867</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538,615</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106,878</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95,970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316,104</w:t>
            </w:r>
          </w:p>
        </w:tc>
        <w:tc>
          <w:tcPr>
            <w:tcW w:w="5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287,518</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864"/>
        </w:trPr>
        <w:tc>
          <w:tcPr>
            <w:tcW w:w="3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3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in the Payments segment increased 6% and cost of revenue increased 11% for the third quarter of fiscal 2023 compared to the equivalent quarter of the prior fiscal year. Reducing Payments revenue for deconversion fee revenue in both quarters, which totaled $1,643 for the third quarter of fiscal 2023 and $4,703 for the third quarter of fiscal 2022 and for revenue from acquisitions of $2,658 from the current fiscal year quarter, results in a 7% increase quarter over quarter. This increase was primarily due to higher card and payment processing fee revenues. Reducing Payments cost of revenue for deconversion fee costs in both quarters, which totaled $ 62 for the third quarter of fiscal 2023 and $28 for the third quarter of fiscal 2022, and for cost of revenue from acquisition of $5,102 from the current fiscal year quarter, results in a 6% increase quarter over quarter. This increase was primarily due to higher direct costs in line with associated revenues, higher amortization of intangible assets, and higher personnel costs, including benefits expenses. Cost of revenue as a percentage of revenue increased 3% for the third quarter of fiscal 2023 compared to the same quarter of fiscal 2022.</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in the Payments segment increased 6% and cost of revenue increased 10% for the nine months ended March 31, 2023, compared to the equivalent period of the prior fiscal year. The revenue increase was primarily due to increased card and payment processing fee revenues. Payments segment deconversion fee and acquisition revenues did not significantly affect the Payments segment revenue increase period over period. Reducing Payments cost of revenue for deconversion fee costs in both periods, which totaled $221 for the nine months ended March 31, 2023 and $317 for the nine months ended March 31, 2022, and for cost of revenue from acquisition of $12,444 from the current fiscal year period, results in a 6% increase period over period. This increase was primarily due to higher direct costs in line with associated revenues, higher amortization of intangible assets, and higher personnel costs, including benefits expenses. Cost of revenue as a percentage of revenue increased 2% for the nine months ended March 31, 2023, compared to the same period of fiscal 2022.</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360" w:type="dxa"/>
            <w:vAlign w:val="bottom"/>
          </w:tcPr>
          <w:p>
            <w:pPr>
              <w:ind w:left="20"/>
              <w:spacing w:after="0"/>
              <w:rPr>
                <w:sz w:val="20"/>
                <w:szCs w:val="20"/>
                <w:color w:val="auto"/>
              </w:rPr>
            </w:pPr>
            <w:r>
              <w:rPr>
                <w:rFonts w:ascii="Arial" w:cs="Arial" w:eastAsia="Arial" w:hAnsi="Arial"/>
                <w:sz w:val="18"/>
                <w:szCs w:val="18"/>
                <w:b w:val="1"/>
                <w:bCs w:val="1"/>
                <w:color w:val="auto"/>
              </w:rPr>
              <w:t>Complementary</w:t>
            </w:r>
          </w:p>
        </w:tc>
        <w:tc>
          <w:tcPr>
            <w:tcW w:w="2760" w:type="dxa"/>
            <w:vAlign w:val="bottom"/>
            <w:gridSpan w:val="9"/>
            <w:vMerge w:val="restart"/>
          </w:tcPr>
          <w:p>
            <w:pPr>
              <w:ind w:left="60"/>
              <w:spacing w:after="0"/>
              <w:rPr>
                <w:sz w:val="20"/>
                <w:szCs w:val="20"/>
                <w:color w:val="auto"/>
              </w:rPr>
            </w:pPr>
            <w:r>
              <w:rPr>
                <w:rFonts w:ascii="Arial" w:cs="Arial" w:eastAsia="Arial" w:hAnsi="Arial"/>
                <w:sz w:val="18"/>
                <w:szCs w:val="18"/>
                <w:color w:val="auto"/>
              </w:rPr>
              <w:t>Three Months Ended March 31,</w:t>
            </w:r>
          </w:p>
        </w:tc>
        <w:tc>
          <w:tcPr>
            <w:tcW w:w="1240" w:type="dxa"/>
            <w:vAlign w:val="bottom"/>
            <w:gridSpan w:val="2"/>
            <w:vMerge w:val="restart"/>
          </w:tcPr>
          <w:p>
            <w:pPr>
              <w:ind w:left="140"/>
              <w:spacing w:after="0"/>
              <w:rPr>
                <w:sz w:val="20"/>
                <w:szCs w:val="20"/>
                <w:color w:val="auto"/>
              </w:rPr>
            </w:pPr>
            <w:r>
              <w:rPr>
                <w:rFonts w:ascii="Arial" w:cs="Arial" w:eastAsia="Arial" w:hAnsi="Arial"/>
                <w:sz w:val="18"/>
                <w:szCs w:val="18"/>
                <w:color w:val="auto"/>
              </w:rPr>
              <w:t>% Change</w:t>
            </w:r>
          </w:p>
        </w:tc>
        <w:tc>
          <w:tcPr>
            <w:tcW w:w="2740" w:type="dxa"/>
            <w:vAlign w:val="bottom"/>
            <w:gridSpan w:val="7"/>
            <w:vMerge w:val="restart"/>
          </w:tcPr>
          <w:p>
            <w:pPr>
              <w:ind w:left="100"/>
              <w:spacing w:after="0"/>
              <w:rPr>
                <w:sz w:val="20"/>
                <w:szCs w:val="20"/>
                <w:color w:val="auto"/>
              </w:rPr>
            </w:pPr>
            <w:r>
              <w:rPr>
                <w:rFonts w:ascii="Arial" w:cs="Arial" w:eastAsia="Arial" w:hAnsi="Arial"/>
                <w:sz w:val="18"/>
                <w:szCs w:val="18"/>
                <w:color w:val="auto"/>
              </w:rPr>
              <w:t>Nine Months Ended March 31,</w:t>
            </w:r>
          </w:p>
        </w:tc>
        <w:tc>
          <w:tcPr>
            <w:tcW w:w="1140" w:type="dxa"/>
            <w:vAlign w:val="bottom"/>
            <w:vMerge w:val="restart"/>
          </w:tcPr>
          <w:p>
            <w:pPr>
              <w:jc w:val="right"/>
              <w:ind w:right="50"/>
              <w:spacing w:after="0"/>
              <w:rPr>
                <w:sz w:val="20"/>
                <w:szCs w:val="20"/>
                <w:color w:val="auto"/>
              </w:rPr>
            </w:pPr>
            <w:r>
              <w:rPr>
                <w:rFonts w:ascii="Arial" w:cs="Arial" w:eastAsia="Arial" w:hAnsi="Arial"/>
                <w:sz w:val="18"/>
                <w:szCs w:val="18"/>
                <w:color w:val="auto"/>
              </w:rPr>
              <w:t>% Change</w:t>
            </w:r>
          </w:p>
        </w:tc>
        <w:tc>
          <w:tcPr>
            <w:tcW w:w="0" w:type="dxa"/>
            <w:vAlign w:val="bottom"/>
          </w:tcPr>
          <w:p>
            <w:pPr>
              <w:spacing w:after="0"/>
              <w:rPr>
                <w:sz w:val="1"/>
                <w:szCs w:val="1"/>
                <w:color w:val="auto"/>
              </w:rPr>
            </w:pPr>
          </w:p>
        </w:tc>
      </w:tr>
      <w:tr>
        <w:trPr>
          <w:trHeight w:val="218"/>
        </w:trPr>
        <w:tc>
          <w:tcPr>
            <w:tcW w:w="3360" w:type="dxa"/>
            <w:vAlign w:val="bottom"/>
          </w:tcPr>
          <w:p>
            <w:pPr>
              <w:spacing w:after="0"/>
              <w:rPr>
                <w:sz w:val="18"/>
                <w:szCs w:val="18"/>
                <w:color w:val="auto"/>
              </w:rPr>
            </w:pPr>
          </w:p>
        </w:tc>
        <w:tc>
          <w:tcPr>
            <w:tcW w:w="2760" w:type="dxa"/>
            <w:vAlign w:val="bottom"/>
            <w:gridSpan w:val="9"/>
            <w:vMerge w:val="continue"/>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2740" w:type="dxa"/>
            <w:vAlign w:val="bottom"/>
            <w:gridSpan w:val="7"/>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336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w w:val="94"/>
              </w:rPr>
              <w:t>2023</w:t>
            </w:r>
          </w:p>
        </w:tc>
        <w:tc>
          <w:tcPr>
            <w:tcW w:w="46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2"/>
          </w:tcPr>
          <w:p>
            <w:pPr>
              <w:jc w:val="right"/>
              <w:ind w:right="440"/>
              <w:spacing w:after="0" w:line="182" w:lineRule="exact"/>
              <w:rPr>
                <w:sz w:val="20"/>
                <w:szCs w:val="20"/>
                <w:color w:val="auto"/>
              </w:rPr>
            </w:pPr>
            <w:r>
              <w:rPr>
                <w:rFonts w:ascii="Arial" w:cs="Arial" w:eastAsia="Arial" w:hAnsi="Arial"/>
                <w:sz w:val="18"/>
                <w:szCs w:val="18"/>
                <w:color w:val="auto"/>
                <w:w w:val="94"/>
              </w:rPr>
              <w:t>2022</w:t>
            </w:r>
          </w:p>
        </w:tc>
        <w:tc>
          <w:tcPr>
            <w:tcW w:w="10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gridSpan w:val="2"/>
          </w:tcPr>
          <w:p>
            <w:pPr>
              <w:jc w:val="right"/>
              <w:ind w:right="460"/>
              <w:spacing w:after="0" w:line="182" w:lineRule="exact"/>
              <w:rPr>
                <w:sz w:val="20"/>
                <w:szCs w:val="20"/>
                <w:color w:val="auto"/>
              </w:rPr>
            </w:pPr>
            <w:r>
              <w:rPr>
                <w:rFonts w:ascii="Arial" w:cs="Arial" w:eastAsia="Arial" w:hAnsi="Arial"/>
                <w:sz w:val="18"/>
                <w:szCs w:val="18"/>
                <w:b w:val="1"/>
                <w:bCs w:val="1"/>
                <w:color w:val="auto"/>
                <w:w w:val="94"/>
              </w:rPr>
              <w:t>2023</w:t>
            </w:r>
          </w:p>
        </w:tc>
        <w:tc>
          <w:tcPr>
            <w:tcW w:w="5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2"/>
          </w:tcPr>
          <w:p>
            <w:pPr>
              <w:jc w:val="right"/>
              <w:ind w:right="440"/>
              <w:spacing w:after="0" w:line="182" w:lineRule="exact"/>
              <w:rPr>
                <w:sz w:val="20"/>
                <w:szCs w:val="20"/>
                <w:color w:val="auto"/>
              </w:rPr>
            </w:pPr>
            <w:r>
              <w:rPr>
                <w:rFonts w:ascii="Arial" w:cs="Arial" w:eastAsia="Arial" w:hAnsi="Arial"/>
                <w:sz w:val="18"/>
                <w:szCs w:val="18"/>
                <w:color w:val="auto"/>
                <w:w w:val="94"/>
              </w:rPr>
              <w:t>2022</w:t>
            </w:r>
          </w:p>
        </w:tc>
        <w:tc>
          <w:tcPr>
            <w:tcW w:w="10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6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142,122</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133,821</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6 %</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432,769</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408,137</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61,366</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57,740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179,074</w:t>
            </w:r>
          </w:p>
        </w:tc>
        <w:tc>
          <w:tcPr>
            <w:tcW w:w="5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168,139</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in the Complementary segment increased 6% and cost of revenue increased 6% for the third quarter of fiscal 2023 compared to the equivalent quarter of the prior fiscal year. Reducing Complementary revenue for deconversion fee revenue in both quarters, which totaled $2,170 for the third quarter of fiscal 2023 and $4,540 for the third quarter of fiscal 2022, results in an 8% increase quarter over quarter. This increase was primarily driven by higher hosting fees and Jack Henry digital revenues. Reducing Complementary cost of revenue for deconversion fee costs in both quarters, which totaled $165 for the third quarter of fiscal 2023 and $475 for the third quarter of fiscal 2022, results in a 7% increase quarter over quarter. This increase was primarily due to increased amortization of intangible assets and direct costs in line with associated revenues. Cost of revenue as a percentage of revenue remained consistent for the third quarter of fiscal 2023 compared to the same quarter of fiscal 2022.</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in the Complementary segment increased 6% and cost of revenue increased 7% for the nine months ended March 31, 2023, compared to the equivalent period of the prior fiscal year. Reducing Complementary revenue for deconversion fee revenue in both periods, which totaled $6,319 for the nine months ended March 31, 2023 and $13,554 for the nine months ended March 31, 2022, results in an 8% increase period over period. This increase was primarily driven by higher hosting fees and Jack Henry digital revenues. Cost of revenue growth was primarily due to increased direct costs in line with associated revenues, higher personnel costs, including benefits expenses, and increased amortization of intangible assets. Complementary segment deconversion fee costs did not significantly affect the Complementary segment cost of revenue increase period over period. Cost of revenue as a percentage of revenue remained consistent for the nine months ended March 31, 2023, compared to the same period of fiscal 2022.</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380" w:type="dxa"/>
            <w:vAlign w:val="bottom"/>
          </w:tcPr>
          <w:p>
            <w:pPr>
              <w:ind w:left="20"/>
              <w:spacing w:after="0"/>
              <w:rPr>
                <w:sz w:val="20"/>
                <w:szCs w:val="20"/>
                <w:color w:val="auto"/>
              </w:rPr>
            </w:pPr>
            <w:r>
              <w:rPr>
                <w:rFonts w:ascii="Arial" w:cs="Arial" w:eastAsia="Arial" w:hAnsi="Arial"/>
                <w:sz w:val="18"/>
                <w:szCs w:val="18"/>
                <w:b w:val="1"/>
                <w:bCs w:val="1"/>
                <w:color w:val="auto"/>
              </w:rPr>
              <w:t>Corporate and Other</w:t>
            </w:r>
          </w:p>
        </w:tc>
        <w:tc>
          <w:tcPr>
            <w:tcW w:w="2720" w:type="dxa"/>
            <w:vAlign w:val="bottom"/>
            <w:gridSpan w:val="8"/>
            <w:vMerge w:val="restart"/>
          </w:tcPr>
          <w:p>
            <w:pPr>
              <w:ind w:left="40"/>
              <w:spacing w:after="0"/>
              <w:rPr>
                <w:sz w:val="20"/>
                <w:szCs w:val="20"/>
                <w:color w:val="auto"/>
              </w:rPr>
            </w:pPr>
            <w:r>
              <w:rPr>
                <w:rFonts w:ascii="Arial" w:cs="Arial" w:eastAsia="Arial" w:hAnsi="Arial"/>
                <w:sz w:val="18"/>
                <w:szCs w:val="18"/>
                <w:color w:val="auto"/>
              </w:rPr>
              <w:t>Three Months Ended March 31,</w:t>
            </w:r>
          </w:p>
        </w:tc>
        <w:tc>
          <w:tcPr>
            <w:tcW w:w="1260" w:type="dxa"/>
            <w:vAlign w:val="bottom"/>
            <w:gridSpan w:val="2"/>
            <w:vMerge w:val="restart"/>
          </w:tcPr>
          <w:p>
            <w:pPr>
              <w:ind w:left="160"/>
              <w:spacing w:after="0"/>
              <w:rPr>
                <w:sz w:val="20"/>
                <w:szCs w:val="20"/>
                <w:color w:val="auto"/>
              </w:rPr>
            </w:pPr>
            <w:r>
              <w:rPr>
                <w:rFonts w:ascii="Arial" w:cs="Arial" w:eastAsia="Arial" w:hAnsi="Arial"/>
                <w:sz w:val="18"/>
                <w:szCs w:val="18"/>
                <w:color w:val="auto"/>
              </w:rPr>
              <w:t>% Change</w:t>
            </w:r>
          </w:p>
        </w:tc>
        <w:tc>
          <w:tcPr>
            <w:tcW w:w="2740" w:type="dxa"/>
            <w:vAlign w:val="bottom"/>
            <w:gridSpan w:val="7"/>
            <w:vMerge w:val="restart"/>
          </w:tcPr>
          <w:p>
            <w:pPr>
              <w:ind w:left="100"/>
              <w:spacing w:after="0"/>
              <w:rPr>
                <w:sz w:val="20"/>
                <w:szCs w:val="20"/>
                <w:color w:val="auto"/>
              </w:rPr>
            </w:pPr>
            <w:r>
              <w:rPr>
                <w:rFonts w:ascii="Arial" w:cs="Arial" w:eastAsia="Arial" w:hAnsi="Arial"/>
                <w:sz w:val="18"/>
                <w:szCs w:val="18"/>
                <w:color w:val="auto"/>
              </w:rPr>
              <w:t>Nine Months Ended March 31,</w:t>
            </w:r>
          </w:p>
        </w:tc>
        <w:tc>
          <w:tcPr>
            <w:tcW w:w="1140" w:type="dxa"/>
            <w:vAlign w:val="bottom"/>
            <w:vMerge w:val="restart"/>
          </w:tcPr>
          <w:p>
            <w:pPr>
              <w:jc w:val="right"/>
              <w:ind w:right="50"/>
              <w:spacing w:after="0"/>
              <w:rPr>
                <w:sz w:val="20"/>
                <w:szCs w:val="20"/>
                <w:color w:val="auto"/>
              </w:rPr>
            </w:pPr>
            <w:r>
              <w:rPr>
                <w:rFonts w:ascii="Arial" w:cs="Arial" w:eastAsia="Arial" w:hAnsi="Arial"/>
                <w:sz w:val="18"/>
                <w:szCs w:val="18"/>
                <w:color w:val="auto"/>
              </w:rPr>
              <w:t>% Change</w:t>
            </w:r>
          </w:p>
        </w:tc>
        <w:tc>
          <w:tcPr>
            <w:tcW w:w="0" w:type="dxa"/>
            <w:vAlign w:val="bottom"/>
          </w:tcPr>
          <w:p>
            <w:pPr>
              <w:spacing w:after="0"/>
              <w:rPr>
                <w:sz w:val="1"/>
                <w:szCs w:val="1"/>
                <w:color w:val="auto"/>
              </w:rPr>
            </w:pPr>
          </w:p>
        </w:tc>
      </w:tr>
      <w:tr>
        <w:trPr>
          <w:trHeight w:val="218"/>
        </w:trPr>
        <w:tc>
          <w:tcPr>
            <w:tcW w:w="3380" w:type="dxa"/>
            <w:vAlign w:val="bottom"/>
          </w:tcPr>
          <w:p>
            <w:pPr>
              <w:spacing w:after="0"/>
              <w:rPr>
                <w:sz w:val="18"/>
                <w:szCs w:val="18"/>
                <w:color w:val="auto"/>
              </w:rPr>
            </w:pPr>
          </w:p>
        </w:tc>
        <w:tc>
          <w:tcPr>
            <w:tcW w:w="2720" w:type="dxa"/>
            <w:vAlign w:val="bottom"/>
            <w:gridSpan w:val="8"/>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2740" w:type="dxa"/>
            <w:vAlign w:val="bottom"/>
            <w:gridSpan w:val="7"/>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338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w w:val="94"/>
              </w:rPr>
              <w:t>2023</w:t>
            </w:r>
          </w:p>
        </w:tc>
        <w:tc>
          <w:tcPr>
            <w:tcW w:w="44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gridSpan w:val="3"/>
          </w:tcPr>
          <w:p>
            <w:pPr>
              <w:jc w:val="right"/>
              <w:ind w:right="420"/>
              <w:spacing w:after="0" w:line="182" w:lineRule="exact"/>
              <w:rPr>
                <w:sz w:val="20"/>
                <w:szCs w:val="20"/>
                <w:color w:val="auto"/>
              </w:rPr>
            </w:pPr>
            <w:r>
              <w:rPr>
                <w:rFonts w:ascii="Arial" w:cs="Arial" w:eastAsia="Arial" w:hAnsi="Arial"/>
                <w:sz w:val="18"/>
                <w:szCs w:val="18"/>
                <w:color w:val="auto"/>
              </w:rPr>
              <w:t>2022</w:t>
            </w:r>
          </w:p>
        </w:tc>
        <w:tc>
          <w:tcPr>
            <w:tcW w:w="10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gridSpan w:val="2"/>
          </w:tcPr>
          <w:p>
            <w:pPr>
              <w:jc w:val="right"/>
              <w:ind w:right="460"/>
              <w:spacing w:after="0" w:line="182" w:lineRule="exact"/>
              <w:rPr>
                <w:sz w:val="20"/>
                <w:szCs w:val="20"/>
                <w:color w:val="auto"/>
              </w:rPr>
            </w:pPr>
            <w:r>
              <w:rPr>
                <w:rFonts w:ascii="Arial" w:cs="Arial" w:eastAsia="Arial" w:hAnsi="Arial"/>
                <w:sz w:val="18"/>
                <w:szCs w:val="18"/>
                <w:b w:val="1"/>
                <w:bCs w:val="1"/>
                <w:color w:val="auto"/>
                <w:w w:val="94"/>
              </w:rPr>
              <w:t>2023</w:t>
            </w:r>
          </w:p>
        </w:tc>
        <w:tc>
          <w:tcPr>
            <w:tcW w:w="5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2"/>
          </w:tcPr>
          <w:p>
            <w:pPr>
              <w:jc w:val="right"/>
              <w:ind w:right="440"/>
              <w:spacing w:after="0" w:line="182" w:lineRule="exact"/>
              <w:rPr>
                <w:sz w:val="20"/>
                <w:szCs w:val="20"/>
                <w:color w:val="auto"/>
              </w:rPr>
            </w:pPr>
            <w:r>
              <w:rPr>
                <w:rFonts w:ascii="Arial" w:cs="Arial" w:eastAsia="Arial" w:hAnsi="Arial"/>
                <w:sz w:val="18"/>
                <w:szCs w:val="18"/>
                <w:color w:val="auto"/>
                <w:w w:val="94"/>
              </w:rPr>
              <w:t>2022</w:t>
            </w:r>
          </w:p>
        </w:tc>
        <w:tc>
          <w:tcPr>
            <w:tcW w:w="10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Pr>
          <w:p>
            <w:pPr>
              <w:ind w:left="20"/>
              <w:spacing w:after="0"/>
              <w:rPr>
                <w:sz w:val="20"/>
                <w:szCs w:val="20"/>
                <w:color w:val="auto"/>
              </w:rPr>
            </w:pPr>
            <w:r>
              <w:rPr>
                <w:rFonts w:ascii="Arial" w:cs="Arial" w:eastAsia="Arial" w:hAnsi="Arial"/>
                <w:sz w:val="18"/>
                <w:szCs w:val="18"/>
                <w:color w:val="auto"/>
              </w:rPr>
              <w:t>Revenue</w:t>
            </w:r>
          </w:p>
        </w:tc>
        <w:tc>
          <w:tcPr>
            <w:tcW w:w="44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17,687</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13,122</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35 %</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53,016</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42,498</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67,396</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62,053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202,748</w:t>
            </w:r>
          </w:p>
        </w:tc>
        <w:tc>
          <w:tcPr>
            <w:tcW w:w="5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188,110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Revenue classified in the Corporate and Other segment includes revenues from other products and services and hardware not specifically attributed to any of the other three segments. Revenue in the Corporate and Other</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segment increased 35% for the third quarter of fiscal 2023 compared to the equivalent quarter of the prior fiscal year. The increase quarter over quarter was primarily due to higher hardware revenues. Corporate and Other segment deconversion fee revenue did not significantly affect the Corporate and Other revenue increase quarter over quarter.</w:t>
      </w:r>
    </w:p>
    <w:p>
      <w:pPr>
        <w:spacing w:after="0" w:line="3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Cost of revenue for the Corporate and Other segment includes operating costs not directly attributable to any of the other three segments. The cost of revenue in the third quarter of fiscal 2023 increased 9% when compared to the prior fiscal year quarter primarily due to higher internal licenses and fees and cost of hardware. Corporate and Other segment deconversion fee and acquisition costs did not significantly affect the Corporate and Other cost of revenue increase quarter over quarter.</w:t>
      </w:r>
    </w:p>
    <w:p>
      <w:pPr>
        <w:spacing w:after="0" w:line="5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Revenue in the Corporate and Other segment increased 25% for the nine months ended March 31, 2023, compared to the equivalent period of the prior fiscal year. The increase period over period was primarily due to higher hardware revenues. Corporate and Other segment deconversion fee revenue did not significantly affect the Corporate and Other revenue increase period over period.</w:t>
      </w:r>
    </w:p>
    <w:p>
      <w:pPr>
        <w:spacing w:after="0" w:line="4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cost of revenue in the nine months ended March 31, 2023, increased 8% when compared to the prior fiscal year period primarily due to higher internal licenses and fees, personnel costs, including benefits expenses, and hardware costs. Corporate and Other segment deconversion fee and acquisition costs did not significantly affect the Corporate and Other cost of revenue increase period over period.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Company's cash and cash equivalents decreased to $26,552 at March 31, 2023, from $48,787 at June 30, 2022.</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360" w:type="dxa"/>
            <w:vAlign w:val="bottom"/>
          </w:tcPr>
          <w:p>
            <w:pPr>
              <w:spacing w:after="0"/>
              <w:rPr>
                <w:sz w:val="20"/>
                <w:szCs w:val="20"/>
                <w:color w:val="auto"/>
              </w:rPr>
            </w:pPr>
            <w:r>
              <w:rPr>
                <w:rFonts w:ascii="Arial" w:cs="Arial" w:eastAsia="Arial" w:hAnsi="Arial"/>
                <w:sz w:val="18"/>
                <w:szCs w:val="18"/>
                <w:color w:val="auto"/>
              </w:rPr>
              <w:t>The following table summarizes net cash from operating activities in the statement of cash flows: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28"/>
        </w:trPr>
        <w:tc>
          <w:tcPr>
            <w:tcW w:w="8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60" w:type="dxa"/>
            <w:vAlign w:val="bottom"/>
            <w:gridSpan w:val="4"/>
          </w:tcPr>
          <w:p>
            <w:pPr>
              <w:jc w:val="right"/>
              <w:ind w:right="550"/>
              <w:spacing w:after="0"/>
              <w:rPr>
                <w:sz w:val="20"/>
                <w:szCs w:val="20"/>
                <w:color w:val="auto"/>
              </w:rPr>
            </w:pPr>
            <w:r>
              <w:rPr>
                <w:rFonts w:ascii="Arial" w:cs="Arial" w:eastAsia="Arial" w:hAnsi="Arial"/>
                <w:sz w:val="18"/>
                <w:szCs w:val="18"/>
                <w:color w:val="auto"/>
              </w:rPr>
              <w:t>Nine Months Ended</w:t>
            </w:r>
          </w:p>
        </w:tc>
      </w:tr>
      <w:tr>
        <w:trPr>
          <w:trHeight w:val="235"/>
        </w:trPr>
        <w:tc>
          <w:tcPr>
            <w:tcW w:w="83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March 31,</w:t>
            </w:r>
          </w:p>
        </w:tc>
        <w:tc>
          <w:tcPr>
            <w:tcW w:w="960" w:type="dxa"/>
            <w:vAlign w:val="bottom"/>
            <w:tcBorders>
              <w:bottom w:val="single" w:sz="8" w:color="auto"/>
            </w:tcBorders>
          </w:tcPr>
          <w:p>
            <w:pPr>
              <w:spacing w:after="0"/>
              <w:rPr>
                <w:sz w:val="20"/>
                <w:szCs w:val="20"/>
                <w:color w:val="auto"/>
              </w:rPr>
            </w:pPr>
          </w:p>
        </w:tc>
      </w:tr>
      <w:tr>
        <w:trPr>
          <w:trHeight w:val="223"/>
        </w:trPr>
        <w:tc>
          <w:tcPr>
            <w:tcW w:w="83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r>
      <w:tr>
        <w:trPr>
          <w:trHeight w:val="223"/>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268,873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282,490</w:t>
            </w: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Non-cash expenses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120,204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168,187</w:t>
            </w: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receivables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110,686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83,868</w:t>
            </w: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Change in deferred revenue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(184,130)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(177,987)</w:t>
            </w: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other assets and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(108,602)</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(55,161)</w:t>
            </w:r>
          </w:p>
        </w:tc>
      </w:tr>
      <w:tr>
        <w:trPr>
          <w:trHeight w:val="223"/>
        </w:trPr>
        <w:tc>
          <w:tcPr>
            <w:tcW w:w="836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207,031</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301,397</w:t>
            </w:r>
          </w:p>
        </w:tc>
      </w:tr>
      <w:tr>
        <w:trPr>
          <w:trHeight w:val="20"/>
        </w:trPr>
        <w:tc>
          <w:tcPr>
            <w:tcW w:w="8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Cash provided by operating activities for the first nine months of fiscal 2023 decreased 31% compared to the same period last year partially due to higher cash taxes paid in the current year related to tax law changes requiring capitalization of research and development and software development costs for tax purposes as well as higher year to date prepaid expenses due to timing. Cash from operations is primarily used to repay debt, pay dividends, repurchase stock, for capital expenditures, and acquisitions.</w:t>
      </w:r>
    </w:p>
    <w:p>
      <w:pPr>
        <w:spacing w:after="0" w:line="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Cash used in investing activities for the first nine months of fiscal 2023 totaled $ 355,561 and included: $229,628 for an acquisition; $124,110 for the ongoing enhancements and development of existing and new product and service offerings; capital expenditures on facilities and equipment of $27,237; $1,471 for the purchase and development of internal use software, and $1,000 for the purchase of a certificate of deposit. Cash uses were partially offset by proceeds from the sale of assets of $27,885. Cash used in investing activities for the first nine months of fiscal 2022 totaled $145,024 and included $108,950 for the development of software; capital expenditures of $28,386; and $7,726 for the purchase and development of internal use software. Cash uses were partially offset by proceeds from the sale of assets of $38.</w:t>
      </w:r>
    </w:p>
    <w:p>
      <w:pPr>
        <w:spacing w:after="0" w:line="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Financing activities provided cash of $126,295 for the first nine months of fiscal 2023 and included borrowings on credit facilities of $ 550,000 and $ 700 net cash inflow from the issuance of stock and tax withholding related to stock-based compensation. Provided cash was partially offset by payments on credit facilities and financing leases of $290,059, dividends paid to stockholders of $109,346, and purchases of treasury stock of $ 25,000. Financing activities used cash of $167,568 in the first nine months of fiscal 2022 including purchases of treasury stock of $193,916, repayments on credit facilities and financing leases of $167,091, and $103,376 for the payment of dividends. These uses of cash were partially offset by borrowings on credit facilities of $292,000 and $4,815 net cash inflow from the issuance of stock and tax withholding related to stock-based compensation.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Capital Requirements and Resources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generally uses existing resources and funds generated from operations to meet its capital requirements. Capital expenditures totaling $27,237 and $28,386 for the nine months ended March 31, 2023, and March 31, 2022, respectively, were made primarily for additional equipment and the improvement of existing facilities. These additions were funded from cash generated by operations. Total consolidated capital expenditures on facilities and equipment for the Company for fiscal year 2023 are expected to be approximately $41,000 and have been or will be funded from our credit facilities and cash generated by operations.</w:t>
      </w:r>
    </w:p>
    <w:p>
      <w:pPr>
        <w:spacing w:after="0" w:line="4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On August 31, 2022, the Company acquired all of the equity interest in Payrailz, LLC ("Payrailz"). The final purchase price, following customary post-closing adjustments to the extent actual closing date working capital, cash, debt, and unpaid seller transaction expenses exceeded or were less than the amounts estimated at closing, was $230,205. Pursuant to the merger agreement for the transaction, $48,500 of the purchase price was placed in an escrow account at the closing, consisting of $2,500 for any final purchase price adjustments owed by the sellers, which amount was released to the sellers on December 15, 2022, in connection with post-closing adjustments, and $46,000 for indemnification matters under the merger agreement.</w:t>
      </w:r>
    </w:p>
    <w:p>
      <w:pPr>
        <w:spacing w:after="0" w:line="5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primary reason for the acquisition was to expand the Company's digital financial management solutions and the purchase was funded by our revolving line of credit and cash generated from operations. Payrailz provides cloud-native, API-first, AI-enabled consumer and commercial digital payment solutions and experiences that enable money to be moved in the moment of need.</w:t>
      </w:r>
    </w:p>
    <w:p>
      <w:pPr>
        <w:spacing w:after="0" w:line="4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September 29, 2022, the Company entered into an agreement with Twilio Inc., which added contractual spend obligations for the period October 1, 2022, through September 30, 2027, of $16,350. This commitment is in addition to the commitments discussed in our Annual Report on Form 10-K for the year ended June 30, 2022.</w:t>
      </w:r>
    </w:p>
    <w:p>
      <w:pPr>
        <w:spacing w:after="0" w:line="3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December 27, 2022, the Company renewed an agreement with Microsoft, Inc., which added contractual spend obligations for the period January 1, 2023, through June 30, 2026, of $20,000 for Microsoft Azure Cloud services, and added contractual spend obligations for the period January 1, 2023, through June 30, 2026, of $49,000 for Server and Application licensing under the Microsoft Server and Cloud Enrollment Program.</w:t>
      </w:r>
    </w:p>
    <w:p>
      <w:pPr>
        <w:spacing w:after="0" w:line="5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Board of Directors has authorized the Company to repurchase shares of its common stock. Under this authorization, the Company may finance its share repurchases with available cash reserves or borrowings on its existing line of credit. The share repurchase program does not include specific price targets or timetables and may be suspended at any time. At March 31, 2023, there were 31,194 shares in treasury stock and the Company had the remaining authority to repurchase up to 3,796 additional shares. The total cost of treasury shares at March 31, 2023, was $ 1,832,118. During the first nine months of fiscal 2023, the Company repurchased 151 shares. At June 30, 2022, there were 31,043 shares in treasury stock and the Company had the remaining authority to repurchase up to 3,948 additional shares. The total cost of treasury shares at June 30, 2022, was $1,807,118. During the first nine months of fiscal 2022, the Company repurchased 1,250 shares.</w:t>
      </w:r>
    </w:p>
    <w:p>
      <w:pPr>
        <w:spacing w:after="0" w:line="2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August 16, 2022, the Inflation Reduction Act of 2022 (“IRA”) was signed into law. The IRA made several changes to the U.S. tax code including, but not limited to, a 1% excise tax on net stock repurchases and tax incentives to promote clean energy. The Company does not expect the IRA to have a material impact on its financial statements.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facilities</w:t>
      </w:r>
    </w:p>
    <w:p>
      <w:pPr>
        <w:spacing w:after="0" w:line="1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On August 31, 2022, the Company entered into a five-year senior, unsecured amended and restated credit agreement that replaced the prior credit agreement described below. The credit agreement allows for borrowings of up to $600,000, which may be increased by the Company to $1,000,000 at any time until maturity. The credit agreement bears interest at a variable rate equal to (a) a rate based on an adjusted Secured Overnight Financing Rate ("SOFR") term rate or (b) an alternate base rate (the highest of (i) 0%, (ii) the Prime Rate for such day, (iii) the sum of the Federal Funds Effective Rate for such day </w:t>
      </w:r>
      <w:r>
        <w:rPr>
          <w:rFonts w:ascii="Arial" w:cs="Arial" w:eastAsia="Arial" w:hAnsi="Arial"/>
          <w:sz w:val="18"/>
          <w:szCs w:val="18"/>
          <w:i w:val="1"/>
          <w:iCs w:val="1"/>
          <w:color w:val="auto"/>
        </w:rPr>
        <w:t>plus</w:t>
      </w:r>
      <w:r>
        <w:rPr>
          <w:rFonts w:ascii="Arial" w:cs="Arial" w:eastAsia="Arial" w:hAnsi="Arial"/>
          <w:sz w:val="18"/>
          <w:szCs w:val="18"/>
          <w:color w:val="auto"/>
        </w:rPr>
        <w:t xml:space="preserve"> 0.50% per annum and (iv) the Adjusted Term SOFR Screen Rate (without giving effect to the Applicable Margin) for a one month Interest Period on such day for Dollars </w:t>
      </w:r>
      <w:r>
        <w:rPr>
          <w:rFonts w:ascii="Arial" w:cs="Arial" w:eastAsia="Arial" w:hAnsi="Arial"/>
          <w:sz w:val="18"/>
          <w:szCs w:val="18"/>
          <w:i w:val="1"/>
          <w:iCs w:val="1"/>
          <w:color w:val="auto"/>
        </w:rPr>
        <w:t>plus</w:t>
      </w:r>
      <w:r>
        <w:rPr>
          <w:rFonts w:ascii="Arial" w:cs="Arial" w:eastAsia="Arial" w:hAnsi="Arial"/>
          <w:sz w:val="18"/>
          <w:szCs w:val="18"/>
          <w:color w:val="auto"/>
        </w:rPr>
        <w:t xml:space="preserve"> 1.0%), plus an applicable percentage in each case determined by the Company's leverage ratio. The credit agreement is guaranteed by certain subsidiaries of the Company and is subject to various financial covenants that require the Company to maintain certain financial ratios as defined in the credit agreement. As of March 31, 2023, the Company was in compliance with all such covenants. The amended and restated credit facility terminates August 31, 2027. There was $375,000 outstanding under the amended and restated credit facility at March 31, 2023.</w:t>
      </w:r>
    </w:p>
    <w:p>
      <w:pPr>
        <w:spacing w:after="0" w:line="5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On June 30, 2022, there was a $115,000 outstanding balance on the prior credit facility that was entered into on February 10, 2020. The prior credit facility was a five-year senior, unsecured revolving credit facility. The credit facility allowed for borrowings of up to $300,000, which could be increased by the Company to $700,000 at any time until maturity. The prior credit facility bore interest at a variable rate equal to (a) a rate based on a eurocurrency rate</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8" w:name="page29"/>
    <w:bookmarkEnd w:id="28"/>
    <w:p>
      <w:pPr>
        <w:jc w:val="both"/>
        <w:spacing w:after="0" w:line="245" w:lineRule="auto"/>
        <w:rPr>
          <w:sz w:val="20"/>
          <w:szCs w:val="20"/>
          <w:color w:val="auto"/>
        </w:rPr>
      </w:pPr>
      <w:r>
        <w:rPr>
          <w:rFonts w:ascii="Arial" w:cs="Arial" w:eastAsia="Arial" w:hAnsi="Arial"/>
          <w:sz w:val="18"/>
          <w:szCs w:val="18"/>
          <w:color w:val="auto"/>
        </w:rPr>
        <w:t xml:space="preserve">or (b) an alternate base rate (the highest of (i) 0%, (ii) the U.S. Bank prime rate for such day, (iii) the sum of the Federal Funds Effective Rate for such day plus 0.50% and (iv) the eurocurrency rate for a one-month interest period on such day for dollars </w:t>
      </w:r>
      <w:r>
        <w:rPr>
          <w:rFonts w:ascii="Arial" w:cs="Arial" w:eastAsia="Arial" w:hAnsi="Arial"/>
          <w:sz w:val="18"/>
          <w:szCs w:val="18"/>
          <w:i w:val="1"/>
          <w:iCs w:val="1"/>
          <w:color w:val="auto"/>
        </w:rPr>
        <w:t>plus</w:t>
      </w:r>
      <w:r>
        <w:rPr>
          <w:rFonts w:ascii="Arial" w:cs="Arial" w:eastAsia="Arial" w:hAnsi="Arial"/>
          <w:sz w:val="18"/>
          <w:szCs w:val="18"/>
          <w:color w:val="auto"/>
        </w:rPr>
        <w:t xml:space="preserve"> 1.0%), plus an applicable</w:t>
      </w:r>
    </w:p>
    <w:p>
      <w:pPr>
        <w:jc w:val="both"/>
        <w:spacing w:after="0" w:line="226" w:lineRule="auto"/>
        <w:rPr>
          <w:sz w:val="20"/>
          <w:szCs w:val="20"/>
          <w:color w:val="auto"/>
        </w:rPr>
      </w:pPr>
      <w:r>
        <w:rPr>
          <w:rFonts w:ascii="Arial" w:cs="Arial" w:eastAsia="Arial" w:hAnsi="Arial"/>
          <w:sz w:val="18"/>
          <w:szCs w:val="18"/>
          <w:color w:val="auto"/>
        </w:rPr>
        <w:t>percentage in each case determined by the Company's leverage ratio. The prior credit facility was guaranteed by certain subsidiaries of the Company and was subject to various financial covenants that required the Company to maintain certain financial ratios as defined in the prior</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credit agreement. As of June 30, 2022, the Company was in compliance with all such covenants. The prior credit facility's termination date was February 10, 2025.</w:t>
      </w:r>
    </w:p>
    <w:p>
      <w:pPr>
        <w:spacing w:after="0" w:line="2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increase in the outstanding credit facility balance of $260,000 at March 31, 2023, compared to June 30, 2022, was primarily due to the acquisition of Payrailz and the increase in cash taxes paid during the nine months ended March 31, 2023. This borrowing, along with recent increases in prevailing interest rates, is expected to contribute to increased interest expense during fiscal 2023, and until our outstanding balances are reduced.</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lines of credit</w:t>
      </w:r>
    </w:p>
    <w:p>
      <w:pPr>
        <w:spacing w:after="0" w:line="10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has an unsecured bank credit line which provides for funding of up to $5,000 and bears interest at the prime rate less 1%. The credit line expires on April 30, 2024. There was no balance outstanding at March 31, 2023, or June 30, 2022.</w:t>
      </w:r>
    </w:p>
    <w:p>
      <w:pPr>
        <w:spacing w:after="0" w:line="180" w:lineRule="exact"/>
        <w:rPr>
          <w:sz w:val="20"/>
          <w:szCs w:val="20"/>
          <w:color w:val="auto"/>
        </w:rPr>
      </w:pPr>
    </w:p>
    <w:p>
      <w:pPr>
        <w:ind w:right="4240"/>
        <w:spacing w:after="0" w:line="352" w:lineRule="auto"/>
        <w:rPr>
          <w:sz w:val="20"/>
          <w:szCs w:val="20"/>
          <w:color w:val="auto"/>
        </w:rPr>
      </w:pPr>
      <w:r>
        <w:rPr>
          <w:rFonts w:ascii="Arial" w:cs="Arial" w:eastAsia="Arial" w:hAnsi="Arial"/>
          <w:sz w:val="18"/>
          <w:szCs w:val="18"/>
          <w:b w:val="1"/>
          <w:bCs w:val="1"/>
          <w:color w:val="auto"/>
        </w:rPr>
        <w:t xml:space="preserve">ITEM 3. QUANTITATIVE AND QUALITATIVE DISCLOSURES ABOUT MARKET RISK </w:t>
      </w:r>
      <w:r>
        <w:rPr>
          <w:rFonts w:ascii="Arial" w:cs="Arial" w:eastAsia="Arial" w:hAnsi="Arial"/>
          <w:sz w:val="18"/>
          <w:szCs w:val="18"/>
          <w:color w:val="auto"/>
        </w:rPr>
        <w:t>Dollar amounts in this item are in thousands.</w:t>
      </w:r>
    </w:p>
    <w:p>
      <w:pPr>
        <w:jc w:val="both"/>
        <w:spacing w:after="0" w:line="259" w:lineRule="auto"/>
        <w:rPr>
          <w:sz w:val="20"/>
          <w:szCs w:val="20"/>
          <w:color w:val="auto"/>
        </w:rPr>
      </w:pPr>
      <w:r>
        <w:rPr>
          <w:rFonts w:ascii="Arial" w:cs="Arial" w:eastAsia="Arial" w:hAnsi="Arial"/>
          <w:sz w:val="18"/>
          <w:szCs w:val="18"/>
          <w:color w:val="auto"/>
        </w:rPr>
        <w:t>Market risk refers to the risk that a change in the level of one or more market prices, interest rates, indices, volatilities, correlations or other market factors such as liquidity, will result in losses for a certain financial instrument or group of financial instruments. We are currently exposed to credit risk on credit extended to customers and at times are exposed to interest rate risk on outstanding debt. We do not currently use any derivative financial instruments. We actively monitor these risks through a variety of controlled procedures involving senior management.</w:t>
      </w:r>
    </w:p>
    <w:p>
      <w:pPr>
        <w:spacing w:after="0" w:line="4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Based on the controls in place and the credit worthiness of the customer base, we believe the credit risk associated with the extension of credit to our customers will not have a material adverse effect on our consolidated financial position, results of operations, or cash flows.</w:t>
      </w:r>
    </w:p>
    <w:p>
      <w:pPr>
        <w:spacing w:after="0" w:line="3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We had $375,000 outstanding debt with variable interest rates as of March 31, 2023, and a 1% increase in our borrowing rate would increase our annual interest expense by $3,750.</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the end of the period covered by this Quarterly Report on Form 10-Q, an evaluation was carried out under the supervision and with the participation of our management, including the Company's Chief Executive Officer ("CEO") and Chief Financial Officer ("CFO"), of the effectiveness of the design and operation of our disclosure controls and procedures as defined in Exchange Act Rules 13a-15(e) and 15d-15(e). Based upon that evaluation (required in Exchange Act Rules 13a-15(b) and 15d-15(b)), the CEO and CFO concluded that our disclosure controls and procedures are effective to provide reasonable assurance that information we are required to disclose in reports that we file or submit under the Exchange Act is recorded, processed, summarized and reported within the time periods specified in SEC rules and forms. For this purpose, disclosure controls and procedures include controls and procedures designed to ensure that information required to be disclosed under the Exchange Act is accumulated and communicated to the Company's management, including the CEO and CFO, as appropriate, to allow timely decisions regarding required disclosure.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fiscal quarter ended March 31, 2023, there were no changes in internal control over financial reporting which were identified in connection with management’s evaluation required by Rules 13a-15(d) and 15d-15(d) under the Exchange Act, that have materially affected, or are reasonably likely to materially affect, the Company’s internal control over financial reporting.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w:t>
        <w:tab/>
        <w:t>LEGAL PROCEEDINGS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subject to various routine legal proceedings and claims arising in the ordinary course of our business. In the opinion of management, any liabilities resulting from current lawsuits are not expected, either individually or in the aggregate, to have a material adverse effect on our consolidated financial statements. In accordance with U.S. GAAP, we record a liability when it is both probable that a liability has been incurred and the amount of the loss can be reasonably estimated. These liabilities are reviewed at least quarterly and adjusted to reflect the impacts of negotiations, settlements, rulings, advice of legal counsel, and other information and events pertaining to a particular case or proceeding.</w:t>
      </w:r>
    </w:p>
    <w:p>
      <w:pPr>
        <w:spacing w:after="0" w:line="11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2.</w:t>
        <w:tab/>
        <w:t>UNREGISTERED SALES OF EQUITY SECURITIES AND USE OF PROCEEDS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shares of the Company were repurchased during the quarter ended March 31, 2023:</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60" w:type="dxa"/>
            <w:vAlign w:val="bottom"/>
          </w:tcPr>
          <w:p>
            <w:pPr>
              <w:spacing w:after="0"/>
              <w:rPr>
                <w:sz w:val="17"/>
                <w:szCs w:val="17"/>
                <w:color w:val="auto"/>
              </w:rPr>
            </w:pPr>
          </w:p>
        </w:tc>
        <w:tc>
          <w:tcPr>
            <w:tcW w:w="164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8"/>
              </w:rPr>
              <w:t>Total Number of</w:t>
            </w:r>
          </w:p>
        </w:tc>
        <w:tc>
          <w:tcPr>
            <w:tcW w:w="160" w:type="dxa"/>
            <w:vAlign w:val="bottom"/>
          </w:tcPr>
          <w:p>
            <w:pPr>
              <w:spacing w:after="0"/>
              <w:rPr>
                <w:sz w:val="17"/>
                <w:szCs w:val="17"/>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8"/>
              </w:rPr>
              <w:t>Average</w:t>
            </w:r>
          </w:p>
        </w:tc>
        <w:tc>
          <w:tcPr>
            <w:tcW w:w="23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Total Number of Shares</w:t>
            </w:r>
          </w:p>
        </w:tc>
        <w:tc>
          <w:tcPr>
            <w:tcW w:w="24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Maximum Number of Shares</w:t>
            </w:r>
          </w:p>
        </w:tc>
        <w:tc>
          <w:tcPr>
            <w:tcW w:w="0" w:type="dxa"/>
            <w:vAlign w:val="bottom"/>
          </w:tcPr>
          <w:p>
            <w:pPr>
              <w:spacing w:after="0"/>
              <w:rPr>
                <w:sz w:val="1"/>
                <w:szCs w:val="1"/>
                <w:color w:val="auto"/>
              </w:rPr>
            </w:pPr>
          </w:p>
        </w:tc>
      </w:tr>
      <w:tr>
        <w:trPr>
          <w:trHeight w:val="181"/>
        </w:trPr>
        <w:tc>
          <w:tcPr>
            <w:tcW w:w="3560" w:type="dxa"/>
            <w:vAlign w:val="bottom"/>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320" w:type="dxa"/>
            <w:vAlign w:val="bottom"/>
            <w:gridSpan w:val="2"/>
          </w:tcPr>
          <w:p>
            <w:pPr>
              <w:jc w:val="center"/>
              <w:ind w:right="100"/>
              <w:spacing w:after="0" w:line="181" w:lineRule="exact"/>
              <w:rPr>
                <w:sz w:val="20"/>
                <w:szCs w:val="20"/>
                <w:color w:val="auto"/>
              </w:rPr>
            </w:pPr>
            <w:r>
              <w:rPr>
                <w:rFonts w:ascii="Arial" w:cs="Arial" w:eastAsia="Arial" w:hAnsi="Arial"/>
                <w:sz w:val="18"/>
                <w:szCs w:val="18"/>
                <w:b w:val="1"/>
                <w:bCs w:val="1"/>
                <w:color w:val="auto"/>
                <w:w w:val="99"/>
              </w:rPr>
              <w:t>Purchased as Part of</w:t>
            </w:r>
          </w:p>
        </w:tc>
        <w:tc>
          <w:tcPr>
            <w:tcW w:w="2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560" w:type="dxa"/>
            <w:vAlign w:val="bottom"/>
          </w:tcPr>
          <w:p>
            <w:pPr>
              <w:spacing w:after="0"/>
              <w:rPr>
                <w:sz w:val="16"/>
                <w:szCs w:val="16"/>
                <w:color w:val="auto"/>
              </w:rPr>
            </w:pPr>
          </w:p>
        </w:tc>
        <w:tc>
          <w:tcPr>
            <w:tcW w:w="1640" w:type="dxa"/>
            <w:vAlign w:val="bottom"/>
            <w:gridSpan w:val="2"/>
          </w:tcPr>
          <w:p>
            <w:pPr>
              <w:jc w:val="center"/>
              <w:ind w:right="120"/>
              <w:spacing w:after="0" w:line="189" w:lineRule="exact"/>
              <w:rPr>
                <w:sz w:val="20"/>
                <w:szCs w:val="20"/>
                <w:color w:val="auto"/>
              </w:rPr>
            </w:pPr>
            <w:r>
              <w:rPr>
                <w:rFonts w:ascii="Arial" w:cs="Arial" w:eastAsia="Arial" w:hAnsi="Arial"/>
                <w:sz w:val="18"/>
                <w:szCs w:val="18"/>
                <w:b w:val="1"/>
                <w:bCs w:val="1"/>
                <w:color w:val="auto"/>
                <w:w w:val="99"/>
              </w:rPr>
              <w:t>Shares</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line="189" w:lineRule="exact"/>
              <w:rPr>
                <w:sz w:val="20"/>
                <w:szCs w:val="20"/>
                <w:color w:val="auto"/>
              </w:rPr>
            </w:pPr>
            <w:r>
              <w:rPr>
                <w:rFonts w:ascii="Arial" w:cs="Arial" w:eastAsia="Arial" w:hAnsi="Arial"/>
                <w:sz w:val="18"/>
                <w:szCs w:val="18"/>
                <w:b w:val="1"/>
                <w:bCs w:val="1"/>
                <w:color w:val="auto"/>
                <w:w w:val="99"/>
              </w:rPr>
              <w:t>Price of</w:t>
            </w:r>
          </w:p>
        </w:tc>
        <w:tc>
          <w:tcPr>
            <w:tcW w:w="2320" w:type="dxa"/>
            <w:vAlign w:val="bottom"/>
            <w:gridSpan w:val="2"/>
          </w:tcPr>
          <w:p>
            <w:pPr>
              <w:jc w:val="center"/>
              <w:ind w:right="100"/>
              <w:spacing w:after="0" w:line="189" w:lineRule="exact"/>
              <w:rPr>
                <w:sz w:val="20"/>
                <w:szCs w:val="20"/>
                <w:color w:val="auto"/>
              </w:rPr>
            </w:pPr>
            <w:r>
              <w:rPr>
                <w:rFonts w:ascii="Arial" w:cs="Arial" w:eastAsia="Arial" w:hAnsi="Arial"/>
                <w:sz w:val="18"/>
                <w:szCs w:val="18"/>
                <w:b w:val="1"/>
                <w:bCs w:val="1"/>
                <w:color w:val="auto"/>
              </w:rPr>
              <w:t>Publicly Announced</w:t>
            </w:r>
          </w:p>
        </w:tc>
        <w:tc>
          <w:tcPr>
            <w:tcW w:w="248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9"/>
              </w:rPr>
              <w:t>that May Yet Be Purchased</w:t>
            </w:r>
          </w:p>
        </w:tc>
        <w:tc>
          <w:tcPr>
            <w:tcW w:w="0" w:type="dxa"/>
            <w:vAlign w:val="bottom"/>
          </w:tcPr>
          <w:p>
            <w:pPr>
              <w:spacing w:after="0"/>
              <w:rPr>
                <w:sz w:val="1"/>
                <w:szCs w:val="1"/>
                <w:color w:val="auto"/>
              </w:rPr>
            </w:pPr>
          </w:p>
        </w:tc>
      </w:tr>
      <w:tr>
        <w:trPr>
          <w:trHeight w:val="321"/>
        </w:trPr>
        <w:tc>
          <w:tcPr>
            <w:tcW w:w="3560" w:type="dxa"/>
            <w:vAlign w:val="bottom"/>
          </w:tcPr>
          <w:p>
            <w:pPr>
              <w:spacing w:after="0"/>
              <w:rPr>
                <w:sz w:val="24"/>
                <w:szCs w:val="24"/>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Purchased</w:t>
            </w:r>
          </w:p>
        </w:tc>
        <w:tc>
          <w:tcPr>
            <w:tcW w:w="160" w:type="dxa"/>
            <w:vAlign w:val="bottom"/>
          </w:tcPr>
          <w:p>
            <w:pPr>
              <w:spacing w:after="0"/>
              <w:rPr>
                <w:sz w:val="24"/>
                <w:szCs w:val="2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Share</w:t>
            </w:r>
          </w:p>
        </w:tc>
        <w:tc>
          <w:tcPr>
            <w:tcW w:w="23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9"/>
              </w:rPr>
              <w:t>Plans</w:t>
            </w:r>
          </w:p>
        </w:tc>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5"/>
              </w:rPr>
              <w:t xml:space="preserve">Under the Plans </w:t>
            </w:r>
            <w:r>
              <w:rPr>
                <w:rFonts w:ascii="Arial" w:cs="Arial" w:eastAsia="Arial" w:hAnsi="Arial"/>
                <w:sz w:val="23"/>
                <w:szCs w:val="23"/>
                <w:b w:val="1"/>
                <w:bCs w:val="1"/>
                <w:color w:val="auto"/>
                <w:w w:val="95"/>
                <w:vertAlign w:val="superscript"/>
              </w:rPr>
              <w:t>(1)</w:t>
            </w:r>
          </w:p>
        </w:tc>
        <w:tc>
          <w:tcPr>
            <w:tcW w:w="0" w:type="dxa"/>
            <w:vAlign w:val="bottom"/>
          </w:tcPr>
          <w:p>
            <w:pPr>
              <w:spacing w:after="0"/>
              <w:rPr>
                <w:sz w:val="1"/>
                <w:szCs w:val="1"/>
                <w:color w:val="auto"/>
              </w:rPr>
            </w:pPr>
          </w:p>
        </w:tc>
      </w:tr>
      <w:tr>
        <w:trPr>
          <w:trHeight w:val="226"/>
        </w:trPr>
        <w:tc>
          <w:tcPr>
            <w:tcW w:w="3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January 1 - January 31, 2023</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3,947,713</w:t>
            </w:r>
          </w:p>
        </w:tc>
        <w:tc>
          <w:tcPr>
            <w:tcW w:w="0" w:type="dxa"/>
            <w:vAlign w:val="bottom"/>
          </w:tcPr>
          <w:p>
            <w:pPr>
              <w:spacing w:after="0"/>
              <w:rPr>
                <w:sz w:val="1"/>
                <w:szCs w:val="1"/>
                <w:color w:val="auto"/>
              </w:rPr>
            </w:pPr>
          </w:p>
        </w:tc>
      </w:tr>
      <w:tr>
        <w:trPr>
          <w:trHeight w:val="229"/>
        </w:trPr>
        <w:tc>
          <w:tcPr>
            <w:tcW w:w="3560" w:type="dxa"/>
            <w:vAlign w:val="bottom"/>
          </w:tcPr>
          <w:p>
            <w:pPr>
              <w:ind w:left="20"/>
              <w:spacing w:after="0"/>
              <w:rPr>
                <w:sz w:val="20"/>
                <w:szCs w:val="20"/>
                <w:color w:val="auto"/>
              </w:rPr>
            </w:pPr>
            <w:r>
              <w:rPr>
                <w:rFonts w:ascii="Arial" w:cs="Arial" w:eastAsia="Arial" w:hAnsi="Arial"/>
                <w:sz w:val="18"/>
                <w:szCs w:val="18"/>
                <w:b w:val="1"/>
                <w:bCs w:val="1"/>
                <w:color w:val="auto"/>
              </w:rPr>
              <w:t>February 1 - February 28, 2023</w:t>
            </w:r>
          </w:p>
        </w:tc>
        <w:tc>
          <w:tcPr>
            <w:tcW w:w="1520" w:type="dxa"/>
            <w:vAlign w:val="bottom"/>
          </w:tcPr>
          <w:p>
            <w:pPr>
              <w:jc w:val="right"/>
              <w:spacing w:after="0"/>
              <w:rPr>
                <w:sz w:val="20"/>
                <w:szCs w:val="20"/>
                <w:color w:val="auto"/>
              </w:rPr>
            </w:pPr>
            <w:r>
              <w:rPr>
                <w:rFonts w:ascii="Arial" w:cs="Arial" w:eastAsia="Arial" w:hAnsi="Arial"/>
                <w:sz w:val="18"/>
                <w:szCs w:val="18"/>
                <w:color w:val="auto"/>
              </w:rPr>
              <w:t>116,768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171.28</w:t>
            </w:r>
          </w:p>
        </w:tc>
        <w:tc>
          <w:tcPr>
            <w:tcW w:w="10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116,768</w:t>
            </w:r>
          </w:p>
        </w:tc>
        <w:tc>
          <w:tcPr>
            <w:tcW w:w="100" w:type="dxa"/>
            <w:vAlign w:val="bottom"/>
          </w:tcPr>
          <w:p>
            <w:pPr>
              <w:spacing w:after="0"/>
              <w:rPr>
                <w:sz w:val="19"/>
                <w:szCs w:val="19"/>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3,830,945</w:t>
            </w: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March 1 - March 31, 2023</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34,680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144.15</w:t>
            </w: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34,680</w:t>
            </w:r>
          </w:p>
        </w:tc>
        <w:tc>
          <w:tcPr>
            <w:tcW w:w="100" w:type="dxa"/>
            <w:vAlign w:val="bottom"/>
            <w:shd w:val="clear" w:color="auto" w:fill="CCEEFF"/>
          </w:tcPr>
          <w:p>
            <w:pPr>
              <w:spacing w:after="0"/>
              <w:rPr>
                <w:sz w:val="19"/>
                <w:szCs w:val="19"/>
                <w:color w:val="auto"/>
              </w:rPr>
            </w:pP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3,796,265</w:t>
            </w:r>
          </w:p>
        </w:tc>
        <w:tc>
          <w:tcPr>
            <w:tcW w:w="0" w:type="dxa"/>
            <w:vAlign w:val="bottom"/>
          </w:tcPr>
          <w:p>
            <w:pPr>
              <w:spacing w:after="0"/>
              <w:rPr>
                <w:sz w:val="1"/>
                <w:szCs w:val="1"/>
                <w:color w:val="auto"/>
              </w:rPr>
            </w:pPr>
          </w:p>
        </w:tc>
      </w:tr>
      <w:tr>
        <w:trPr>
          <w:trHeight w:val="247"/>
        </w:trPr>
        <w:tc>
          <w:tcPr>
            <w:tcW w:w="356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151,448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165.07</w:t>
            </w:r>
          </w:p>
        </w:tc>
        <w:tc>
          <w:tcPr>
            <w:tcW w:w="100" w:type="dxa"/>
            <w:vAlign w:val="bottom"/>
          </w:tcPr>
          <w:p>
            <w:pPr>
              <w:spacing w:after="0"/>
              <w:rPr>
                <w:sz w:val="21"/>
                <w:szCs w:val="21"/>
                <w:color w:val="auto"/>
              </w:rPr>
            </w:pPr>
          </w:p>
        </w:tc>
        <w:tc>
          <w:tcPr>
            <w:tcW w:w="2220" w:type="dxa"/>
            <w:vAlign w:val="bottom"/>
          </w:tcPr>
          <w:p>
            <w:pPr>
              <w:jc w:val="right"/>
              <w:spacing w:after="0"/>
              <w:rPr>
                <w:sz w:val="20"/>
                <w:szCs w:val="20"/>
                <w:color w:val="auto"/>
              </w:rPr>
            </w:pPr>
            <w:r>
              <w:rPr>
                <w:rFonts w:ascii="Arial" w:cs="Arial" w:eastAsia="Arial" w:hAnsi="Arial"/>
                <w:sz w:val="18"/>
                <w:szCs w:val="18"/>
                <w:b w:val="1"/>
                <w:bCs w:val="1"/>
                <w:color w:val="auto"/>
              </w:rPr>
              <w:t>151,448</w:t>
            </w:r>
          </w:p>
        </w:tc>
        <w:tc>
          <w:tcPr>
            <w:tcW w:w="100" w:type="dxa"/>
            <w:vAlign w:val="bottom"/>
          </w:tcPr>
          <w:p>
            <w:pPr>
              <w:spacing w:after="0"/>
              <w:rPr>
                <w:sz w:val="21"/>
                <w:szCs w:val="21"/>
                <w:color w:val="auto"/>
              </w:rPr>
            </w:pP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3,796,265</w:t>
            </w: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firstLine="8"/>
        <w:spacing w:after="0" w:line="238" w:lineRule="auto"/>
        <w:tabs>
          <w:tab w:leader="none" w:pos="197" w:val="left"/>
        </w:tabs>
        <w:numPr>
          <w:ilvl w:val="0"/>
          <w:numId w:val="3"/>
        </w:numPr>
        <w:rPr>
          <w:rFonts w:ascii="Arial" w:cs="Arial" w:eastAsia="Arial" w:hAnsi="Arial"/>
          <w:sz w:val="21"/>
          <w:szCs w:val="21"/>
          <w:color w:val="auto"/>
          <w:vertAlign w:val="superscript"/>
        </w:rPr>
      </w:pPr>
      <w:r>
        <w:rPr>
          <w:rFonts w:ascii="Arial" w:cs="Arial" w:eastAsia="Arial" w:hAnsi="Arial"/>
          <w:sz w:val="16"/>
          <w:szCs w:val="16"/>
          <w:color w:val="auto"/>
        </w:rPr>
        <w:t>Total stock repurchase authorizations approved by the Company's Board of Directors as of May 14, 2021, were for 35,000,000 shares. Under these authorizations, the Company has repurchased and not re-issued 31,194,351 shares and has repurchased and re-issued 9,384 shares. These authorizations have no specific dollar or share price targets and no expiration dates.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6.</w:t>
        <w:tab/>
        <w:t>EXHIBITS</w:t>
      </w:r>
    </w:p>
    <w:p>
      <w:pPr>
        <w:spacing w:after="0" w:line="200" w:lineRule="exact"/>
        <w:rPr>
          <w:sz w:val="20"/>
          <w:szCs w:val="20"/>
          <w:color w:val="auto"/>
        </w:rPr>
      </w:pPr>
    </w:p>
    <w:p>
      <w:pPr>
        <w:spacing w:after="0" w:line="282"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7"/>
          <w:szCs w:val="17"/>
          <w:u w:val="single" w:color="auto"/>
          <w:color w:val="0000FF"/>
        </w:rPr>
        <w:t>Certification of the Chief Executive Officer.</w:t>
      </w:r>
    </w:p>
    <w:p>
      <w:pPr>
        <w:spacing w:after="0" w:line="23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7"/>
          <w:szCs w:val="17"/>
          <w:u w:val="single" w:color="auto"/>
          <w:color w:val="0000FF"/>
        </w:rPr>
        <w:t>Certification of the Chief Financial Officer.</w:t>
      </w:r>
    </w:p>
    <w:p>
      <w:pPr>
        <w:spacing w:after="0" w:line="252"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7"/>
          <w:szCs w:val="17"/>
          <w:u w:val="single" w:color="auto"/>
          <w:color w:val="0000FF"/>
        </w:rPr>
        <w:t>Certification of the Chief Executive Officer Pursuant to 18 U.S.C. Section 1350.</w:t>
      </w:r>
    </w:p>
    <w:p>
      <w:pPr>
        <w:spacing w:after="0" w:line="252"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7"/>
          <w:szCs w:val="17"/>
          <w:u w:val="single" w:color="auto"/>
          <w:color w:val="0000FF"/>
        </w:rPr>
        <w:t>Certification of the Chief Financial Officer Pursuant to 18 U.S.C. Section 1350.</w:t>
      </w:r>
    </w:p>
    <w:p>
      <w:pPr>
        <w:sectPr>
          <w:pgSz w:w="11900" w:h="16838" w:orient="portrait"/>
          <w:cols w:equalWidth="0" w:num="1">
            <w:col w:w="11240"/>
          </w:cols>
          <w:pgMar w:left="320" w:top="125" w:right="3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101.INS*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240" w:hanging="375"/>
        <w:spacing w:after="0" w:line="287" w:lineRule="auto"/>
        <w:rPr>
          <w:sz w:val="20"/>
          <w:szCs w:val="20"/>
          <w:color w:val="auto"/>
        </w:rPr>
      </w:pPr>
      <w:r>
        <w:rPr>
          <w:rFonts w:ascii="Arial" w:cs="Arial" w:eastAsia="Arial" w:hAnsi="Arial"/>
          <w:sz w:val="18"/>
          <w:szCs w:val="18"/>
          <w:color w:val="auto"/>
        </w:rPr>
        <w:t>XBRL Instance Document- the instance document does not appear in the Interactive Data File as its XBRL tags are embedded within the Inline XBRL document</w:t>
      </w:r>
    </w:p>
    <w:p>
      <w:pPr>
        <w:spacing w:after="0" w:line="180" w:lineRule="exact"/>
        <w:rPr>
          <w:sz w:val="20"/>
          <w:szCs w:val="20"/>
          <w:color w:val="auto"/>
        </w:rPr>
      </w:pPr>
    </w:p>
    <w:p>
      <w:pPr>
        <w:sectPr>
          <w:pgSz w:w="11900" w:h="16838" w:orient="portrait"/>
          <w:cols w:equalWidth="0" w:num="2">
            <w:col w:w="720" w:space="580"/>
            <w:col w:w="9940"/>
          </w:cols>
          <w:pgMar w:left="320" w:top="125" w:right="339" w:bottom="1440" w:gutter="0" w:footer="0" w:header="0"/>
          <w:type w:val="continuous"/>
        </w:sectPr>
      </w:pPr>
    </w:p>
    <w:p>
      <w:pPr>
        <w:spacing w:after="0"/>
        <w:rPr>
          <w:sz w:val="20"/>
          <w:szCs w:val="20"/>
          <w:color w:val="auto"/>
        </w:rPr>
      </w:pPr>
      <w:r>
        <w:rPr>
          <w:rFonts w:ascii="Arial" w:cs="Arial" w:eastAsia="Arial" w:hAnsi="Arial"/>
          <w:sz w:val="17"/>
          <w:szCs w:val="17"/>
          <w:color w:val="auto"/>
        </w:rPr>
        <w:t>101.SCH*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XBRL Taxonomy Extension Schema Document</w:t>
      </w:r>
    </w:p>
    <w:p>
      <w:pPr>
        <w:spacing w:after="0" w:line="200" w:lineRule="exact"/>
        <w:rPr>
          <w:sz w:val="20"/>
          <w:szCs w:val="20"/>
          <w:color w:val="auto"/>
        </w:rPr>
      </w:pPr>
    </w:p>
    <w:p>
      <w:pPr>
        <w:sectPr>
          <w:pgSz w:w="11900" w:h="16838" w:orient="portrait"/>
          <w:cols w:equalWidth="0" w:num="2">
            <w:col w:w="800" w:space="200"/>
            <w:col w:w="10240"/>
          </w:cols>
          <w:pgMar w:left="320" w:top="125" w:right="339" w:bottom="1440" w:gutter="0" w:footer="0" w:header="0"/>
          <w:type w:val="continuous"/>
        </w:sectPr>
      </w:pP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101.CAL*</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XBRL Taxonomy Extension Calculation Linkbase Document</w:t>
      </w:r>
    </w:p>
    <w:p>
      <w:pPr>
        <w:spacing w:after="0" w:line="211" w:lineRule="exact"/>
        <w:rPr>
          <w:sz w:val="20"/>
          <w:szCs w:val="20"/>
          <w:color w:val="auto"/>
        </w:rPr>
      </w:pPr>
    </w:p>
    <w:p>
      <w:pPr>
        <w:sectPr>
          <w:pgSz w:w="11900" w:h="16838" w:orient="portrait"/>
          <w:cols w:equalWidth="0" w:num="2">
            <w:col w:w="780" w:space="200"/>
            <w:col w:w="10260"/>
          </w:cols>
          <w:pgMar w:left="320" w:top="125" w:right="339" w:bottom="1440" w:gutter="0" w:footer="0" w:header="0"/>
          <w:type w:val="continuous"/>
        </w:sectPr>
      </w:pP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color w:val="auto"/>
        </w:rPr>
        <w:t>101.DEF*</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XBRL Taxonomy Extension Definition Linkbase Document</w:t>
      </w:r>
    </w:p>
    <w:p>
      <w:pPr>
        <w:spacing w:after="0" w:line="200" w:lineRule="exact"/>
        <w:rPr>
          <w:sz w:val="20"/>
          <w:szCs w:val="20"/>
          <w:color w:val="auto"/>
        </w:rPr>
      </w:pPr>
    </w:p>
    <w:p>
      <w:pPr>
        <w:sectPr>
          <w:pgSz w:w="11900" w:h="16838" w:orient="portrait"/>
          <w:cols w:equalWidth="0" w:num="2">
            <w:col w:w="780" w:space="200"/>
            <w:col w:w="10260"/>
          </w:cols>
          <w:pgMar w:left="320" w:top="125" w:right="339" w:bottom="1440" w:gutter="0" w:footer="0" w:header="0"/>
          <w:type w:val="continuous"/>
        </w:sectPr>
      </w:pP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color w:val="auto"/>
        </w:rPr>
        <w:t>101.LAB*</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XBRL Taxonomy Extension Label Linkbase Document</w:t>
      </w:r>
    </w:p>
    <w:p>
      <w:pPr>
        <w:spacing w:after="0" w:line="200" w:lineRule="exact"/>
        <w:rPr>
          <w:sz w:val="20"/>
          <w:szCs w:val="20"/>
          <w:color w:val="auto"/>
        </w:rPr>
      </w:pPr>
    </w:p>
    <w:p>
      <w:pPr>
        <w:sectPr>
          <w:pgSz w:w="11900" w:h="16838" w:orient="portrait"/>
          <w:cols w:equalWidth="0" w:num="2">
            <w:col w:w="760" w:space="200"/>
            <w:col w:w="10280"/>
          </w:cols>
          <w:pgMar w:left="320" w:top="125" w:right="339" w:bottom="1440" w:gutter="0" w:footer="0" w:header="0"/>
          <w:type w:val="continuous"/>
        </w:sectPr>
      </w:pP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101.PRE*</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XBRL Taxonomy Extension Presentation Linkbase Document</w:t>
      </w:r>
    </w:p>
    <w:p>
      <w:pPr>
        <w:spacing w:after="0" w:line="211" w:lineRule="exact"/>
        <w:rPr>
          <w:sz w:val="20"/>
          <w:szCs w:val="20"/>
          <w:color w:val="auto"/>
        </w:rPr>
      </w:pPr>
    </w:p>
    <w:p>
      <w:pPr>
        <w:sectPr>
          <w:pgSz w:w="11900" w:h="16838" w:orient="portrait"/>
          <w:cols w:equalWidth="0" w:num="2">
            <w:col w:w="800" w:space="200"/>
            <w:col w:w="10240"/>
          </w:cols>
          <w:pgMar w:left="320" w:top="125" w:right="339" w:bottom="1440" w:gutter="0" w:footer="0" w:header="0"/>
          <w:type w:val="continuous"/>
        </w:sectPr>
      </w:pPr>
    </w:p>
    <w:p>
      <w:pPr>
        <w:spacing w:after="0" w:line="3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104*</w:t>
        <w:tab/>
        <w:t>Cover Page Interactive Data File (formatted as Inline XBRL and contained in Exhibit 101)</w:t>
      </w:r>
    </w:p>
    <w:p>
      <w:pPr>
        <w:spacing w:after="0" w:line="252" w:lineRule="exact"/>
        <w:rPr>
          <w:sz w:val="20"/>
          <w:szCs w:val="20"/>
          <w:color w:val="auto"/>
        </w:rPr>
      </w:pPr>
    </w:p>
    <w:p>
      <w:pPr>
        <w:jc w:val="both"/>
        <w:ind w:firstLine="8"/>
        <w:spacing w:after="0" w:line="257" w:lineRule="auto"/>
        <w:tabs>
          <w:tab w:leader="none" w:pos="165" w:val="left"/>
        </w:tabs>
        <w:numPr>
          <w:ilvl w:val="0"/>
          <w:numId w:val="4"/>
        </w:numPr>
        <w:rPr>
          <w:rFonts w:ascii="Arial" w:cs="Arial" w:eastAsia="Arial" w:hAnsi="Arial"/>
          <w:sz w:val="18"/>
          <w:szCs w:val="18"/>
          <w:color w:val="auto"/>
        </w:rPr>
      </w:pPr>
      <w:r>
        <w:rPr>
          <w:rFonts w:ascii="Arial" w:cs="Arial" w:eastAsia="Arial" w:hAnsi="Arial"/>
          <w:sz w:val="18"/>
          <w:szCs w:val="18"/>
          <w:color w:val="auto"/>
        </w:rPr>
        <w:t>Furnished with this quarterly report on Form 10-Q are the following documents formatted in XBRL (Extensible Business Reporting Language): (i) the Condensed Consolidated Balance Sheets at March 31, 2023, and June 30, 2022, (ii) the Condensed Consolidated Statements of Income for the three and nine months ended March 31, 2023, and 2022, (iii) the Condensed Consolidated Statements of Changes in Shareholders' Equity for the three and nine months ended March 31, 2023, and 2022, (iv) the Condensed Consolidated Statements of Cash Flows for the nine months ended March 31, 2023, and 2022, and (v) Notes to Condensed Consolidated Financial Statements.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00" w:lineRule="exact"/>
        <w:rPr>
          <w:sz w:val="20"/>
          <w:szCs w:val="20"/>
          <w:color w:val="auto"/>
        </w:rPr>
      </w:pPr>
    </w:p>
    <w:p>
      <w:pPr>
        <w:spacing w:after="0" w:line="228"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quarterly report on Form 10-Q to be signed on its behalf by the undersigned, thereunto duly authorized.</w:t>
      </w:r>
    </w:p>
    <w:p>
      <w:pPr>
        <w:spacing w:after="0" w:line="2" w:lineRule="exact"/>
        <w:rPr>
          <w:sz w:val="20"/>
          <w:szCs w:val="20"/>
          <w:color w:val="auto"/>
        </w:rPr>
      </w:pPr>
    </w:p>
    <w:tbl>
      <w:tblPr>
        <w:tblLayout w:type="fixed"/>
        <w:tblInd w:w="200" w:type="dxa"/>
        <w:tblCellMar>
          <w:top w:w="0" w:type="dxa"/>
          <w:left w:w="0" w:type="dxa"/>
          <w:bottom w:w="0" w:type="dxa"/>
          <w:right w:w="0" w:type="dxa"/>
        </w:tblCellMar>
      </w:tblPr>
      <w:tr>
        <w:trPr>
          <w:trHeight w:val="239"/>
        </w:trPr>
        <w:tc>
          <w:tcPr>
            <w:tcW w:w="6240" w:type="dxa"/>
            <w:vAlign w:val="bottom"/>
          </w:tcPr>
          <w:p>
            <w:pPr>
              <w:spacing w:after="0"/>
              <w:rPr>
                <w:sz w:val="20"/>
                <w:szCs w:val="20"/>
                <w:color w:val="auto"/>
              </w:rPr>
            </w:pPr>
          </w:p>
        </w:tc>
        <w:tc>
          <w:tcPr>
            <w:tcW w:w="3180" w:type="dxa"/>
            <w:vAlign w:val="bottom"/>
            <w:gridSpan w:val="3"/>
          </w:tcPr>
          <w:p>
            <w:pPr>
              <w:ind w:left="120"/>
              <w:spacing w:after="0"/>
              <w:rPr>
                <w:sz w:val="20"/>
                <w:szCs w:val="20"/>
                <w:color w:val="auto"/>
              </w:rPr>
            </w:pPr>
            <w:r>
              <w:rPr>
                <w:rFonts w:ascii="Arial" w:cs="Arial" w:eastAsia="Arial" w:hAnsi="Arial"/>
                <w:sz w:val="18"/>
                <w:szCs w:val="18"/>
                <w:color w:val="auto"/>
              </w:rPr>
              <w:t>JACK HENRY &amp; ASSOCIATES, INC.</w:t>
            </w:r>
          </w:p>
        </w:tc>
      </w:tr>
      <w:tr>
        <w:trPr>
          <w:trHeight w:val="441"/>
        </w:trPr>
        <w:tc>
          <w:tcPr>
            <w:tcW w:w="6240" w:type="dxa"/>
            <w:vAlign w:val="bottom"/>
          </w:tcPr>
          <w:p>
            <w:pPr>
              <w:spacing w:after="0"/>
              <w:rPr>
                <w:sz w:val="20"/>
                <w:szCs w:val="20"/>
                <w:color w:val="auto"/>
              </w:rPr>
            </w:pPr>
            <w:r>
              <w:rPr>
                <w:rFonts w:ascii="Arial" w:cs="Arial" w:eastAsia="Arial" w:hAnsi="Arial"/>
                <w:sz w:val="18"/>
                <w:szCs w:val="18"/>
                <w:color w:val="auto"/>
              </w:rPr>
              <w:t>Date: May 8, 2023</w:t>
            </w:r>
          </w:p>
        </w:tc>
        <w:tc>
          <w:tcPr>
            <w:tcW w:w="1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/s/ David B. Foss</w:t>
            </w:r>
          </w:p>
        </w:tc>
        <w:tc>
          <w:tcPr>
            <w:tcW w:w="1820" w:type="dxa"/>
            <w:vAlign w:val="bottom"/>
            <w:gridSpan w:val="2"/>
          </w:tcPr>
          <w:p>
            <w:pPr>
              <w:spacing w:after="0"/>
              <w:rPr>
                <w:sz w:val="24"/>
                <w:szCs w:val="24"/>
                <w:color w:val="auto"/>
              </w:rPr>
            </w:pPr>
          </w:p>
        </w:tc>
      </w:tr>
      <w:tr>
        <w:trPr>
          <w:trHeight w:val="245"/>
        </w:trPr>
        <w:tc>
          <w:tcPr>
            <w:tcW w:w="6240" w:type="dxa"/>
            <w:vAlign w:val="bottom"/>
          </w:tcPr>
          <w:p>
            <w:pPr>
              <w:spacing w:after="0"/>
              <w:rPr>
                <w:sz w:val="21"/>
                <w:szCs w:val="21"/>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rPr>
              <w:t>David B. Foss</w:t>
            </w:r>
          </w:p>
        </w:tc>
      </w:tr>
      <w:tr>
        <w:trPr>
          <w:trHeight w:val="239"/>
        </w:trPr>
        <w:tc>
          <w:tcPr>
            <w:tcW w:w="6240" w:type="dxa"/>
            <w:vAlign w:val="bottom"/>
          </w:tcPr>
          <w:p>
            <w:pPr>
              <w:spacing w:after="0"/>
              <w:rPr>
                <w:sz w:val="20"/>
                <w:szCs w:val="20"/>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w w:val="99"/>
              </w:rPr>
              <w:t>Chief Executive Officer and Board Chair</w:t>
            </w:r>
          </w:p>
        </w:tc>
      </w:tr>
      <w:tr>
        <w:trPr>
          <w:trHeight w:val="441"/>
        </w:trPr>
        <w:tc>
          <w:tcPr>
            <w:tcW w:w="6240" w:type="dxa"/>
            <w:vAlign w:val="bottom"/>
          </w:tcPr>
          <w:p>
            <w:pPr>
              <w:spacing w:after="0"/>
              <w:rPr>
                <w:sz w:val="20"/>
                <w:szCs w:val="20"/>
                <w:color w:val="auto"/>
              </w:rPr>
            </w:pPr>
            <w:r>
              <w:rPr>
                <w:rFonts w:ascii="Arial" w:cs="Arial" w:eastAsia="Arial" w:hAnsi="Arial"/>
                <w:sz w:val="18"/>
                <w:szCs w:val="18"/>
                <w:color w:val="auto"/>
              </w:rPr>
              <w:t>Date: May 8, 2023</w:t>
            </w:r>
          </w:p>
        </w:tc>
        <w:tc>
          <w:tcPr>
            <w:tcW w:w="1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8"/>
              </w:rPr>
              <w:t>/s/ Mimi L. Carsley</w:t>
            </w:r>
          </w:p>
        </w:tc>
        <w:tc>
          <w:tcPr>
            <w:tcW w:w="1700" w:type="dxa"/>
            <w:vAlign w:val="bottom"/>
          </w:tcPr>
          <w:p>
            <w:pPr>
              <w:spacing w:after="0"/>
              <w:rPr>
                <w:sz w:val="24"/>
                <w:szCs w:val="24"/>
                <w:color w:val="auto"/>
              </w:rPr>
            </w:pPr>
          </w:p>
        </w:tc>
      </w:tr>
      <w:tr>
        <w:trPr>
          <w:trHeight w:val="245"/>
        </w:trPr>
        <w:tc>
          <w:tcPr>
            <w:tcW w:w="6240" w:type="dxa"/>
            <w:vAlign w:val="bottom"/>
          </w:tcPr>
          <w:p>
            <w:pPr>
              <w:spacing w:after="0"/>
              <w:rPr>
                <w:sz w:val="21"/>
                <w:szCs w:val="21"/>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rPr>
              <w:t>Mimi L. Carsley</w:t>
            </w:r>
          </w:p>
        </w:tc>
      </w:tr>
      <w:tr>
        <w:trPr>
          <w:trHeight w:val="239"/>
        </w:trPr>
        <w:tc>
          <w:tcPr>
            <w:tcW w:w="6240" w:type="dxa"/>
            <w:vAlign w:val="bottom"/>
          </w:tcPr>
          <w:p>
            <w:pPr>
              <w:spacing w:after="0"/>
              <w:rPr>
                <w:sz w:val="20"/>
                <w:szCs w:val="20"/>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rPr>
              <w:t>Chief 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 David B. Foss, certify that:</w:t>
      </w:r>
    </w:p>
    <w:p>
      <w:pPr>
        <w:spacing w:after="0" w:line="77" w:lineRule="exact"/>
        <w:rPr>
          <w:sz w:val="20"/>
          <w:szCs w:val="20"/>
          <w:color w:val="auto"/>
        </w:rPr>
      </w:pPr>
    </w:p>
    <w:p>
      <w:pPr>
        <w:ind w:left="200" w:hanging="192"/>
        <w:spacing w:after="0"/>
        <w:tabs>
          <w:tab w:leader="none" w:pos="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Jack Henry &amp; Associates, Inc.;</w:t>
      </w:r>
    </w:p>
    <w:p>
      <w:pPr>
        <w:spacing w:after="0" w:line="90" w:lineRule="exact"/>
        <w:rPr>
          <w:rFonts w:ascii="Arial" w:cs="Arial" w:eastAsia="Arial" w:hAnsi="Arial"/>
          <w:sz w:val="18"/>
          <w:szCs w:val="18"/>
          <w:color w:val="auto"/>
        </w:rPr>
      </w:pPr>
    </w:p>
    <w:p>
      <w:pPr>
        <w:jc w:val="both"/>
        <w:ind w:firstLine="8"/>
        <w:spacing w:after="0" w:line="268" w:lineRule="auto"/>
        <w:tabs>
          <w:tab w:leader="none" w:pos="208"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 w:lineRule="exact"/>
        <w:rPr>
          <w:rFonts w:ascii="Arial" w:cs="Arial" w:eastAsia="Arial" w:hAnsi="Arial"/>
          <w:sz w:val="18"/>
          <w:szCs w:val="18"/>
          <w:color w:val="auto"/>
        </w:rPr>
      </w:pPr>
    </w:p>
    <w:p>
      <w:pPr>
        <w:ind w:firstLine="8"/>
        <w:spacing w:after="0" w:line="287" w:lineRule="auto"/>
        <w:tabs>
          <w:tab w:leader="none" w:pos="228"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8"/>
          <w:szCs w:val="18"/>
          <w:color w:val="auto"/>
        </w:rPr>
      </w:pPr>
    </w:p>
    <w:p>
      <w:pPr>
        <w:jc w:val="both"/>
        <w:ind w:firstLine="8"/>
        <w:spacing w:after="0" w:line="268" w:lineRule="auto"/>
        <w:tabs>
          <w:tab w:leader="none" w:pos="232"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6" w:lineRule="exact"/>
        <w:rPr>
          <w:sz w:val="20"/>
          <w:szCs w:val="20"/>
          <w:color w:val="auto"/>
        </w:rPr>
      </w:pPr>
    </w:p>
    <w:p>
      <w:pPr>
        <w:jc w:val="both"/>
        <w:ind w:right="20" w:firstLine="8"/>
        <w:spacing w:after="0" w:line="268" w:lineRule="auto"/>
        <w:tabs>
          <w:tab w:leader="none" w:pos="253" w:val="left"/>
        </w:tabs>
        <w:numPr>
          <w:ilvl w:val="0"/>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 w:lineRule="exact"/>
        <w:rPr>
          <w:rFonts w:ascii="Arial" w:cs="Arial" w:eastAsia="Arial" w:hAnsi="Arial"/>
          <w:sz w:val="18"/>
          <w:szCs w:val="18"/>
          <w:color w:val="auto"/>
        </w:rPr>
      </w:pPr>
    </w:p>
    <w:p>
      <w:pPr>
        <w:jc w:val="both"/>
        <w:ind w:firstLine="8"/>
        <w:spacing w:after="0" w:line="268" w:lineRule="auto"/>
        <w:tabs>
          <w:tab w:leader="none" w:pos="223" w:val="left"/>
        </w:tabs>
        <w:numPr>
          <w:ilvl w:val="0"/>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 w:lineRule="exact"/>
        <w:rPr>
          <w:rFonts w:ascii="Arial" w:cs="Arial" w:eastAsia="Arial" w:hAnsi="Arial"/>
          <w:sz w:val="18"/>
          <w:szCs w:val="18"/>
          <w:color w:val="auto"/>
        </w:rPr>
      </w:pPr>
    </w:p>
    <w:p>
      <w:pPr>
        <w:ind w:right="20" w:firstLine="8"/>
        <w:spacing w:after="0" w:line="287" w:lineRule="auto"/>
        <w:tabs>
          <w:tab w:leader="none" w:pos="211" w:val="left"/>
        </w:tabs>
        <w:numPr>
          <w:ilvl w:val="0"/>
          <w:numId w:val="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 w:lineRule="exact"/>
        <w:rPr>
          <w:rFonts w:ascii="Arial" w:cs="Arial" w:eastAsia="Arial" w:hAnsi="Arial"/>
          <w:sz w:val="18"/>
          <w:szCs w:val="18"/>
          <w:color w:val="auto"/>
        </w:rPr>
      </w:pPr>
    </w:p>
    <w:p>
      <w:pPr>
        <w:jc w:val="both"/>
        <w:ind w:firstLine="8"/>
        <w:spacing w:after="0" w:line="268" w:lineRule="auto"/>
        <w:tabs>
          <w:tab w:leader="none" w:pos="229"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 w:lineRule="exact"/>
        <w:rPr>
          <w:sz w:val="20"/>
          <w:szCs w:val="20"/>
          <w:color w:val="auto"/>
        </w:rPr>
      </w:pPr>
    </w:p>
    <w:p>
      <w:pPr>
        <w:jc w:val="both"/>
        <w:ind w:firstLine="8"/>
        <w:spacing w:after="0" w:line="268" w:lineRule="auto"/>
        <w:tabs>
          <w:tab w:leader="none" w:pos="239"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 w:lineRule="exact"/>
        <w:rPr>
          <w:sz w:val="20"/>
          <w:szCs w:val="20"/>
          <w:color w:val="auto"/>
        </w:rPr>
      </w:pPr>
    </w:p>
    <w:p>
      <w:pPr>
        <w:ind w:right="20" w:firstLine="8"/>
        <w:spacing w:after="0" w:line="287" w:lineRule="auto"/>
        <w:tabs>
          <w:tab w:leader="none" w:pos="246"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 w:lineRule="exact"/>
        <w:rPr>
          <w:rFonts w:ascii="Arial" w:cs="Arial" w:eastAsia="Arial" w:hAnsi="Arial"/>
          <w:sz w:val="18"/>
          <w:szCs w:val="18"/>
          <w:color w:val="auto"/>
        </w:rPr>
      </w:pPr>
    </w:p>
    <w:p>
      <w:pPr>
        <w:ind w:right="20" w:firstLine="8"/>
        <w:spacing w:after="0" w:line="287" w:lineRule="auto"/>
        <w:tabs>
          <w:tab w:leader="none" w:pos="223"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Date: May 8, 2023</w:t>
      </w:r>
    </w:p>
    <w:p>
      <w:pPr>
        <w:spacing w:after="0" w:line="50"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/s/ David B. Foss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17780</wp:posOffset>
            </wp:positionV>
            <wp:extent cx="163703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637030" cy="8890"/>
                    </a:xfrm>
                    <a:prstGeom prst="rect">
                      <a:avLst/>
                    </a:prstGeom>
                    <a:noFill/>
                  </pic:spPr>
                </pic:pic>
              </a:graphicData>
            </a:graphic>
          </wp:anchor>
        </w:drawing>
      </w:r>
    </w:p>
    <w:p>
      <w:pPr>
        <w:spacing w:after="0" w:line="16"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David B. Foss</w:t>
      </w:r>
    </w:p>
    <w:p>
      <w:pPr>
        <w:spacing w:after="0" w:line="32"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958"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 Mimi L. Carsley, certify that:</w:t>
      </w:r>
    </w:p>
    <w:p>
      <w:pPr>
        <w:spacing w:after="0" w:line="77" w:lineRule="exact"/>
        <w:rPr>
          <w:sz w:val="20"/>
          <w:szCs w:val="20"/>
          <w:color w:val="auto"/>
        </w:rPr>
      </w:pPr>
    </w:p>
    <w:p>
      <w:pPr>
        <w:ind w:left="200" w:hanging="192"/>
        <w:spacing w:after="0"/>
        <w:tabs>
          <w:tab w:leader="none" w:pos="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Jack Henry &amp; Associates, Inc.;</w:t>
      </w:r>
    </w:p>
    <w:p>
      <w:pPr>
        <w:spacing w:after="0" w:line="90" w:lineRule="exact"/>
        <w:rPr>
          <w:rFonts w:ascii="Arial" w:cs="Arial" w:eastAsia="Arial" w:hAnsi="Arial"/>
          <w:sz w:val="18"/>
          <w:szCs w:val="18"/>
          <w:color w:val="auto"/>
        </w:rPr>
      </w:pPr>
    </w:p>
    <w:p>
      <w:pPr>
        <w:jc w:val="both"/>
        <w:ind w:firstLine="8"/>
        <w:spacing w:after="0" w:line="268" w:lineRule="auto"/>
        <w:tabs>
          <w:tab w:leader="none" w:pos="208"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 w:lineRule="exact"/>
        <w:rPr>
          <w:rFonts w:ascii="Arial" w:cs="Arial" w:eastAsia="Arial" w:hAnsi="Arial"/>
          <w:sz w:val="18"/>
          <w:szCs w:val="18"/>
          <w:color w:val="auto"/>
        </w:rPr>
      </w:pPr>
    </w:p>
    <w:p>
      <w:pPr>
        <w:ind w:firstLine="8"/>
        <w:spacing w:after="0" w:line="287" w:lineRule="auto"/>
        <w:tabs>
          <w:tab w:leader="none" w:pos="228"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8"/>
          <w:szCs w:val="18"/>
          <w:color w:val="auto"/>
        </w:rPr>
      </w:pPr>
    </w:p>
    <w:p>
      <w:pPr>
        <w:jc w:val="both"/>
        <w:ind w:firstLine="8"/>
        <w:spacing w:after="0" w:line="268" w:lineRule="auto"/>
        <w:tabs>
          <w:tab w:leader="none" w:pos="232"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6" w:lineRule="exact"/>
        <w:rPr>
          <w:sz w:val="20"/>
          <w:szCs w:val="20"/>
          <w:color w:val="auto"/>
        </w:rPr>
      </w:pPr>
    </w:p>
    <w:p>
      <w:pPr>
        <w:jc w:val="both"/>
        <w:ind w:right="20" w:firstLine="8"/>
        <w:spacing w:after="0" w:line="268" w:lineRule="auto"/>
        <w:tabs>
          <w:tab w:leader="none" w:pos="253"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 w:lineRule="exact"/>
        <w:rPr>
          <w:rFonts w:ascii="Arial" w:cs="Arial" w:eastAsia="Arial" w:hAnsi="Arial"/>
          <w:sz w:val="18"/>
          <w:szCs w:val="18"/>
          <w:color w:val="auto"/>
        </w:rPr>
      </w:pPr>
    </w:p>
    <w:p>
      <w:pPr>
        <w:jc w:val="both"/>
        <w:ind w:firstLine="8"/>
        <w:spacing w:after="0" w:line="268" w:lineRule="auto"/>
        <w:tabs>
          <w:tab w:leader="none" w:pos="223"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 w:lineRule="exact"/>
        <w:rPr>
          <w:rFonts w:ascii="Arial" w:cs="Arial" w:eastAsia="Arial" w:hAnsi="Arial"/>
          <w:sz w:val="18"/>
          <w:szCs w:val="18"/>
          <w:color w:val="auto"/>
        </w:rPr>
      </w:pPr>
    </w:p>
    <w:p>
      <w:pPr>
        <w:ind w:right="20" w:firstLine="8"/>
        <w:spacing w:after="0" w:line="287" w:lineRule="auto"/>
        <w:tabs>
          <w:tab w:leader="none" w:pos="211" w:val="left"/>
        </w:tabs>
        <w:numPr>
          <w:ilvl w:val="0"/>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 w:lineRule="exact"/>
        <w:rPr>
          <w:rFonts w:ascii="Arial" w:cs="Arial" w:eastAsia="Arial" w:hAnsi="Arial"/>
          <w:sz w:val="18"/>
          <w:szCs w:val="18"/>
          <w:color w:val="auto"/>
        </w:rPr>
      </w:pPr>
    </w:p>
    <w:p>
      <w:pPr>
        <w:jc w:val="both"/>
        <w:ind w:firstLine="8"/>
        <w:spacing w:after="0" w:line="268" w:lineRule="auto"/>
        <w:tabs>
          <w:tab w:leader="none" w:pos="229"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 w:lineRule="exact"/>
        <w:rPr>
          <w:sz w:val="20"/>
          <w:szCs w:val="20"/>
          <w:color w:val="auto"/>
        </w:rPr>
      </w:pPr>
    </w:p>
    <w:p>
      <w:pPr>
        <w:jc w:val="both"/>
        <w:ind w:firstLine="8"/>
        <w:spacing w:after="0" w:line="268" w:lineRule="auto"/>
        <w:tabs>
          <w:tab w:leader="none" w:pos="239"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 w:lineRule="exact"/>
        <w:rPr>
          <w:sz w:val="20"/>
          <w:szCs w:val="20"/>
          <w:color w:val="auto"/>
        </w:rPr>
      </w:pPr>
    </w:p>
    <w:p>
      <w:pPr>
        <w:ind w:right="20" w:firstLine="8"/>
        <w:spacing w:after="0" w:line="287" w:lineRule="auto"/>
        <w:tabs>
          <w:tab w:leader="none" w:pos="246"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 w:lineRule="exact"/>
        <w:rPr>
          <w:rFonts w:ascii="Arial" w:cs="Arial" w:eastAsia="Arial" w:hAnsi="Arial"/>
          <w:sz w:val="18"/>
          <w:szCs w:val="18"/>
          <w:color w:val="auto"/>
        </w:rPr>
      </w:pPr>
    </w:p>
    <w:p>
      <w:pPr>
        <w:ind w:right="20" w:firstLine="8"/>
        <w:spacing w:after="0" w:line="287" w:lineRule="auto"/>
        <w:tabs>
          <w:tab w:leader="none" w:pos="223"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Date: May 8, 2023</w:t>
      </w:r>
    </w:p>
    <w:p>
      <w:pPr>
        <w:spacing w:after="0" w:line="50"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/s/ Mimi L. Carsley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17780</wp:posOffset>
            </wp:positionV>
            <wp:extent cx="163703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637030" cy="8890"/>
                    </a:xfrm>
                    <a:prstGeom prst="rect">
                      <a:avLst/>
                    </a:prstGeom>
                    <a:noFill/>
                  </pic:spPr>
                </pic:pic>
              </a:graphicData>
            </a:graphic>
          </wp:anchor>
        </w:drawing>
      </w:r>
    </w:p>
    <w:p>
      <w:pPr>
        <w:spacing w:after="0" w:line="16"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Mimi L. Carsley</w:t>
      </w:r>
    </w:p>
    <w:p>
      <w:pPr>
        <w:spacing w:after="0" w:line="32"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958"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Solely for the purposes of complying with 18 U.S.C. Section 1350, I, the undersigned Chief Executive Officer of Jack Henry &amp; Associates, Inc. (the "Company"), hereby certify that, to my knowledge, the Quarterly Report on Form 10 -Q of the Company for the nine month period ended March 31, 2023 (the "Report") fully complies with the requirements of Section 13(a) or 15(d) of the Securities Exchange Act of 1934, as amended, and that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Dated: May 8, 2023</w:t>
      </w:r>
    </w:p>
    <w:p>
      <w:pPr>
        <w:spacing w:after="0" w:line="50"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*/s/ David B. Foss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17780</wp:posOffset>
            </wp:positionV>
            <wp:extent cx="163703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16"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David B. Foss</w:t>
      </w:r>
    </w:p>
    <w:p>
      <w:pPr>
        <w:spacing w:after="0" w:line="32"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Jack Henry &amp; Associates, Inc. and will be retained by Jack Henry &amp; Associates, Inc. and furnished to the Securities and Exchange Commission or its staff upon request.</w:t>
      </w:r>
    </w:p>
    <w:p>
      <w:pPr>
        <w:sectPr>
          <w:pgSz w:w="11900" w:h="16838" w:orient="portrait"/>
          <w:cols w:equalWidth="0" w:num="1">
            <w:col w:w="11240"/>
          </w:cols>
          <w:pgMar w:left="320" w:top="890"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EXHIBIT 32.2</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Certification of the Chief Financial Officer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Pursuant to 18 U.S.C. Section 1350</w:t>
      </w:r>
    </w:p>
    <w:p>
      <w:pPr>
        <w:spacing w:after="0" w:line="2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Solely for the purposes of complying with 18 U.S.C. Section 1350, I, the undersigned Chief Financial Officer of Jack Henry &amp; Associates, Inc. (the "Company"), hereby certify that, to my knowledge, the Quarterly Report on Form 10-Q of the Company for the nine month period ended March 31, 2023 (the "Report") fully complies with the requirements of Section 13(a) or 15(d) of the Securities Exchange Act of 1934, as amended, and that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Dated: May 8, 2023</w:t>
      </w:r>
    </w:p>
    <w:p>
      <w:pPr>
        <w:spacing w:after="0" w:line="50"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*/s/ Mimi L. Carsley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17780</wp:posOffset>
            </wp:positionV>
            <wp:extent cx="163703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16"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Mimi L. Carsley</w:t>
      </w:r>
    </w:p>
    <w:p>
      <w:pPr>
        <w:spacing w:after="0" w:line="32"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Jack Henry &amp; Associates, Inc. and will be retained by Jack Henry &amp; Associates, Inc. and furnished to the Securities and Exchange Commission or its staff upon request.</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lowerLetter"/>
      <w:start w:val="1"/>
    </w:lvl>
  </w:abstractNum>
  <w:abstractNum w:abstractNumId="6">
    <w:nsid w:val="12200854"/>
    <w:multiLevelType w:val="hybridMultilevel"/>
    <w:lvl w:ilvl="0">
      <w:lvlJc w:val="left"/>
      <w:lvlText w:val="%1."/>
      <w:numFmt w:val="decimal"/>
      <w:start w:val="5"/>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decimal"/>
      <w:start w:val="5"/>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2023-05-08T13:14:12Z</dcterms:created>
  <dcterms:modified xsi:type="dcterms:W3CDTF">2023-05-08T13:14:12Z</dcterms:modified>
</cp:coreProperties>
</file>