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September 30,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28, 2022, the Registrant had 72,949,433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September 30, 2022, and June 30, 2022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Months Ended September 30, 2022</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Months</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Ended September 30, 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Three Months Ended September 30,</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2022,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20"/>
                <w:szCs w:val="20"/>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247,541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348,072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134,539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125,537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20,201</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613,524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208,307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211,709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148,445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143,750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300,924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293,526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804,155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1,630,331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2,578,460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20,445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21,034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274,772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330,687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280,285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292,630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50,996</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646,991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530,111</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1,117,322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1,073,941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103,953,128 shares issued at September 30, 2022;</w:t>
            </w:r>
          </w:p>
        </w:tc>
        <w:tc>
          <w:tcPr>
            <w:tcW w:w="2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103,921,724 shares issued at June 30, 2022</w:t>
            </w:r>
          </w:p>
        </w:tc>
        <w:tc>
          <w:tcPr>
            <w:tcW w:w="20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560,034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551,360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2,636,342</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31,042,903 shares at September 30, 2022;</w:t>
            </w: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(1,807,118)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(1,807,118)</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31,042,903 shares at June 30, 2022</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1,381,623</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2,578,460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2,455,564</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gridSpan w:val="3"/>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p>
        </w:tc>
        <w:tc>
          <w:tcPr>
            <w:tcW w:w="4380" w:type="dxa"/>
            <w:vAlign w:val="bottom"/>
            <w:gridSpan w:val="2"/>
          </w:tcPr>
          <w:p>
            <w:pPr>
              <w:jc w:val="center"/>
              <w:ind w:right="730"/>
              <w:spacing w:after="0"/>
              <w:rPr>
                <w:sz w:val="20"/>
                <w:szCs w:val="20"/>
                <w:color w:val="auto"/>
              </w:rPr>
            </w:pPr>
            <w:r>
              <w:rPr>
                <w:rFonts w:ascii="Arial" w:cs="Arial" w:eastAsia="Arial" w:hAnsi="Arial"/>
                <w:sz w:val="18"/>
                <w:szCs w:val="18"/>
                <w:color w:val="auto"/>
              </w:rPr>
              <w:t>(In Thousands, Except Per Share Data)</w:t>
            </w: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529,202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488,056</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298,261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276,636</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51,071</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388,479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354,461</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140,723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133,595</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139,299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133,354</w:t>
            </w: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32,750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31,240</w:t>
            </w:r>
          </w:p>
        </w:tc>
        <w:tc>
          <w:tcPr>
            <w:tcW w:w="0" w:type="dxa"/>
            <w:vAlign w:val="bottom"/>
          </w:tcPr>
          <w:p>
            <w:pPr>
              <w:spacing w:after="0"/>
              <w:rPr>
                <w:sz w:val="1"/>
                <w:szCs w:val="1"/>
                <w:color w:val="auto"/>
              </w:rPr>
            </w:pPr>
          </w:p>
        </w:tc>
      </w:tr>
      <w:tr>
        <w:trPr>
          <w:trHeight w:val="256"/>
        </w:trPr>
        <w:tc>
          <w:tcPr>
            <w:tcW w:w="384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9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102,114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3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74,016</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3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7"/>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73,138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 xml:space="preserve">JACK HENRY &amp; ASSOCIATES, INC. AND SUBSIDIARIES CONDENSED CONSOLIDATED STATEMENTS OF CHANGES IN STOCKHOLDERS' EQUITY (Unaudited) </w:t>
      </w:r>
      <w:r>
        <w:rPr>
          <w:rFonts w:ascii="Arial" w:cs="Arial" w:eastAsia="Arial" w:hAnsi="Arial"/>
          <w:sz w:val="18"/>
          <w:szCs w:val="18"/>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5"/>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103,921,724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103,795,169</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w:t>
            </w:r>
          </w:p>
        </w:tc>
      </w:tr>
      <w:tr>
        <w:trPr>
          <w:trHeight w:val="248"/>
        </w:trPr>
        <w:tc>
          <w:tcPr>
            <w:tcW w:w="8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103,953,128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103,822,265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r>
      <w:tr>
        <w:trPr>
          <w:trHeight w:val="128"/>
        </w:trPr>
        <w:tc>
          <w:tcPr>
            <w:tcW w:w="8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560,034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527,255</w:t>
            </w:r>
          </w:p>
        </w:tc>
      </w:tr>
      <w:tr>
        <w:trPr>
          <w:trHeight w:val="129"/>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2,636,342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2,412,496</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102,114</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(34,036)</w:t>
            </w: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2,707,182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2,480,574</w:t>
            </w: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(1,613,202)</w:t>
            </w:r>
          </w:p>
        </w:tc>
      </w:tr>
      <w:tr>
        <w:trPr>
          <w:trHeight w:val="223"/>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(1,613,202)</w:t>
            </w: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42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106,549</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102,114</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(12,345)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101,509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53,404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41,937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136,831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106,549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(228,986)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(7,737)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(35,971)</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(249,594)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financing leases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(150,022)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(35,027)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(35,709)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95,946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48,787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8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ind w:right="20"/>
        <w:spacing w:after="0" w:line="262" w:lineRule="auto"/>
        <w:rPr>
          <w:sz w:val="20"/>
          <w:szCs w:val="20"/>
          <w:color w:val="auto"/>
        </w:rPr>
      </w:pPr>
      <w:r>
        <w:rPr>
          <w:rFonts w:ascii="Arial" w:cs="Arial" w:eastAsia="Arial" w:hAnsi="Arial"/>
          <w:sz w:val="18"/>
          <w:szCs w:val="18"/>
          <w:color w:val="auto"/>
        </w:rPr>
        <w:t>Jack Henry &amp; Associates, Inc. and subsidiaries ("Jack Henry," "JKHY," or the "Company") is a well-rounded financial technology company. JKHY was founded in 1976 as a provider of core information processing solutions for banks. Today, the Company’s extensive array of products and services includes processing transactions, automating business processes, and managing information for approximately 7,800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JKHY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months ended September 30, 2022 and 2021,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0" w:type="dxa"/>
            <w:vAlign w:val="bottom"/>
            <w:gridSpan w:val="7"/>
          </w:tcPr>
          <w:p>
            <w:pPr>
              <w:spacing w:after="0"/>
              <w:rPr>
                <w:sz w:val="20"/>
                <w:szCs w:val="20"/>
                <w:color w:val="auto"/>
              </w:rPr>
            </w:pPr>
            <w:r>
              <w:rPr>
                <w:rFonts w:ascii="Arial" w:cs="Arial" w:eastAsia="Arial" w:hAnsi="Arial"/>
                <w:sz w:val="18"/>
                <w:szCs w:val="18"/>
                <w:color w:val="auto"/>
              </w:rPr>
              <w:t>The following table summarizes allowance for credit losses activity for the fiscal quarter ended September 30, 2022:</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900" w:type="dxa"/>
            <w:vAlign w:val="bottom"/>
            <w:gridSpan w:val="8"/>
            <w:vMerge w:val="restart"/>
          </w:tcPr>
          <w:p>
            <w:pPr>
              <w:jc w:val="right"/>
              <w:ind w:right="700"/>
              <w:spacing w:after="0"/>
              <w:rPr>
                <w:sz w:val="20"/>
                <w:szCs w:val="20"/>
                <w:color w:val="auto"/>
              </w:rPr>
            </w:pPr>
            <w:r>
              <w:rPr>
                <w:rFonts w:ascii="Arial" w:cs="Arial" w:eastAsia="Arial" w:hAnsi="Arial"/>
                <w:sz w:val="18"/>
                <w:szCs w:val="18"/>
                <w:color w:val="auto"/>
              </w:rPr>
              <w:t>Three Months Ended September 30,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8"/>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3"/>
          </w:tcPr>
          <w:p>
            <w:pPr>
              <w:jc w:val="right"/>
              <w:ind w:right="840"/>
              <w:spacing w:after="0" w:line="182"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gridSpan w:val="3"/>
          </w:tcPr>
          <w:p>
            <w:pPr>
              <w:jc w:val="right"/>
              <w:ind w:right="860"/>
              <w:spacing w:after="0" w:line="18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420" w:type="dxa"/>
            <w:vAlign w:val="bottom"/>
          </w:tcPr>
          <w:p>
            <w:pPr>
              <w:spacing w:after="0"/>
              <w:rPr>
                <w:sz w:val="19"/>
                <w:szCs w:val="19"/>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4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8,030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September 30, 2022, totaled $461,282 and at June 30, 2022, totaled $454,879.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$1,063,994 and $1,030,800 at September 30, 2022, and June 30, 2022,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At September 30, 2022, and June 30, 2022, the Company had an investment in the preferred stock of Automated Bookkeeping,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2022, and June 30, 2022, there were 31,043 shares in treasury stock and the Company had the remaining authority to repurchase up to 3,948 additional shares. The total cost of treasury shares at September 30, 2022, and June 30, 2022, was $1,807,118. During the first three months of fiscal 2023, the Company did not repurchase any shares of its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2022. The accounting policies followed by the Company are set forth in Note 1 to the Company's consolidated financial statements included in its Form 10-K for the fiscal year ended June 30, 2022, with updates to certain policies included in this Note 1.</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September 30, 2022, the results of its operations for the three months ended September 30, 2022 and 2021, changes in stockholders' equity for the three months ended September 30, 2022 and 2021, and its cash flows for the three months ended September 30, 2022 and 2021. The condensed consolidated balance sheet at June 30, 2022,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results of operations for the three months ended September 30, 2022,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determined there was not a material impact to the Company’s consolidated financial statements as of and for the quarter ended September 30, 2022, as a result of the continuing impact of the COVID-19 pandemic. However, the extent to which the COVID-19 pandemic may impact the Company's future operational and financial performance remains uncertain and difficult to predict. The Company will continue to monitor developments related to the COVID-19 pandemic.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1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38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rPr>
              <w:t>Three Months Ended September 30,</w:t>
            </w:r>
          </w:p>
        </w:tc>
      </w:tr>
      <w:tr>
        <w:trPr>
          <w:trHeight w:val="183"/>
        </w:trPr>
        <w:tc>
          <w:tcPr>
            <w:tcW w:w="7420" w:type="dxa"/>
            <w:vAlign w:val="bottom"/>
          </w:tcPr>
          <w:p>
            <w:pPr>
              <w:spacing w:after="0"/>
              <w:rPr>
                <w:sz w:val="15"/>
                <w:szCs w:val="15"/>
                <w:color w:val="auto"/>
              </w:rPr>
            </w:pPr>
          </w:p>
        </w:tc>
        <w:tc>
          <w:tcPr>
            <w:tcW w:w="120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700"/>
              <w:spacing w:after="0" w:line="182" w:lineRule="exact"/>
              <w:rPr>
                <w:sz w:val="20"/>
                <w:szCs w:val="20"/>
                <w:color w:val="auto"/>
              </w:rPr>
            </w:pPr>
            <w:r>
              <w:rPr>
                <w:rFonts w:ascii="Arial" w:cs="Arial" w:eastAsia="Arial" w:hAnsi="Arial"/>
                <w:sz w:val="18"/>
                <w:szCs w:val="18"/>
                <w:color w:val="auto"/>
                <w:w w:val="94"/>
              </w:rPr>
              <w:t>2021</w:t>
            </w:r>
          </w:p>
        </w:tc>
      </w:tr>
      <w:tr>
        <w:trPr>
          <w:trHeight w:val="21"/>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148,999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135,642</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57,523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51,516</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113,627</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110,336</w:t>
            </w:r>
          </w:p>
        </w:tc>
      </w:tr>
      <w:tr>
        <w:trPr>
          <w:trHeight w:val="210"/>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Services &amp; Support</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320,149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297,494</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209,053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190,562</w:t>
            </w:r>
          </w:p>
        </w:tc>
      </w:tr>
      <w:tr>
        <w:trPr>
          <w:trHeight w:val="216"/>
        </w:trPr>
        <w:tc>
          <w:tcPr>
            <w:tcW w:w="7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529,202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488,056</w:t>
            </w:r>
          </w:p>
        </w:tc>
      </w:tr>
      <w:tr>
        <w:trPr>
          <w:trHeight w:val="21"/>
        </w:trPr>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Current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274,772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330,687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Non-current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71,485</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September 30, 2022 and 2021, the Company recognized revenue of $97,990 and $99,316, respectively, that was included in the corresponding deferred revenue balance at the beginning of the periods.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2022, estimated revenue expected to be recognized in the future related to performance obligations that are unsatisfied (or partially unsatisfied) at the end of the reporting period totaled $5,643,334. The Company expects to recognize approximately 26% over the next 12 months, 20%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$397,833 and $380,095, at September 30, 2022, and June 30, 2022,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2022 and 2021, amortization of deferred contract costs was $41,980 and $35,844,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in relation to capitalized costs for the periods presented.</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Total Fair</w:t>
            </w:r>
          </w:p>
        </w:tc>
      </w:tr>
      <w:tr>
        <w:trPr>
          <w:trHeight w:val="223"/>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1,213</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245,000</w:t>
            </w: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60" w:type="dxa"/>
            <w:vAlign w:val="bottom"/>
          </w:tcPr>
          <w:p>
            <w:pPr>
              <w:spacing w:after="0"/>
              <w:rPr>
                <w:sz w:val="19"/>
                <w:szCs w:val="19"/>
                <w:color w:val="auto"/>
              </w:rPr>
            </w:pPr>
          </w:p>
        </w:tc>
      </w:tr>
      <w:tr>
        <w:trPr>
          <w:trHeight w:val="864"/>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to 11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2022, and June 30, 2022, the Company had operating lease assets of $46,452 and $46,869 and financing lease assets of $39 and $65, respectively. At September 30, 2022, total operating lease liabilities of $50,932 were comprised of current operating lease liabilities of $10,546 and noncurrent operating lease liabilities of $40,386, and total financing lease liabilities of $41 were all current liabilities. At June 30, 2022, total operating lease liabilities of $51,452 were comprised of current operating lease liabilities of $10,681 and noncurrent operating lease liabilities of $40,771, and total financing lease liabilities of $67 were all current financing lease liabilities.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$33,478 and $31,006 as of September 30, 2022, and June 30, 2022, respectively. Financing lease assets are included within property and equipment, net and financing lease liabilities are included within notes payable (current portion) and long-term debt (noncurrent portion) is included in the Company’s condensed consolidated balance sheet. Financing lease assets were recorded net of accumulated amortization of $276 and $255 as of September 30, 2022, and June 30, 2022, respectively.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for the three months ended September 30, 2022 and 2021, were $3,059 and $ 3,432, respectively. Financing lease costs for the three months ended September 30, 2022 and 2021, were $21 and $28, respectively. Total operating and financing lease costs for the respective quarters included variable lease costs of approximately $928 and $399, respectively. Operating and financing lease expense are included within cost of services, research and development, and selling, general &amp; administrative expense, dependent upon the nature and use of the ROU asset, in the Company’s condensed consolidated statement of income.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2022 and 2021, the Company had operating cash flows for payments on operating leases of $3,110 and $3,031, and ROU assets obtained in exchange for operating lease liabilities of $2,296 and $ 272, respectively. Operating cash flows for interest paid on financing leases for the three months ended September 30, 2022 and 2021, were $22 and $29, respectively.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2022, and June 30, 2022, the weighted-average remaining lease term for the Company's operating leases was 74 months and 76 months and the weighted-average discount rate was 2.60% and 2.58%, respectively. As of September 30, 2022, and June 30, 2022, the weighted-average remaining lease term for the Company's financing leases was 6 months and 9 months, respectively. The weighted-average discount rate for the Company's financing leases was 2.23% as of September 30, 2022, and 2.29%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10,696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7,046</w:t>
            </w:r>
          </w:p>
        </w:tc>
      </w:tr>
      <w:tr>
        <w:trPr>
          <w:trHeight w:val="229"/>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14,296</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55,274</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50,932</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quarter, so a maturity of lease liabilities table has only been included for operating leases.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Lease payments include $5,464 related to options to extend lease terms that are reasonably certain of being exercised. At September 30, 2022, there were $6,128 of legally binding lease payments for leases signed but not yet commenced.</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w:t>
      </w:r>
    </w:p>
    <w:p>
      <w:pPr>
        <w:spacing w:after="0" w:line="1" w:lineRule="exact"/>
        <w:rPr>
          <w:sz w:val="20"/>
          <w:szCs w:val="20"/>
          <w:color w:val="auto"/>
        </w:rPr>
      </w:pPr>
    </w:p>
    <w:p>
      <w:pPr>
        <w:jc w:val="both"/>
        <w:ind w:firstLine="8"/>
        <w:spacing w:after="0" w:line="253"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 alternate base rate (the highest of (a) 0%, (b) the Prime Rate for such day, (c)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(d)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2022, the Company was in compliance with all such covenants. The amended and restated credit facility terminates August 31, 2027. There was $245,000 outstanding under the amended and restated credit facility at September 30, 2022.</w:t>
      </w:r>
    </w:p>
    <w:p>
      <w:pPr>
        <w:spacing w:after="0" w:line="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June 30, 2022, there was a $115,000 outstanding balance on the prior credit facility that was entered into on February 10, 2020. The prior credit facility was a five-year senior, unsecured revolving credit facility. The prior credit facility allowed for borrowings of up to $300,000, which could be increased by the Company to $700,000 at any time until maturity. The prior credit facility bore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September 30, 2022, or June 30, 2022.</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$1,333 and $234 during the three months ended September 30, 2022 and 2021,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Provision for income taxes increased for the three months ended September 30, 2022, compared to the three months ended September 30, 2021, with an effective tax rate of 23.5% of income before income taxes, compared to 23.4% in the prior fiscal year quarter.</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paid income taxes, net of refunds, of $2,828 and $15,187 in the three months ended September 30, 2022 and 2021, respectively.</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2022, the Company had $ 9,586 of gross unrecognized tax benefits before interest and penalties, $8,532 of which, if recognized, would affect our effective tax rate. At September 30, 2022, the Company had accrued interest and penalties of $1,360 related to uncertain tax positions.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returns for fiscal 2019 and all subsequent years remain subject to examination as of September 30, 2022, under statute of limitations rules. The U.S. state income tax returns that remain subject to examination as of September 30, 2022,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$3,500 within twelve months of September 30, 2022.</w:t>
      </w:r>
    </w:p>
    <w:p>
      <w:pPr>
        <w:spacing w:after="0" w:line="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operating income for the three months ended September 30, 2022 and 2021, included $6,998 and $6,071 of stock-based compensation costs,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A summary of option plan activity under this plan is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5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8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Outstanding July 1, 2022</w:t>
            </w: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1"/>
                <w:szCs w:val="21"/>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September 30, 2022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September 30,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4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September 30, 2022</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30, 2022, there was no compensation cost yet to be recognized related to outstanding options. For options currently exercisable, the weighted average remaining contractual term (remaining period of exercisability) as of September 30, 2022, was 3.75 years.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unit awards under the 2015 EIP. The following table summarizes non-vested restricted stock unit awards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43"/>
        </w:trPr>
        <w:tc>
          <w:tcPr>
            <w:tcW w:w="4860" w:type="dxa"/>
            <w:vAlign w:val="bottom"/>
            <w:gridSpan w:val="2"/>
            <w:vMerge w:val="continue"/>
          </w:tcPr>
          <w:p>
            <w:pPr>
              <w:spacing w:after="0"/>
              <w:rPr>
                <w:sz w:val="21"/>
                <w:szCs w:val="21"/>
                <w:color w:val="auto"/>
              </w:rPr>
            </w:pPr>
          </w:p>
        </w:tc>
        <w:tc>
          <w:tcPr>
            <w:tcW w:w="1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Pr>
          <w:p>
            <w:pPr>
              <w:spacing w:after="0"/>
              <w:rPr>
                <w:sz w:val="21"/>
                <w:szCs w:val="21"/>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223.96</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170.87</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173.71</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September 30, 2022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182.68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71,376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112 unit awards granted in the first quarter of fiscal 2023 had service requirements and performance measures, with 70 only having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remaining 42 unit awards granted in the first quarter of fiscal 2023 have performance measures along with service requirements. 17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for revenue (excluding adjustments) for the three-year vesting period compared against goal thresholds as defined in the award agreement. The performance payout at release of the other half of these unit awards will be determined based on the expansion of the Company's non -GAAP operating margin over the three-year vesting period compared against goal thresholds as defined in the award agreement. The other 25 performance and service requirement unit awards were valued at grant using a Monte Carlo pricing model as of the measurement date customized to the specific provisions of the Company’s plan design. Per the Company's award vesting and settlement provisions, the awards that utilize a Monte Carlo pricing model were valued at grant on the basis of Total Shareholder Return ("TSR") in comparison to the compensation peer group made up of participants approved by the Compensation Committee of the Company's Board of Directors for fiscal year 2023. The Monte Carlo inputs used in the model to estimate fair value at the measurement date and resulting values for these performance unit awards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2023</w:t>
            </w: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29.4 %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2.96 %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$1.96</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0.94 %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71.0 %</w:t>
            </w: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30, 2022, there was $37,428 of compensation expense, excluding forfeitures, that has yet to be recognized related to non-vested restricted stock unit awards, which will be recognized over a weighted average period of 1.25 years.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6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97"/>
        </w:trPr>
        <w:tc>
          <w:tcPr>
            <w:tcW w:w="8460" w:type="dxa"/>
            <w:vAlign w:val="bottom"/>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3"/>
        </w:trPr>
        <w:tc>
          <w:tcPr>
            <w:tcW w:w="8460" w:type="dxa"/>
            <w:vAlign w:val="bottom"/>
          </w:tcPr>
          <w:p>
            <w:pPr>
              <w:spacing w:after="0"/>
              <w:rPr>
                <w:sz w:val="24"/>
                <w:szCs w:val="24"/>
                <w:color w:val="auto"/>
              </w:rPr>
            </w:pPr>
          </w:p>
        </w:tc>
        <w:tc>
          <w:tcPr>
            <w:tcW w:w="2780" w:type="dxa"/>
            <w:vAlign w:val="bottom"/>
            <w:gridSpan w:val="9"/>
          </w:tcPr>
          <w:p>
            <w:pPr>
              <w:jc w:val="right"/>
              <w:ind w:right="80"/>
              <w:spacing w:after="0"/>
              <w:rPr>
                <w:sz w:val="20"/>
                <w:szCs w:val="20"/>
                <w:color w:val="auto"/>
              </w:rPr>
            </w:pPr>
            <w:r>
              <w:rPr>
                <w:rFonts w:ascii="Arial" w:cs="Arial" w:eastAsia="Arial" w:hAnsi="Arial"/>
                <w:sz w:val="18"/>
                <w:szCs w:val="18"/>
                <w:color w:val="auto"/>
              </w:rPr>
              <w:t>Three Months Ended September</w:t>
            </w:r>
          </w:p>
        </w:tc>
      </w:tr>
      <w:tr>
        <w:trPr>
          <w:trHeight w:val="241"/>
        </w:trPr>
        <w:tc>
          <w:tcPr>
            <w:tcW w:w="8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r>
      <w:tr>
        <w:trPr>
          <w:trHeight w:val="185"/>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b w:val="1"/>
                <w:bCs w:val="1"/>
                <w:color w:val="auto"/>
                <w:w w:val="94"/>
              </w:rPr>
              <w:t>2022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color w:val="auto"/>
                <w:w w:val="94"/>
              </w:rPr>
              <w:t>2021</w:t>
            </w:r>
          </w:p>
        </w:tc>
        <w:tc>
          <w:tcPr>
            <w:tcW w:w="460" w:type="dxa"/>
            <w:vAlign w:val="bottom"/>
          </w:tcPr>
          <w:p>
            <w:pPr>
              <w:spacing w:after="0"/>
              <w:rPr>
                <w:sz w:val="16"/>
                <w:szCs w:val="16"/>
                <w:color w:val="auto"/>
              </w:rPr>
            </w:pPr>
          </w:p>
        </w:tc>
      </w:tr>
      <w:tr>
        <w:trPr>
          <w:trHeight w:val="250"/>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106,549</w:t>
            </w:r>
          </w:p>
        </w:tc>
        <w:tc>
          <w:tcPr>
            <w:tcW w:w="6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102,114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72,896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74,016</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 units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73,138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74,142</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r>
      <w:tr>
        <w:trPr>
          <w:trHeight w:val="247"/>
        </w:trPr>
        <w:tc>
          <w:tcPr>
            <w:tcW w:w="84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1.46</w:t>
            </w:r>
          </w:p>
        </w:tc>
        <w:tc>
          <w:tcPr>
            <w:tcW w:w="6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months ended September 30, 2022 and 2021. Stock options and restricted stock units have been included in the calculation of earnings per share to the extent they are dilutive. There were 11 anti-dilutive stock options or restricted stock units excluded for the quarter ended September 30, 2022, and 22 were excluded for the quarter ended September 30, 2021.</w:t>
      </w:r>
    </w:p>
    <w:p>
      <w:pPr>
        <w:spacing w:after="0" w:line="1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2022, the Company completed the acquisition of Payrailz, LLC ("Payrailz") for $229,563 paid in cash. The purchase price is subject to a customary post-closing adjustment to the extent actual closing date working capital, cash, debt, and unpaid seller transaction expenses exceeds or is less than the amount estimated at closing. Pursuant to the merger agreement for the transaction, $48,500 of the purchase price was placed in an escrow account at the closing for final purchase price adjustments and indemnification matters under the merger agreement.</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preliminary purchase price allocation and assessment of the fair value of acquired assets and liabilities assumed. The recognized amounts of identifiable assets acquired and liabilities assumed, based on their fair values as of August 31, 2022, are set forth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116,697</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$116,697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$116,697 is expected to be deductible for income tax purposes.</w:t>
      </w:r>
    </w:p>
    <w:p>
      <w:pPr>
        <w:spacing w:after="0" w:line="5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10 to 15 years for each.</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incurred related to the acquisition of Payrailz during the three months ended September 30, 2022, totaled $458 for administrative and professional services, travel, and other fees, and were expensed as incurred and reported within cost of revenue and selling, general, and administrative expense.</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condensed consolidated statements of income for the three months ended September 30, 2022, included revenue of $738 and after-tax net loss of $1,870 resulting from Payrailz's operations.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statements of income for the three months ended September 30, 2022 and 2021, do not include any revenues and expenses related to this acquisition prior to the acquisition date. The following unaudited pro forma consolidated financial information is presented as if this acquisition had occurred at the beginning of the prior period presented. The pro forma net income includes estimated incremental amortization expense of $1,957 and $2,935 for the three months ended September 30, 2022 and 2021, respectively. In addition, this unaudited pro forma financial information is provided for illustrative purposes only and should not be relied upon as necessarily being indicative of the historical results that would have been obtained if the acquisition had actually occurred during this period, or the results that may be obtained in the future as a result of the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JKHY</w:t>
            </w: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Pro forma</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177"/>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center"/>
              <w:ind w:right="400"/>
              <w:spacing w:after="0" w:line="177" w:lineRule="exact"/>
              <w:rPr>
                <w:sz w:val="20"/>
                <w:szCs w:val="20"/>
                <w:color w:val="auto"/>
              </w:rPr>
            </w:pPr>
            <w:r>
              <w:rPr>
                <w:rFonts w:ascii="Arial" w:cs="Arial" w:eastAsia="Arial" w:hAnsi="Arial"/>
                <w:sz w:val="18"/>
                <w:szCs w:val="18"/>
                <w:color w:val="auto"/>
                <w:w w:val="99"/>
              </w:rPr>
              <w:t>Three Months Ended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6"/>
          </w:tcPr>
          <w:p>
            <w:pPr>
              <w:jc w:val="center"/>
              <w:ind w:right="420"/>
              <w:spacing w:after="0" w:line="177" w:lineRule="exact"/>
              <w:rPr>
                <w:sz w:val="20"/>
                <w:szCs w:val="20"/>
                <w:color w:val="auto"/>
              </w:rPr>
            </w:pPr>
            <w:r>
              <w:rPr>
                <w:rFonts w:ascii="Arial" w:cs="Arial" w:eastAsia="Arial" w:hAnsi="Arial"/>
                <w:sz w:val="18"/>
                <w:szCs w:val="18"/>
                <w:color w:val="auto"/>
                <w:w w:val="99"/>
              </w:rPr>
              <w:t>Three Months Ended</w:t>
            </w:r>
          </w:p>
        </w:tc>
      </w:tr>
      <w:tr>
        <w:trPr>
          <w:trHeight w:val="235"/>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6"/>
          </w:tcPr>
          <w:p>
            <w:pPr>
              <w:jc w:val="center"/>
              <w:ind w:right="520"/>
              <w:spacing w:after="0"/>
              <w:rPr>
                <w:sz w:val="20"/>
                <w:szCs w:val="20"/>
                <w:color w:val="auto"/>
              </w:rPr>
            </w:pPr>
            <w:r>
              <w:rPr>
                <w:rFonts w:ascii="Arial" w:cs="Arial" w:eastAsia="Arial" w:hAnsi="Arial"/>
                <w:sz w:val="18"/>
                <w:szCs w:val="18"/>
                <w:color w:val="auto"/>
                <w:w w:val="99"/>
              </w:rPr>
              <w:t>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6"/>
          </w:tcPr>
          <w:p>
            <w:pPr>
              <w:jc w:val="center"/>
              <w:ind w:right="440"/>
              <w:spacing w:after="0"/>
              <w:rPr>
                <w:sz w:val="20"/>
                <w:szCs w:val="20"/>
                <w:color w:val="auto"/>
              </w:rPr>
            </w:pPr>
            <w:r>
              <w:rPr>
                <w:rFonts w:ascii="Arial" w:cs="Arial" w:eastAsia="Arial" w:hAnsi="Arial"/>
                <w:sz w:val="18"/>
                <w:szCs w:val="18"/>
                <w:color w:val="auto"/>
                <w:w w:val="99"/>
              </w:rPr>
              <w:t>September 30,</w:t>
            </w:r>
          </w:p>
        </w:tc>
      </w:tr>
      <w:tr>
        <w:trPr>
          <w:trHeight w:val="183"/>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350"/>
              <w:spacing w:after="0" w:line="182" w:lineRule="exact"/>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w w:val="99"/>
              </w:rPr>
              <w:t>2021</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Revenue</w:t>
            </w:r>
          </w:p>
        </w:tc>
        <w:tc>
          <w:tcPr>
            <w:tcW w:w="5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529,202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488,056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530,829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489,397</w:t>
            </w:r>
          </w:p>
        </w:tc>
      </w:tr>
      <w:tr>
        <w:trPr>
          <w:trHeight w:val="229"/>
        </w:trPr>
        <w:tc>
          <w:tcPr>
            <w:tcW w:w="40" w:type="dxa"/>
            <w:vAlign w:val="bottom"/>
          </w:tcPr>
          <w:p>
            <w:pPr>
              <w:spacing w:after="0"/>
              <w:rPr>
                <w:sz w:val="19"/>
                <w:szCs w:val="19"/>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Income</w:t>
            </w:r>
          </w:p>
        </w:tc>
        <w:tc>
          <w:tcPr>
            <w:tcW w:w="4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106,549</w:t>
            </w:r>
          </w:p>
        </w:tc>
        <w:tc>
          <w:tcPr>
            <w:tcW w:w="5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102,012</w:t>
            </w:r>
          </w:p>
        </w:tc>
        <w:tc>
          <w:tcPr>
            <w:tcW w:w="4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97,098</w:t>
            </w:r>
          </w:p>
        </w:tc>
      </w:tr>
      <w:tr>
        <w:trPr>
          <w:trHeight w:val="463"/>
        </w:trPr>
        <w:tc>
          <w:tcPr>
            <w:tcW w:w="980" w:type="dxa"/>
            <w:vAlign w:val="bottom"/>
            <w:gridSpan w:val="2"/>
          </w:tcPr>
          <w:p>
            <w:pPr>
              <w:spacing w:after="0"/>
              <w:rPr>
                <w:sz w:val="20"/>
                <w:szCs w:val="20"/>
                <w:color w:val="auto"/>
              </w:rPr>
            </w:pPr>
            <w:r>
              <w:rPr>
                <w:rFonts w:ascii="Arial" w:cs="Arial" w:eastAsia="Arial" w:hAnsi="Arial"/>
                <w:sz w:val="18"/>
                <w:szCs w:val="18"/>
                <w:color w:val="auto"/>
              </w:rPr>
              <w:t>NOTE 11.</w:t>
            </w:r>
          </w:p>
        </w:tc>
        <w:tc>
          <w:tcPr>
            <w:tcW w:w="5240" w:type="dxa"/>
            <w:vAlign w:val="bottom"/>
            <w:gridSpan w:val="2"/>
          </w:tcPr>
          <w:p>
            <w:pPr>
              <w:jc w:val="right"/>
              <w:ind w:right="1800"/>
              <w:spacing w:after="0"/>
              <w:rPr>
                <w:sz w:val="20"/>
                <w:szCs w:val="20"/>
                <w:color w:val="auto"/>
              </w:rPr>
            </w:pPr>
            <w:r>
              <w:rPr>
                <w:rFonts w:ascii="Arial" w:cs="Arial" w:eastAsia="Arial" w:hAnsi="Arial"/>
                <w:sz w:val="18"/>
                <w:szCs w:val="18"/>
                <w:color w:val="auto"/>
                <w:w w:val="98"/>
              </w:rPr>
              <w:t>REPORTABLE SEGMENT INFORMATION</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&amp;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&amp; Other segment includes hardware revenue and costs, as well as operating costs not directly attributable to the other three segments.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Immaterial adjustments have been made to reclassify revenue that was recognized in the three months ended September 30, 2021 from the Complementary to the Payments and Corporate and Other segments. Immaterial adjustments were also made to reclassify cost of revenue from the Corporate and Other and Complementary segments to the Payments segment for the three months ended September 30, 2021. These reclasses were made to be consistent with the current allocation of revenue and cost of revenue by segment. Revenue reclassed from Complementary to Payments was $2,969 and from Complementary to Corporate and Other was $734. Cost of revenue reclassed from Complementary and Corporate and Other to Payments was $1,356.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rPr>
              <w:t>September 30, 2022</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165,024</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18,659</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118,147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18,319</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320,149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167,881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209,053</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186,540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148,350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529,202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101,155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58,437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66,429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298,261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September 30, 2021</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155,838</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17,063</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112,806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11,787</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297,494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172,591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66,902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94,582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54,417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276,636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0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354,461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(48,333)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0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0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0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0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quarter ended September 30,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&amp; Associates, Inc. ("JKHY") is a well-rounded financial technology company and is a leading provider of technology solutions and payment processing services primarily for financial services organizations. Its solutions consist of integrated data processing systems solutions to U.S. banks ranging from de novo to multi-billion-dollar institutions, core data processing solutions for credit union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JKHY's integrated solutions are available for on-premise installation and delivery in our private cloud.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that predominantly have contract terms of seven years or longer at inception; "product delivery and services" revenue, which includes revenue from the sales of licenses, implementation services, deconversion fees, consulting, and hardware; and "on-premise support" revenue,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first quarter of fiscal 2023, total revenue increased 8%, or $41,146, compared to the same quarter in fiscal 2022. The increase was primarily driven by growth in private and public cloud, card processing, transaction and digital, remittance, software usage, and implementation revenues.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10% for the first quarter of fiscal 2023 compared to the first quarter of fiscal 2022. Increasing operating expenses for the net effects of deconversion fees of $653, acquisitions of $2,535, and the gain on disposal of assets, net, of $6,176, for the current fiscal quarter and reducing operating expenses for the effects of deconversion fees of $540 for the prior fiscal year quarter, results in an 11% increase for the first quarter of fiscal 2023 compared to the same quarter a year ago. This increase in operating expenses was primarily driven by higher personnel costs, increased direct costs in line with related revenue, and increased travel expenses.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5% for the first quarter of fiscal 2023 compared to the first quarter of fiscal 2022. Reducing operating income for the effects of deconversion fees of $3,865 for the current fiscal quarter and $3,184 for the prior fiscal year quarter and for the effects of acquisitions of $ 1,797 and the gain on disposal of assets, net, of $6,176 for the current fiscal quarter, results in a 2% increase for the first quarter of fiscal 2023 compared to the same quarter a year ago. This increase in operating income was primarily driven by increased revenue growth partially offset by increased operating expenses detailed above.</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provision for income taxes increased 5% for the first quarter of fiscal 2023 compared to the prior fiscal year first quarter. The effective tax rate for the first quarter of fiscal 2023 was 23.5% compared to 23.4% for the same quarter a year ago.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Due to the above changes, net income increased 4% for the first quarter of fiscal 2023 compared to the first quarter of fiscal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move into the second quarter of fiscal 2023 with optimism following strong performance in the first quarter. Significant portions of our business continue to come from recurring revenues and our sales pipeline also remains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detailed discussion of the major components of the results of operations for the three months ended September 30, 2022, follows. Discussions compare the current fiscal year's three months ended September 30, 2022, to the prior fiscal year's three months ended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0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Services and Support</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3100" w:type="dxa"/>
            <w:vAlign w:val="bottom"/>
            <w:gridSpan w:val="8"/>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320,149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297,494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60 %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8% for the first quarter of fiscal 2023 compared to the same quarter a year ago. Reducing services and support revenue for deconversion fee revenue from each quarter, which was $4,518 for the current fiscal quarter and $3,724 for the prior fiscal year quarter and for the effects of acquisitions of $24 for the current fiscal quarter, results in growth of 7% quarter over quarter. This increase was primarily driven by growth in cloud processing, software usage, and implementation fee revenues, as well as an increase in user group fee revenue. Growth in software usage reflects a continuing shift of customers to our time-based license model.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3100" w:type="dxa"/>
            <w:vAlign w:val="bottom"/>
            <w:gridSpan w:val="8"/>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209,053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190,562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Processing revenue increased 10% for the first quarter of fiscal 2023 compared to the same quarter last fiscal year. Reducing processing revenue for the effects of acquisitions of $ 714 for the current fiscal quarter, results in growth of 9% quarter over quarter. This increase was primarily driven by higher card processing and Jack Henry digital revenue, including Banno, as well as payment processing fees, including iPay, primarily due to expanding volumes, complemented by growth in the other processing revenue components, quarter over quarter.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10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3100" w:type="dxa"/>
            <w:vAlign w:val="bottom"/>
            <w:gridSpan w:val="8"/>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298,261</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276,636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56 %</w:t>
            </w:r>
          </w:p>
        </w:tc>
        <w:tc>
          <w:tcPr>
            <w:tcW w:w="5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first quarter of fiscal 2023 increased 8% over the prior fiscal year first quarter. Reducing cost of revenue for the effects of deconversion fees from each quarter, which were $411 for the current fiscal year quarter and $337 for the prior fiscal year quarter and increasing cost of revenue for the net effects of acquisitions of $1,539 from the current fiscal year quarter, results in a 7% increase quarter over quarter. This increase was primarily due to higher costs associated with our card processing third-party platform, higher personnel costs, increased internal licenses and fees, and increased amortization of intangible assets at September 30, 2022, compared to the same period a year ago. The increases in cost of revenue were primarily due to organic growth within our product lines. Cost of revenue decreased 1% compared to the prior fiscal year quarter as a percentage of total revenue.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308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2022</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32,993</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6 %</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23% for the first quarter of fiscal 2023 over the prior fiscal year first quarter. Reducing research and development expense for the effects of acquisitions of $332 for the current fiscal quarter, results in a 22% increase quarter over quarter. This increase was primarily due to an increase in personnel costs, net of capitalization, quarter over quarter. Research and development expense for the quarter increased 1% compared to the prior fiscal year quarter as a percentage of total revenue.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08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b w:val="1"/>
                <w:bCs w:val="1"/>
                <w:color w:val="auto"/>
                <w:w w:val="94"/>
              </w:rPr>
              <w:t>2022</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57,225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11 %</w:t>
            </w:r>
          </w:p>
        </w:tc>
        <w:tc>
          <w:tcPr>
            <w:tcW w:w="5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12% in the first quarter of fiscal 2023 over the same quarter in the prior fiscal year. Reducing selling, general, and administrative expense for the effects of deconversion fees from each quarter, which were $242 for the current fiscal year quarter and $202 for the prior fiscal year quarter and increasing selling, general, and administrative expense for the net effects of acquisitions and gain/loss of $5,512 for the prior fiscal year quarter, results in a 23% increase quarter over quarter. This increase was primarily due to higher travel expenses and personnel costs, increased consulting and other professional services, and an increase in meetings and trainings. Selling, general, and administrative expense increased 1% as a percentage of total revenue this fiscal quarter versus the prior fiscal year quarter.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820" w:type="dxa"/>
            <w:vAlign w:val="bottom"/>
            <w:gridSpan w:val="7"/>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41"/>
        </w:trPr>
        <w:tc>
          <w:tcPr>
            <w:tcW w:w="7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r>
      <w:tr>
        <w:trPr>
          <w:trHeight w:val="185"/>
        </w:trPr>
        <w:tc>
          <w:tcPr>
            <w:tcW w:w="7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b w:val="1"/>
                <w:bCs w:val="1"/>
                <w:color w:val="auto"/>
                <w:w w:val="94"/>
              </w:rPr>
              <w:t>2022</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8"/>
                <w:szCs w:val="18"/>
                <w:color w:val="auto"/>
                <w:w w:val="94"/>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2,071 %</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(1,576)</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535 %</w:t>
            </w: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first quarter of fiscal 2023 compared to the same period a year ago. Interest expense increased when compared to the prior fiscal year quarter due to interest rate fluctuations, length of borrowing time, and amounts borrowed. There was a $245,000 outstanding balance under the credit facility at September 30, 2022, and $65,000 outstanding balance at September 30, 2021. The increase in the outstanding balance was primarily due to funding the Payrailz acquisition on August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08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 30,</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08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32,750</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31,240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23.5 %</w:t>
            </w: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effective tax rate was minimal for the first quarter of fiscal 2023 compared to the same quarter a year ago.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2780" w:type="dxa"/>
            <w:vAlign w:val="bottom"/>
            <w:gridSpan w:val="6"/>
          </w:tcPr>
          <w:p>
            <w:pPr>
              <w:jc w:val="right"/>
              <w:ind w:right="160"/>
              <w:spacing w:after="0"/>
              <w:rPr>
                <w:sz w:val="20"/>
                <w:szCs w:val="20"/>
                <w:color w:val="auto"/>
              </w:rPr>
            </w:pPr>
            <w:r>
              <w:rPr>
                <w:rFonts w:ascii="Arial" w:cs="Arial" w:eastAsia="Arial" w:hAnsi="Arial"/>
                <w:sz w:val="18"/>
                <w:szCs w:val="18"/>
                <w:color w:val="auto"/>
                <w:w w:val="99"/>
              </w:rPr>
              <w:t>Three Months Ended September</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189"/>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ind w:right="350"/>
              <w:spacing w:after="0" w:line="189" w:lineRule="exact"/>
              <w:rPr>
                <w:sz w:val="20"/>
                <w:szCs w:val="20"/>
                <w:color w:val="auto"/>
              </w:rPr>
            </w:pPr>
            <w:r>
              <w:rPr>
                <w:rFonts w:ascii="Arial" w:cs="Arial" w:eastAsia="Arial" w:hAnsi="Arial"/>
                <w:sz w:val="18"/>
                <w:szCs w:val="18"/>
                <w:color w:val="auto"/>
                <w:w w:val="87"/>
              </w:rPr>
              <w:t>30,</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3"/>
          </w:tcPr>
          <w:p>
            <w:pPr>
              <w:jc w:val="center"/>
              <w:ind w:left="10"/>
              <w:spacing w:after="0" w:line="189" w:lineRule="exact"/>
              <w:rPr>
                <w:sz w:val="20"/>
                <w:szCs w:val="20"/>
                <w:color w:val="auto"/>
              </w:rPr>
            </w:pPr>
            <w:r>
              <w:rPr>
                <w:rFonts w:ascii="Arial" w:cs="Arial" w:eastAsia="Arial" w:hAnsi="Arial"/>
                <w:sz w:val="18"/>
                <w:szCs w:val="18"/>
                <w:color w:val="auto"/>
              </w:rPr>
              <w:t>Change</w:t>
            </w:r>
          </w:p>
        </w:tc>
      </w:tr>
      <w:tr>
        <w:trPr>
          <w:trHeight w:val="34"/>
        </w:trPr>
        <w:tc>
          <w:tcPr>
            <w:tcW w:w="6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83"/>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gridSpan w:val="2"/>
          </w:tcPr>
          <w:p>
            <w:pPr>
              <w:jc w:val="right"/>
              <w:ind w:right="500"/>
              <w:spacing w:after="0" w:line="182" w:lineRule="exact"/>
              <w:rPr>
                <w:sz w:val="20"/>
                <w:szCs w:val="20"/>
                <w:color w:val="auto"/>
              </w:rPr>
            </w:pPr>
            <w:r>
              <w:rPr>
                <w:rFonts w:ascii="Arial" w:cs="Arial" w:eastAsia="Arial" w:hAnsi="Arial"/>
                <w:sz w:val="18"/>
                <w:szCs w:val="18"/>
                <w:color w:val="auto"/>
                <w:w w:val="94"/>
              </w:rPr>
              <w:t>2021</w:t>
            </w: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50"/>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106,549</w:t>
            </w: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102,114</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4 %</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6 %</w:t>
            </w:r>
          </w:p>
        </w:tc>
      </w:tr>
    </w:tbl>
    <w:p>
      <w:pPr>
        <w:spacing w:after="0" w:line="15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income increased 4% to $106,549, or $1.46 per diluted share, for the first quarter of fiscal 2023 compared to $102,114, or $1.38 per diluted share in the same quarter of fiscal 2022.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82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728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175,124</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165,285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72,240</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66,902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Core segment increased 6% and cost of revenue increased 8% for the three months ended September 30, 2022, compared to the three months ended September 30, 2021. This increase in Core revenue over the prior fiscal year quarter was primarily driven by the growth in cloud processing and software usage revenues. Cost of revenue increased 8% quarter over quarter primarily due to increased direct support costs and higher personnel costs. Cost of revenue increased 1% as a percentage of revenue for the first quarter of fiscal 2023 compared to the same quarter of fiscal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82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728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186,540</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172,591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101,155</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the Payments segment increased 8% for the first quarter of fiscal 2023 compared to the equivalent quarter of the prior fiscal year. Reducing Payments revenue for deconversion fee revenue in both periods, which totaled $1,435 for the first quarter of fiscal 2023 and $448 for the first quarter of fiscal 2022 and for revenue from acquisitions of $738 from the current fiscal year quarter, results in a 7% increase quarter over quarter. This Payments revenue growth was primarily due to increased card and remittance fee revenues within processing. Cost of revenue increased 7% quarter over quarter primarily due to increased costs related to our credit and debit card third-party processing platform in line with associated revenues and higher personnel costs. Cost of revenue as a percentage of revenue decreased 1% for the first quarter of fiscal 2023 compared to the same quarter of fiscal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82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728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148,350</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137,778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58,437</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54,417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in the Complementary segment increased 8% for the first quarter of fiscal 2023 compared to the equivalent quarter of the prior fiscal year. This Complementary revenue growth was primarily driven by increased Jack Henry digital and cloud processing revenues. Cost of revenue increased 7% quarter over quarter primarily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due to increased direct support and personnel costs. Cost of revenue as a percentage of revenue remained consistent for the first quarter of fiscal 2023 compared to the same quarter of fiscal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820" w:type="dxa"/>
            <w:vAlign w:val="bottom"/>
            <w:gridSpan w:val="7"/>
            <w:vMerge w:val="restart"/>
          </w:tcPr>
          <w:p>
            <w:pPr>
              <w:ind w:left="40"/>
              <w:spacing w:after="0"/>
              <w:rPr>
                <w:sz w:val="20"/>
                <w:szCs w:val="20"/>
                <w:color w:val="auto"/>
              </w:rPr>
            </w:pPr>
            <w:r>
              <w:rPr>
                <w:rFonts w:ascii="Arial" w:cs="Arial" w:eastAsia="Arial" w:hAnsi="Arial"/>
                <w:sz w:val="18"/>
                <w:szCs w:val="18"/>
                <w:color w:val="auto"/>
              </w:rPr>
              <w:t>Three Months Ended September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728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35"/>
        </w:trPr>
        <w:tc>
          <w:tcPr>
            <w:tcW w:w="7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30,</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19,188</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12,402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66,429</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60,735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increased 55% for the first quarter of fiscal 2023 compared to the equivalent quarter of the prior fiscal year. The increase quarter over quarter was primarily due to higher user group and hardware revenues. Revenue classified in the Corporate and Other segment includes revenues from other products and services and hardware not specifically attributed to any of the other three segments.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revenue for the Corporate and Other segment includes operating costs not directly attributable to any of the other three segments. The cost of revenue in the first quarter of fiscal 2023 increased 9% when compared to the prior fiscal year quarter primarily due to higher internal licenses and fees, personnel costs, and hardware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$31,970 at September 30, 2022, from $48,787 at June 30,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56,498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101,509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(60,662)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106,549</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for the first three months of fiscal 2023 increased 28% compared to the same period last year. Cash from operations is primarily used to repay debt, pay dividends, repurchase stock, for capital expenditures, and acquisitions.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first three months of fiscal 2023 totaled $249,594 and included: $228,986 for an acquisition; $38,715 for the ongoing enhancements and development of existing and new product and service offerings; capital expenditures on facilities and equipment of $7,737; and $408 for the purchase and development of internal use software. This was partially offset by proceeds from the sale of assets of $26,252. Cash used in investing activities for the first three months of fiscal 2022 totaled $46,451 and included $35,971 for the development of software; capital expenditures of $9,273; and $1,221 for the purchase and development of internal use software. This was partially offset by proceeds from the sale of assets of $14.</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provided cash of $95,946 for the first three months of fiscal 2023, including borrowings on credit facilities of $280,000 and $1,677 net cash inflow from the issuance of stock and tax withholding related to stock-based compensation. This was partially offset by payments on credit facilities of $150,022 and dividends paid to stockholders of $35,709. Financing activities used cash of $66,839 in the first three months of fiscal 2022 including $35,027 for repayments on credit facilities and financing leases and $34,036 for the payment of dividends. This was partially offset by $2,224 net cash inflow from the issuance of stock and tax withholding related to stock-based compensation.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$7,737 and $ 9,273 for the three months ended September 30, 2022, and September 30, 2021, respectively, were made primarily for additional equipment and the improvement of existing facilities. These additions were funded from cash generated by operations. Total consolidated capital expenditures on facilities and equipment for the Company for fiscal year 2023 are not expected to exceed $64,000 and will be funded from cash generated by operations.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2022, the Company acquired all of the equity interest of Payrailz for $229,563 paid in cash. The purchase price is subject to a customary post-closing adjustment to the extent actual closing date working capital, cash, debt and unpaid seller transaction expenses exceeds or is less than the amount estimated at closing. Pursuant to the merger agreement for the transaction, $48,500 of the purchase price was placed in an escrow account at the closing for final purchase price adjustments and indemnification matters under the merger agreement.</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and cash generated from operations. Payrailz provides cloud-native, API-first, AI-enabled consumer and commercial digital payment solutions and experiences that enable money to be moved in the moment of need.</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29, 2022, the Company entered into an agreement with Twilio Inc., which added contractual spend obligations for the period October 1, 2022, through September 30, 2027, of $16,350. This commitment is in addition to the commitments discussed in our Annual Report on Form 10-K for the year ended June 30, 2022.</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September 30, 2022, and June 30, 2022, there were 31,043 shares in treasury stock and the Company had the remaining authority to repurchase up to 3,948 additional shares. The total cost of treasury shares at September 30, 2022, and June 30, 2022, was $1,807,118.</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16, 2022, the Inflation Reduction Act of 2022 (“IRA”) was signed into law. The IRA made several changes to the U.S. tax code including, but not limited to, a 1% excise tax on net stock repurchases and tax incentives to promote clean energy. The Company does not expect the IRA to have a material impact on its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entered into a five-year senior, unsecured amended and restated credit agreement. The credit agreement allows for borrowings of up to $600,000, which may be increased by the Company to $1,000,000 at any time until maturity. The credit agreement bears interest at a variable rate equal to (a) a rate based on an adjusted Secured Overnight Financing Rate ("SOFR") term rate or</w:t>
      </w:r>
    </w:p>
    <w:p>
      <w:pPr>
        <w:spacing w:after="0" w:line="1" w:lineRule="exact"/>
        <w:rPr>
          <w:sz w:val="20"/>
          <w:szCs w:val="20"/>
          <w:color w:val="auto"/>
        </w:rPr>
      </w:pPr>
    </w:p>
    <w:p>
      <w:pPr>
        <w:jc w:val="both"/>
        <w:ind w:firstLine="8"/>
        <w:spacing w:after="0" w:line="253"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 alternate base rate (the highest of (a) 0%, (b) the Prime Rate for such day, (c)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(d)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September 30, 2022, the Company was in compliance with all such covenants. The amended and restated credit facility terminates August 31, 2027. There was $245,000 outstanding under the amended and restated credit facility at September 30, 2022.</w:t>
      </w:r>
    </w:p>
    <w:p>
      <w:pPr>
        <w:spacing w:after="0" w:line="48"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On June 30, 2022, there was a $115,000 outstanding balance on the prior credit facility that was entered into on February 10, 2020. The prior credit facility was a five-year senior, unsecured revolving credit facility. The credit facility allowed for borrowings of up to $300,000, which</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could be increased by the Company to $700,000 at any time until maturity. The prior credit facility bore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prior credit facility was guaranteed by certain subsidiaries of the Company and was subject to various financial covenants that required the Company to maintain certain financial ratios as defined in the prior credit agreement. As of June 30, 2022, the Company was in compliance with all such covenants. The prior credit facility's termination date was February 10,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The increase in the outstanding credit facility balance of $130,000 at September 30, 2022, compared to June 30, 2022, was primarily due to the acquisition of Payrailz during the three months ended September 30, 2022. This borrowing is expected to contribute to the increase in interest expense during fiscal 2023.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was renewed in March 2021 and expires on April 30, 2023. At September 30, 2022, and June 30, 2022, no amount was outstanding.</w:t>
      </w:r>
    </w:p>
    <w:p>
      <w:pPr>
        <w:spacing w:after="0" w:line="198" w:lineRule="exact"/>
        <w:rPr>
          <w:sz w:val="20"/>
          <w:szCs w:val="20"/>
          <w:color w:val="auto"/>
        </w:rPr>
      </w:pPr>
    </w:p>
    <w:p>
      <w:pPr>
        <w:ind w:right="4240"/>
        <w:spacing w:after="0" w:line="360"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59"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$245,000 outstanding debt with variable interest rates as of September 30, 2022, and a 1% increase in our borrowing rate would increase our annual interest expense by $2,450.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September 30, 2022,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15" w:lineRule="exact"/>
        <w:rPr>
          <w:sz w:val="20"/>
          <w:szCs w:val="20"/>
          <w:color w:val="auto"/>
        </w:rPr>
      </w:pPr>
    </w:p>
    <w:p>
      <w:pPr>
        <w:ind w:right="3900"/>
        <w:spacing w:after="0" w:line="406"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September 30,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80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8"/>
              </w:rPr>
              <w:t>Total Number of</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80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Shares</w:t>
            </w: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560" w:type="dxa"/>
            <w:vAlign w:val="bottom"/>
          </w:tcPr>
          <w:p>
            <w:pPr>
              <w:spacing w:after="0"/>
              <w:rPr>
                <w:sz w:val="24"/>
                <w:szCs w:val="2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Purchased</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1- July 31, 2022</w:t>
            </w:r>
          </w:p>
        </w:tc>
        <w:tc>
          <w:tcPr>
            <w:tcW w:w="15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August 1- August 31, 2022</w:t>
            </w:r>
          </w:p>
        </w:tc>
        <w:tc>
          <w:tcPr>
            <w:tcW w:w="1800" w:type="dxa"/>
            <w:vAlign w:val="bottom"/>
            <w:gridSpan w:val="3"/>
          </w:tcPr>
          <w:p>
            <w:pPr>
              <w:ind w:left="126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1- September 30, 2022</w:t>
            </w:r>
          </w:p>
        </w:tc>
        <w:tc>
          <w:tcPr>
            <w:tcW w:w="180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3"/>
          </w:tcPr>
          <w:p>
            <w:pPr>
              <w:ind w:left="12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3,947,713</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right="20" w:firstLine="8"/>
        <w:spacing w:after="0" w:line="233" w:lineRule="auto"/>
        <w:tabs>
          <w:tab w:leader="none" w:pos="201"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17, 2021, were for 35 million shares. Under these authorizations, the Company has repurchased and not re-issued 31,042,903 shares and has repurchased and re-issued 9,384 shares. These authorizations have no specific dollar or share price targets and no expiration dates.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ind w:left="700" w:right="600" w:hanging="1295"/>
        <w:spacing w:after="0" w:line="256"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35">
        <w:r>
          <w:rPr>
            <w:rFonts w:ascii="Arial" w:cs="Arial" w:eastAsia="Arial" w:hAnsi="Arial"/>
            <w:sz w:val="18"/>
            <w:szCs w:val="18"/>
            <w:u w:val="single" w:color="auto"/>
            <w:color w:val="0000FF"/>
          </w:rPr>
          <w:t>Jack Henry &amp; Associates, Inc. Executive Severance Plan, dated effective as of July 26, 2022 attached as Exhibit 10.72 to the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Company’s Current Report on Form 8-K filed July 29, 2022.</w:t>
        </w:r>
      </w:hyperlink>
    </w:p>
    <w:p>
      <w:pPr>
        <w:spacing w:after="0" w:line="193" w:lineRule="exact"/>
        <w:rPr>
          <w:sz w:val="20"/>
          <w:szCs w:val="20"/>
          <w:color w:val="auto"/>
        </w:rPr>
      </w:pPr>
    </w:p>
    <w:p>
      <w:pPr>
        <w:ind w:left="700" w:right="400" w:hanging="1295"/>
        <w:spacing w:after="0" w:line="233"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10.73</w:t>
      </w:r>
      <w:r>
        <w:rPr>
          <w:sz w:val="20"/>
          <w:szCs w:val="20"/>
          <w:color w:val="auto"/>
        </w:rPr>
        <w:tab/>
      </w:r>
      <w:hyperlink r:id="rId36">
        <w:r>
          <w:rPr>
            <w:rFonts w:ascii="Arial" w:cs="Arial" w:eastAsia="Arial" w:hAnsi="Arial"/>
            <w:sz w:val="18"/>
            <w:szCs w:val="18"/>
            <w:u w:val="single" w:color="auto"/>
            <w:color w:val="0000FF"/>
          </w:rPr>
          <w:t>Amended and Restated Credit Agreement, dated as of August 31, 2022 among Jack Henry &amp; Associates, Inc., as Borrower, the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lenders parties thereto, U.S. Bank National Association, as Administrative Agent, LC Issuer and Swing Line Lender, and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certain other financial institutions as co-syndication agents and joint lead arrangers and joint book runners attached as</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Exhibit 10.73 to the Company’s Current Report on Form 8-K filed September 1, 2022.</w:t>
        </w:r>
      </w:hyperlink>
    </w:p>
    <w:p>
      <w:pPr>
        <w:spacing w:after="0" w:line="209" w:lineRule="exact"/>
        <w:rPr>
          <w:rFonts w:ascii="Arial" w:cs="Arial" w:eastAsia="Arial" w:hAnsi="Arial"/>
          <w:sz w:val="18"/>
          <w:szCs w:val="18"/>
          <w:u w:val="single" w:color="auto"/>
          <w:color w:val="0000FF"/>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rFonts w:ascii="Arial" w:cs="Arial" w:eastAsia="Arial" w:hAnsi="Arial"/>
          <w:sz w:val="18"/>
          <w:szCs w:val="18"/>
          <w:u w:val="single" w:color="auto"/>
          <w:color w:val="0000FF"/>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rFonts w:ascii="Arial" w:cs="Arial" w:eastAsia="Arial" w:hAnsi="Arial"/>
          <w:sz w:val="18"/>
          <w:szCs w:val="18"/>
          <w:u w:val="single" w:color="auto"/>
          <w:color w:val="0000FF"/>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rFonts w:ascii="Arial" w:cs="Arial" w:eastAsia="Arial" w:hAnsi="Arial"/>
          <w:sz w:val="18"/>
          <w:szCs w:val="18"/>
          <w:u w:val="single" w:color="auto"/>
          <w:color w:val="0000FF"/>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w:t>
      </w:r>
    </w:p>
    <w:p>
      <w:pPr>
        <w:spacing w:after="0" w:line="32" w:lineRule="exact"/>
        <w:rPr>
          <w:rFonts w:ascii="Arial" w:cs="Arial" w:eastAsia="Arial" w:hAnsi="Arial"/>
          <w:sz w:val="18"/>
          <w:szCs w:val="18"/>
          <w:u w:val="single" w:color="auto"/>
          <w:color w:val="0000FF"/>
        </w:rPr>
      </w:pPr>
    </w:p>
    <w:p>
      <w:pPr>
        <w:sectPr>
          <w:pgSz w:w="11900" w:h="16838" w:orient="portrait"/>
          <w:cols w:equalWidth="0" w:num="2">
            <w:col w:w="720" w:space="200"/>
            <w:col w:w="10320"/>
          </w:cols>
          <w:pgMar w:left="320" w:top="125" w:right="3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within the Inline XBRL document</w:t>
      </w:r>
    </w:p>
    <w:p>
      <w:pPr>
        <w:sectPr>
          <w:pgSz w:w="11900" w:h="16838" w:orient="portrait"/>
          <w:cols w:equalWidth="0" w:num="1">
            <w:col w:w="11240"/>
          </w:cols>
          <w:pgMar w:left="320" w:top="125" w:right="339" w:bottom="1440" w:gutter="0" w:footer="0" w:header="0"/>
          <w:type w:val="continuous"/>
        </w:sectPr>
      </w:pPr>
    </w:p>
    <w:p>
      <w:pPr>
        <w:spacing w:after="0" w:line="24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2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rFonts w:ascii="Arial" w:cs="Arial" w:eastAsia="Arial" w:hAnsi="Arial"/>
          <w:sz w:val="18"/>
          <w:szCs w:val="18"/>
          <w:u w:val="single" w:color="auto"/>
          <w:color w:val="0000FF"/>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101.LAB*</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101.PRE*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rFonts w:ascii="Arial" w:cs="Arial" w:eastAsia="Arial" w:hAnsi="Arial"/>
          <w:sz w:val="18"/>
          <w:szCs w:val="18"/>
          <w:u w:val="single" w:color="auto"/>
          <w:color w:val="0000FF"/>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rFonts w:ascii="Arial" w:cs="Arial" w:eastAsia="Arial" w:hAnsi="Arial"/>
          <w:sz w:val="18"/>
          <w:szCs w:val="18"/>
          <w:u w:val="single" w:color="auto"/>
          <w:color w:val="0000FF"/>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rFonts w:ascii="Arial" w:cs="Arial" w:eastAsia="Arial" w:hAnsi="Arial"/>
          <w:sz w:val="18"/>
          <w:szCs w:val="18"/>
          <w:u w:val="single" w:color="auto"/>
          <w:color w:val="0000FF"/>
        </w:rPr>
      </w:pPr>
    </w:p>
    <w:p>
      <w:pPr>
        <w:jc w:val="both"/>
        <w:ind w:firstLine="8"/>
        <w:spacing w:after="0" w:line="259"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September 30, 2022, and June 30, 2022, (ii) the Condensed Consolidated Statements of Income for the three months ended September 30, 2022 and 2021, (iii) the Condensed Consolidated Statements of Changes in Shareholders' Equity for the three months ended September 30, 2022 and 2021, (iv) the Condensed Consolidated Statements of Cash Flows for the three months ended September 30, 2022 and 2021, and (v) Notes to Condensed Consolidated Financial Statements.</w:t>
      </w:r>
    </w:p>
    <w:p>
      <w:pPr>
        <w:spacing w:after="0" w:line="200" w:lineRule="exact"/>
        <w:rPr>
          <w:rFonts w:ascii="Arial" w:cs="Arial" w:eastAsia="Arial" w:hAnsi="Arial"/>
          <w:sz w:val="18"/>
          <w:szCs w:val="18"/>
          <w:u w:val="single" w:color="auto"/>
          <w:color w:val="0000FF"/>
        </w:rPr>
      </w:pPr>
    </w:p>
    <w:p>
      <w:pPr>
        <w:spacing w:after="0" w:line="317" w:lineRule="exact"/>
        <w:rPr>
          <w:rFonts w:ascii="Arial" w:cs="Arial" w:eastAsia="Arial" w:hAnsi="Arial"/>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November 9, 2022</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November 9, 2022</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three month period ended September 30,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three month period ended September 30,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35" Type="http://schemas.openxmlformats.org/officeDocument/2006/relationships/hyperlink" Target="https://www.sec.gov/Archives/edgar/data/779152/000077915222000051/jkhy-executiveseverancepla.htm" TargetMode="External"/><Relationship Id="rId36" Type="http://schemas.openxmlformats.org/officeDocument/2006/relationships/hyperlink" Target="https://www.sec.gov/Archives/edgar/data/779152/000077915222000081/jackhenry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2022-11-09T13:47:32Z</dcterms:created>
  <dcterms:modified xsi:type="dcterms:W3CDTF">2022-11-09T13:47:32Z</dcterms:modified>
</cp:coreProperties>
</file>