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December 31, 2025</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bl>
    <w:p>
      <w:pPr>
        <w:spacing w:after="0" w:line="156"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January 23, 2026, the Registrant had 72,167,368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December 31, 2025, and June 30, 2025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Six Months Ended December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2025 and 2024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Six</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December 31, 2025 and 2024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Six Months Ended December 31, 2025</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2024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2025,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ectPr>
          <w:pgSz w:w="11900" w:h="16838" w:orient="portrait"/>
          <w:cols w:equalWidth="0" w:num="1">
            <w:col w:w="10139"/>
          </w:cols>
          <w:pgMar w:left="320" w:top="890"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01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jc w:val="center"/>
              <w:ind w:left="31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Pr>
          <w:p>
            <w:pPr>
              <w:spacing w:after="0"/>
              <w:rPr>
                <w:sz w:val="20"/>
                <w:szCs w:val="2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298,458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317,977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201,705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180,151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75,777</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615,831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681,464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214,795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220,964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214,716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207,861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617,029</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474,527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443,624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48,440</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19,791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827,740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2,229,418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2,141,542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3,043,970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17,502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28,186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207,434</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290,485</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384,932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535,784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revenues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77,967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72,889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240,026</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64,439</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472,054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377,354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913,138</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104,541,919 shares issued at December 31, 2025;</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35"/>
        </w:trPr>
        <w:tc>
          <w:tcPr>
            <w:tcW w:w="7820" w:type="dxa"/>
            <w:vAlign w:val="bottom"/>
          </w:tcPr>
          <w:p>
            <w:pPr>
              <w:ind w:left="400"/>
              <w:spacing w:after="0"/>
              <w:rPr>
                <w:sz w:val="20"/>
                <w:szCs w:val="20"/>
                <w:color w:val="auto"/>
              </w:rPr>
            </w:pPr>
            <w:r>
              <w:rPr>
                <w:rFonts w:ascii="Arial" w:cs="Arial" w:eastAsia="Arial" w:hAnsi="Arial"/>
                <w:sz w:val="18"/>
                <w:szCs w:val="18"/>
                <w:color w:val="auto"/>
              </w:rPr>
              <w:t>104,415,989 shares issued at June 30, 2025</w:t>
            </w:r>
          </w:p>
        </w:tc>
        <w:tc>
          <w:tcPr>
            <w:tcW w:w="22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652,218</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3,557,470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3,372,794</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32,375,100 shares at December 31, 2025;</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(2,020,461)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(1,895,224)</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31,579,598 shares at June 30, 2025</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2,203,058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2,130,832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3,043,970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95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780" w:type="dxa"/>
            <w:vAlign w:val="bottom"/>
          </w:tcPr>
          <w:p>
            <w:pPr>
              <w:spacing w:after="0"/>
              <w:rPr>
                <w:sz w:val="19"/>
                <w:szCs w:val="19"/>
                <w:color w:val="auto"/>
              </w:rPr>
            </w:pPr>
          </w:p>
        </w:tc>
        <w:tc>
          <w:tcPr>
            <w:tcW w:w="4160" w:type="dxa"/>
            <w:vAlign w:val="bottom"/>
            <w:gridSpan w:val="7"/>
          </w:tcPr>
          <w:p>
            <w:pPr>
              <w:jc w:val="center"/>
              <w:ind w:right="680"/>
              <w:spacing w:after="0"/>
              <w:rPr>
                <w:sz w:val="20"/>
                <w:szCs w:val="20"/>
                <w:color w:val="auto"/>
              </w:rPr>
            </w:pPr>
            <w:r>
              <w:rPr>
                <w:rFonts w:ascii="Arial" w:cs="Arial" w:eastAsia="Arial" w:hAnsi="Arial"/>
                <w:sz w:val="18"/>
                <w:szCs w:val="18"/>
                <w:color w:val="auto"/>
              </w:rPr>
              <w:t>(In Thousands, Except Per Share Data)</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2024</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619,334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1,264,071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1,174,829</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350,989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699,554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676,282</w:t>
            </w: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42,228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80,780</w:t>
            </w:r>
          </w:p>
        </w:tc>
      </w:tr>
      <w:tr>
        <w:trPr>
          <w:trHeight w:val="229"/>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66,969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139,799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143,489</w:t>
            </w:r>
          </w:p>
        </w:tc>
      </w:tr>
      <w:tr>
        <w:trPr>
          <w:trHeight w:val="223"/>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460,186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920,858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900,551</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159,148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343,213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274,278</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13,326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15,506</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23"/>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r>
      <w:tr>
        <w:trPr>
          <w:trHeight w:val="250"/>
        </w:trPr>
        <w:tc>
          <w:tcPr>
            <w:tcW w:w="3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164,193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354,511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284,179</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39,525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85,856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67,143</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124,668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268,655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217,036</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72,267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72,914</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72,413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72,661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gridSpan w:val="7"/>
          </w:tcPr>
          <w:p>
            <w:pPr>
              <w:jc w:val="center"/>
              <w:ind w:left="271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006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 (Unaudited)</w:t>
            </w:r>
          </w:p>
        </w:tc>
        <w:tc>
          <w:tcPr>
            <w:tcW w:w="1160" w:type="dxa"/>
            <w:vAlign w:val="bottom"/>
          </w:tcPr>
          <w:p>
            <w:pPr>
              <w:spacing w:after="0"/>
              <w:rPr>
                <w:sz w:val="19"/>
                <w:szCs w:val="19"/>
                <w:color w:val="auto"/>
              </w:rPr>
            </w:pPr>
          </w:p>
        </w:tc>
      </w:tr>
      <w:tr>
        <w:trPr>
          <w:trHeight w:val="229"/>
        </w:trPr>
        <w:tc>
          <w:tcPr>
            <w:tcW w:w="8420" w:type="dxa"/>
            <w:vAlign w:val="bottom"/>
            <w:gridSpan w:val="7"/>
          </w:tcPr>
          <w:p>
            <w:pPr>
              <w:jc w:val="center"/>
              <w:ind w:left="2710"/>
              <w:spacing w:after="0"/>
              <w:rPr>
                <w:sz w:val="20"/>
                <w:szCs w:val="20"/>
                <w:color w:val="auto"/>
              </w:rPr>
            </w:pPr>
            <w:r>
              <w:rPr>
                <w:rFonts w:ascii="Arial" w:cs="Arial" w:eastAsia="Arial" w:hAnsi="Arial"/>
                <w:sz w:val="18"/>
                <w:szCs w:val="18"/>
                <w:color w:val="auto"/>
                <w:w w:val="99"/>
              </w:rPr>
              <w:t>(In Thousands, Except Share and Per Share Data)</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9"/>
                <w:szCs w:val="19"/>
                <w:color w:val="auto"/>
              </w:rPr>
            </w:pPr>
          </w:p>
        </w:tc>
        <w:tc>
          <w:tcPr>
            <w:tcW w:w="26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26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5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104,512,857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104,332,023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104,415,989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104,245,089</w:t>
            </w: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89,215</w:t>
            </w:r>
          </w:p>
        </w:tc>
      </w:tr>
      <w:tr>
        <w:trPr>
          <w:trHeight w:val="229"/>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36,120</w:t>
            </w:r>
          </w:p>
        </w:tc>
      </w:tr>
      <w:tr>
        <w:trPr>
          <w:trHeight w:val="248"/>
        </w:trPr>
        <w:tc>
          <w:tcPr>
            <w:tcW w:w="5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104,541,919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104,370,424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104,541,919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104,370,424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50"/>
        </w:trPr>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654,923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623,381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652,218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619,805</w:t>
            </w: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(6,987)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(7,342)</w:t>
            </w: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r>
      <w:tr>
        <w:trPr>
          <w:trHeight w:val="229"/>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r>
      <w:tr>
        <w:trPr>
          <w:trHeight w:val="223"/>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665,004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633,211</w:t>
            </w:r>
          </w:p>
        </w:tc>
      </w:tr>
      <w:tr>
        <w:trPr>
          <w:trHeight w:val="250"/>
        </w:trPr>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3,474,635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3,160,777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3,372,794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3,081,690</w:t>
            </w: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217,036</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(80,193)</w:t>
            </w:r>
          </w:p>
        </w:tc>
      </w:tr>
      <w:tr>
        <w:trPr>
          <w:trHeight w:val="223"/>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3,557,470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3,218,533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3,557,470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3,218,533</w:t>
            </w:r>
          </w:p>
        </w:tc>
      </w:tr>
      <w:tr>
        <w:trPr>
          <w:trHeight w:val="250"/>
        </w:trPr>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(1,957,269)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(1,860,173)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(1,895,224)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(1,860,173)</w:t>
            </w: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r>
      <w:tr>
        <w:trPr>
          <w:trHeight w:val="223"/>
        </w:trPr>
        <w:tc>
          <w:tcPr>
            <w:tcW w:w="5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(2,020,461)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(2,020,461)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(1,877,223)</w:t>
            </w:r>
          </w:p>
        </w:tc>
      </w:tr>
      <w:tr>
        <w:trPr>
          <w:trHeight w:val="250"/>
        </w:trPr>
        <w:tc>
          <w:tcPr>
            <w:tcW w:w="55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2,203,058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2,203,058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1,975,565</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8"/>
        </w:trPr>
        <w:tc>
          <w:tcPr>
            <w:tcW w:w="7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268,655</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217,036</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22,731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79,517</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69,734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(5,340)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21,385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49,811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(34,384)</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(8,340)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(9,345)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(92,379)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(119,463)</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273,254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206,543</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(30,096)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(29,469)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assets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investments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investments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(155,806)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(119,800)</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Repayments on credit facilities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(83,979)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(80,193)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stock issued for equity-based payment arrangements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(6,987)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(191,185)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(99,374)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101,953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7,400 banks, credit unions,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Jack Henry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fiscal three and six months ended December 31, 2025 and 2024,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fiscal three and six months ended December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10"/>
          </w:tcPr>
          <w:p>
            <w:pPr>
              <w:ind w:left="20"/>
              <w:spacing w:after="0"/>
              <w:rPr>
                <w:sz w:val="20"/>
                <w:szCs w:val="20"/>
                <w:color w:val="auto"/>
              </w:rPr>
            </w:pPr>
            <w:r>
              <w:rPr>
                <w:rFonts w:ascii="Arial" w:cs="Arial" w:eastAsia="Arial" w:hAnsi="Arial"/>
                <w:sz w:val="18"/>
                <w:szCs w:val="18"/>
                <w:color w:val="auto"/>
              </w:rPr>
              <w:t>Three Months Ended December</w:t>
            </w:r>
          </w:p>
        </w:tc>
        <w:tc>
          <w:tcPr>
            <w:tcW w:w="2820" w:type="dxa"/>
            <w:vAlign w:val="bottom"/>
            <w:gridSpan w:val="9"/>
            <w:vMerge w:val="restart"/>
          </w:tcPr>
          <w:p>
            <w:pPr>
              <w:jc w:val="right"/>
              <w:ind w:right="100"/>
              <w:spacing w:after="0"/>
              <w:rPr>
                <w:sz w:val="20"/>
                <w:szCs w:val="20"/>
                <w:color w:val="auto"/>
              </w:rPr>
            </w:pPr>
            <w:r>
              <w:rPr>
                <w:rFonts w:ascii="Arial" w:cs="Arial" w:eastAsia="Arial" w:hAnsi="Arial"/>
                <w:sz w:val="18"/>
                <w:szCs w:val="18"/>
                <w:color w:val="auto"/>
              </w:rPr>
              <w:t>Six Months Ended December 31,</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5"/>
              </w:rPr>
              <w:t>31,</w:t>
            </w: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tcBorders>
              <w:bottom w:val="single" w:sz="8" w:color="auto"/>
            </w:tcBorders>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310"/>
              <w:spacing w:after="0" w:line="182"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3"/>
          </w:tcPr>
          <w:p>
            <w:pPr>
              <w:jc w:val="right"/>
              <w:ind w:right="39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3"/>
          </w:tcPr>
          <w:p>
            <w:pPr>
              <w:jc w:val="right"/>
              <w:ind w:right="39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6,489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 Accumulated depreciation at December 31, 2025, totaled $469,969 and at June 30, 2025, totaled $499,928.</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2025, held for sale assets included two aircraft and related equipment with a carrying value of approximately $5,606. The sales of these assets were completed during the fiscal six months ended December 31, 2025. Total assets held for sale by the Company at December 31, 2025 and June 30, 2025, were $0 and $5,606, respectively, and were included in assets held for sale on the Company's condensed consolidated balance sheets and were not included in property and equipment, net.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$1,495,130 and $1,436,825 at December 31, 2025, and June 30, 2025,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2025, and June 30, 2025, the Company had $33,250 and $25,750 in non-current investments, respectively. These investments were recorded at cost and are included within other non-current assets on the Company's condensed consolidated balance sheets. There have been no events or changes in circumstances that would indicate an impairment and no price changes resulting from observing a similar or identical investment. An impairment and/or an observable price change would be an adjustment to recorded cost. Fair values will not be estimated unless there are identified events or changes in circumstances that may have a significant effect on the fair values of the investments.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credit facilities. The share repurchase program does not include specific price targets or timetables and may be suspended at any time. At December 31, 2025, there were 32,375 shares in treasury stock and the Company had the remaining authority to repurchase up to 2,616 additional shares. The total cost of treasury stock at December 31, 2025, was $2,020,461. During the first six months of fiscal 2026, the Company repurchased 795 shares. At June 30, 2025, there were 31,580 shares in treasury stock and the Company had the remaining authority to repurchase up to 3,411 additional shares. The total cost of treasury stock at June 30, 2025, was $1,895,224. During the first six months of fiscal 2025, the Company repurchased over 99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2025.</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December 31, 2025, the results of its operations for the fiscal three and six months ended December 31, 2025 and 2024, changes in stockholders' equity for the fiscal three and six months ended December 31, 2025 and 2024, and its cash flows for the fiscal six months ended December 31, 2025 and 2024. The condensed consolidated balance sheet at June 30, 2025, was derived from audited annual financial statements, but does not contain all of the footnote disclosures from the annual financial statements.</w:t>
      </w:r>
    </w:p>
    <w:p>
      <w:pPr>
        <w:spacing w:after="0" w:line="4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results of operations for the fiscal three and six months ended December 31, 2025,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followed by the Company are set forth in Note 1 to the Company's consolidated financial statements included in its Form 10-K for the fiscal year ended June 30, 2025. For the fiscal three and six months ended December 31, 2025, there have been no new or material changes to the significant accounting policies discussed in the Company’s Form 10-K for the fiscal year ended June 30, 2025, that are of significance, or potential significance, to the Company.</w:t>
      </w:r>
    </w:p>
    <w:p>
      <w:pPr>
        <w:spacing w:after="0" w:line="1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was effective for fiscal years beginning after December 15, 2023, and interim periods within fiscal years beginning after December 15, 2024, and should be applied retrospectively to all prior periods presented in the financial statements. The Company adopted this ASU effective for the fiscal year ended June 30, 2025, with retrospective application of the additional segment information for the fiscal years ended June 30, 2024, and 2023. Additional information regarding the Company's reportable segments, including the application of this ASU for the fiscal three and six months ended December 31, 2025, and 2024, is included in Note 11 to the condensed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will adopt this ASU for the fiscal year ending June 30, 2026.</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2025, the FASB issued ASU No. 2025-06, Intangibles-Goodwill and Other-Internal-Use Software (Subtopic 350-40): Targeted Improvements to the Accounting for Internal-Use Software, which amends guidance related to the accounting for internal-use software development costs. The amendments are intended to modernize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ASU is effective for annual reporting periods beginning after December 15, 2027, and interim reporting periods within those annual reporting periods. Early adoption is permitted as of the beginning of an annual reporting period. The Company is currently evaluating the impact of this ASU on its consolidated financial statements and related disclosures.</w:t>
      </w:r>
    </w:p>
    <w:p>
      <w:pPr>
        <w:spacing w:after="0" w:line="1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and hosting, transaction processing, software licensing and related services, professional services, and hardware sales.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11, Reportable Segment Information, for disaggregated revenue by type and reportable segment. The majority of the Company’s revenue is earned domestically, with revenue from clients outside the United States comprising less than 1% of total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Pr>
          <w:p>
            <w:pPr>
              <w:spacing w:after="0"/>
              <w:rPr>
                <w:sz w:val="20"/>
                <w:szCs w:val="20"/>
                <w:color w:val="auto"/>
              </w:rPr>
            </w:pPr>
          </w:p>
        </w:tc>
        <w:tc>
          <w:tcPr>
            <w:tcW w:w="3880" w:type="dxa"/>
            <w:vAlign w:val="bottom"/>
            <w:gridSpan w:val="10"/>
          </w:tcPr>
          <w:p>
            <w:pPr>
              <w:ind w:left="460"/>
              <w:spacing w:after="0"/>
              <w:rPr>
                <w:sz w:val="20"/>
                <w:szCs w:val="20"/>
                <w:color w:val="auto"/>
              </w:rPr>
            </w:pPr>
            <w:r>
              <w:rPr>
                <w:rFonts w:ascii="Arial" w:cs="Arial" w:eastAsia="Arial" w:hAnsi="Arial"/>
                <w:sz w:val="18"/>
                <w:szCs w:val="18"/>
                <w:color w:val="auto"/>
              </w:rPr>
              <w:t>Three Months Ended December 31,</w:t>
            </w:r>
          </w:p>
        </w:tc>
        <w:tc>
          <w:tcPr>
            <w:tcW w:w="340" w:type="dxa"/>
            <w:vAlign w:val="bottom"/>
          </w:tcPr>
          <w:p>
            <w:pPr>
              <w:spacing w:after="0"/>
              <w:rPr>
                <w:sz w:val="20"/>
                <w:szCs w:val="20"/>
                <w:color w:val="auto"/>
              </w:rPr>
            </w:pPr>
          </w:p>
        </w:tc>
        <w:tc>
          <w:tcPr>
            <w:tcW w:w="3460" w:type="dxa"/>
            <w:vAlign w:val="bottom"/>
            <w:gridSpan w:val="8"/>
          </w:tcPr>
          <w:p>
            <w:pPr>
              <w:jc w:val="right"/>
              <w:ind w:right="580"/>
              <w:spacing w:after="0"/>
              <w:rPr>
                <w:sz w:val="20"/>
                <w:szCs w:val="20"/>
                <w:color w:val="auto"/>
              </w:rPr>
            </w:pPr>
            <w:r>
              <w:rPr>
                <w:rFonts w:ascii="Arial" w:cs="Arial" w:eastAsia="Arial" w:hAnsi="Arial"/>
                <w:sz w:val="18"/>
                <w:szCs w:val="18"/>
                <w:color w:val="auto"/>
              </w:rPr>
              <w:t>Six Months Ended December 31,</w:t>
            </w:r>
          </w:p>
        </w:tc>
      </w:tr>
      <w:tr>
        <w:trPr>
          <w:trHeight w:val="183"/>
        </w:trPr>
        <w:tc>
          <w:tcPr>
            <w:tcW w:w="3560" w:type="dxa"/>
            <w:vAlign w:val="bottom"/>
          </w:tcPr>
          <w:p>
            <w:pPr>
              <w:spacing w:after="0"/>
              <w:rPr>
                <w:sz w:val="15"/>
                <w:szCs w:val="15"/>
                <w:color w:val="auto"/>
              </w:rPr>
            </w:pPr>
          </w:p>
        </w:tc>
        <w:tc>
          <w:tcPr>
            <w:tcW w:w="1180" w:type="dxa"/>
            <w:vAlign w:val="bottom"/>
            <w:tcBorders>
              <w:top w:val="single" w:sz="8" w:color="auto"/>
            </w:tcBorders>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2025</w:t>
            </w: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68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color w:val="auto"/>
              </w:rPr>
              <w:t>2024</w:t>
            </w:r>
          </w:p>
        </w:tc>
      </w:tr>
      <w:tr>
        <w:trPr>
          <w:trHeight w:val="21"/>
        </w:trPr>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187,139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398,325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369,398</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64,051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56,278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139,863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113,942</w:t>
            </w: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79,041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79,610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184,471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196,366</w:t>
            </w: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345,809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323,027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722,659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679,706</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273,525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250,821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541,412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495,123</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619,334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573,848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1,264,071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1,174,829</w:t>
            </w:r>
          </w:p>
        </w:tc>
      </w:tr>
      <w:tr>
        <w:trPr>
          <w:trHeight w:val="20"/>
        </w:trPr>
        <w:tc>
          <w:tcPr>
            <w:tcW w:w="3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clients.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2025</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317,977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36,860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36,221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193,027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290,485</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72,889</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client discounts (contract incentives) where revenue is recognized and payment of consideration under the contract is contingent upon the transfer of services to a client over the contractual period. The current portion of contract assets is reported within prepaid expenses and other in the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fiscal three months ended December 31, 2025, and 2024, the Company recognized revenue of $77,274 and $76,528, respectively, that was included in the corresponding deferred revenue balance at the beginning of the periods. For the fiscal six months ended December 31, 2025, and 2024, the Company recognized revenue of $147,736 and $152,657</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 that was included in the corresponding deferred revenue balance at the beginning of the periods.</w:t>
      </w: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estimated revenue expected to be recognized in the future related to performance obligations that are unsatisfied (or partially unsatisfied) at the end of the reporting period totaled $7,998,267. The Company expects to recognize approximately 23% over the next 12 months, 19% in 13-24 months, and the balance thereafter.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to obtain contracts with clients are included within prepaid expenses and other (current portion) and other non-current assets (non-current portion) in the Company's condensed consolidated balance sheets. Capitalized costs to fulfill contracts with clients are included within deferred costs (current portion) and non-current deferred costs (non-current portion) in the Company's condensed consolidated balance sheets. Capitalized costs are amortized based on the transfer of goods or services to which the asset relates, in line with the percentage of revenue recognized for each performance obligation to which the costs are allocated. Capitalized costs as of December 31, 2025, and June 30, 2025,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2025</w:t>
            </w: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Capitalized costs to obtain contracts with clients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267,726</w:t>
            </w: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Capitalized costs to fulfill contracts with clients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293,182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273,988</w:t>
            </w:r>
          </w:p>
        </w:tc>
      </w:tr>
    </w:tbl>
    <w:p>
      <w:pPr>
        <w:spacing w:after="0" w:line="40" w:lineRule="exact"/>
        <w:rPr>
          <w:sz w:val="20"/>
          <w:szCs w:val="20"/>
          <w:color w:val="auto"/>
        </w:rPr>
      </w:pPr>
    </w:p>
    <w:p>
      <w:pPr>
        <w:ind w:left="100" w:hanging="92"/>
        <w:spacing w:after="0"/>
        <w:tabs>
          <w:tab w:leader="none" w:pos="10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current and non-current capitalized costs of $73,596 and $203,118 at December 31, 2025, respectively, and $82,441 and $185,285 at June 30, 2025, respectively.</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fiscal three months ended December 31, 2025, and 2024, amortization of deferred contract costs totaled $ 46,806 and $43,640, respectively. For the fiscal six months ended December 31, 2025, and 2024, amortization of deferred contract costs totaled $93,988 and $98,547, respectively. There were no impairment losses in relation to capitalized costs for the periods presented.</w:t>
      </w:r>
    </w:p>
    <w:p>
      <w:pPr>
        <w:spacing w:after="0" w:line="2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9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financial assets and liabilities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Total Fair</w:t>
            </w:r>
          </w:p>
        </w:tc>
      </w:tr>
      <w:tr>
        <w:trPr>
          <w:trHeight w:val="223"/>
        </w:trPr>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December 31, 2025</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9,652</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9,652</w:t>
            </w: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60" w:type="dxa"/>
            <w:vAlign w:val="bottom"/>
          </w:tcPr>
          <w:p>
            <w:pPr>
              <w:spacing w:after="0"/>
              <w:rPr>
                <w:sz w:val="19"/>
                <w:szCs w:val="19"/>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850"/>
        </w:trPr>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3 months to 7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2025, and June 30, 2025, the Company had operating lease assets of $42,149 and $44,761, respectively. At December 31, 2025, total operating lease liabilities of $48,497 were comprised of current operating lease liabilities of $9,584 and noncurrent operating lease liabilities of $38,913. At June 30, 2025, total operating lease liabilities of $51,187 were comprised of current operating lease liabilities of $9,397 and noncurrent operating lease liabilities of $41,790.</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sheets. Operating lease assets were recorded net of accumulated amortization of $45,934 and $41,229 as of December 31, 2025, and June 30, 2025, respectively.</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costs for the fiscal three months ended December 31, 2025, and 2024, were $2,793 and $2,900, respectively. Total operating lease costs for the respective quarters included variable lease costs of $796 and $930, respectively. Operating lease costs for the fiscal six months ended December 31, 2025, and 2024, were $5,563 and $5,792, respectively. Total operating lease costs for the respective fiscal year-to-date periods included variable lease costs of $2,146 and $1,483, respectively. Operating lease expense is included within cost of revenue, research and development, and selling, general, and administrative expense, dependent upon the nature and use of the ROU asset, in the Company’s condensed consolidated statements of income.</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fiscal six months ended December 31, 2025, and 2024, the Company had operating cash flows for payments on operating leases of $5,639 and $5,197, and ROU assets obtained in exchange for operating lease liabilities of $2,081 and $7, respectively.</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and June 30, 2025, the weighted-average remaining lease term for the Company's operating leases was 64 months and 69 months, respectively, and the weighted-average discount rate was 2.76% and 2.71%,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30"/>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2026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10,866</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53,463</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48,497</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$ 5,464 related to options to extend lease terms that are reasonably certain of being exercised. At December 31, 2025, there were no material legally binding lease payments for leases signed but not yet commenced.</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may sublease its facilities from time to time to third parties. Sublease income is recognized on a straight-line basis over the lease term, and is included within revenue on the Company's condensed consolidated statements of income. Sublease income was immaterial for the fiscal three and six months ended December 31, 2025, and 2024, and the Company expects sublease income to remain immaterial in future periods.</w:t>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w:t>
      </w:r>
    </w:p>
    <w:p>
      <w:pPr>
        <w:spacing w:after="0" w:line="1" w:lineRule="exact"/>
        <w:rPr>
          <w:sz w:val="20"/>
          <w:szCs w:val="20"/>
          <w:color w:val="auto"/>
        </w:rPr>
      </w:pPr>
    </w:p>
    <w:p>
      <w:pPr>
        <w:jc w:val="both"/>
        <w:ind w:firstLine="8"/>
        <w:spacing w:after="0" w:line="253" w:lineRule="auto"/>
        <w:tabs>
          <w:tab w:leader="none" w:pos="28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December 31, 2025, the Company was in compliance with all such covenants. The credit facility terminates August 31, 2027. There was $20,000 and $0 outstanding under the credit facility at December 31, 2025, and June 30, 2025,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provided for funding of up to $50,000 and bore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did not constitute a committed line of credit. The line of credit expired on October 31, 2025. There was no balance outstanding at December 31, 2025, or June 30, 2025.</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July 18, 2025, the Company entered into an unsecured committed revolving line of credit facility with a commercial bank in the amount of $50,000, which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line of credit expires on July 17, 2026. There was no balance outstanding at December 31, 2025.</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$1,783 and $4,352 during the fiscal six months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increased for the fiscal three months ended December 31, 2025, compared to the fiscal three months ended December 31, 2024, with an effective tax rate of 24.1% of income before income taxes, compared to 23.2% in the prior fiscal year quarter. The increase in the Company's effective tax rate was primarily due to differences in the tax impacts of stock-based compensation between the two periods and the tax benefits from the purchase of investment tax credits during the prior fiscal year quarter.</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fiscal six months ended December 31, 2025, the effective tax rate increased compared to the fiscal six months ended December 31, 2024, with an effective tax rate of 24.2% of income before income taxes, compared to 23.6% for the same period last fiscal year. The increase in the effective tax rate for the fiscal six months ended December 31, 2025, was primarily due to differences in the tax impacts of stock-based compensation between the two periods and the tax benefits from the purchase of investment tax credits during the prior fiscal year.</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paid income taxes, net of refunds, of $24,835 and $65,833 in the fiscal six months ended December 31, 2025, and 2024, respectively.</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4, 2025, the One Big Beautiful Bill Act (“OBBBA”) was enacted, introducing significant changes to U.S. federal income tax law. Key provisions affecting the Company include the permanent restoration of immediate expensing for domestic research and development (“R&amp;D”), an election to deduct the unamortized balance of domestic R&amp;D expenditures that were previously capitalized under the Tax Cuts and Jobs Act of 2017 ("TCJA"), and the reinstatement of 100% bonus depreciation for qualified property placed in service after January 19, 2025. The legislation did not materially impact the effective tax rate in the current period, and the Company does not anticipate a material impact in future periods. However, the Company does anticipate a significant reduction in cash tax payments and income taxes payable for the current fiscal year as well as a decrease in deferred tax assets related to the key provisions cited above.</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tax effects of the change in tax law on current or deferred tax balances have been recorded as a component of the income tax provision related to continuing operations. The Company will continue to monitor developments related to OBBBA and evaluate the financial reporting implications of any elections or method changes made under the new guidance.</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2025, the Company had $23,890 of gross unrecognized tax benefits before interest and penalties, $21,501 of which, if recognized, would affect our effective tax rate. The Company had accrued interest and penalties of $5,304 related to uncertain tax positions at December 31, 2025. We do not expect a material change to our unrecognized tax benefits during the next twelve months.</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and state income tax returns for fiscal 2022 and all subsequent years remain subject to examination as of December 31, 2025, under statute of limitations rules. In addition, certain U.S. state income tax returns remain subject to examination as of December 31, 2025, under the statute of limitation rules for fiscal 2016 through 2022. The Internal Revenue Service ("IRS") is currently conducting an examination of the Company's U.S. federal income tax return for the fiscal 2023 tax year. The IRS examination was initiated during the first quarter of fiscal 2026 and as of December 31, 2025, this examination is still ongoing.</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income for the fiscal three months ended December 31, 2025, and 2024, included $8,438 and $8,834 of stock-based compensation costs, respectively. Our operating income for the fiscal six months ended December 31, 2025, and 2024, included $14,756 and $15,539 of stock-based compensation costs, respectively.</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associates and non-employee directors. The plan expired on November 10, 2025. The plan allowed for grants of stock options, stock appreciation rights, restricted stock shares or units, and performance shares or units. The maximum number of shares that were authorized for issuance under the plan was 3,000.</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12, 2025, the Company adopted the 2025 Equity Incentive Plan ("2025 EIP") for its associates and non-employee directors. The plan allows for grants of stock options, restricted stock shares or units, and performance shares or units. The maximum number of shares authorized for issuance under the plan is 4,700.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issued unit awards under the 2015 EIP for fiscal 2026 until November 10, 2025, the date on which the 2015 EIP expired. Subsequent to this expiration, unit awards were issued under the 2025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restricted stock unit awards and performance unit awards as of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5"/>
        </w:trPr>
        <w:tc>
          <w:tcPr>
            <w:tcW w:w="486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170"/>
              <w:spacing w:after="0"/>
              <w:rPr>
                <w:sz w:val="20"/>
                <w:szCs w:val="20"/>
                <w:color w:val="auto"/>
              </w:rPr>
            </w:pPr>
            <w:r>
              <w:rPr>
                <w:rFonts w:ascii="Arial" w:cs="Arial" w:eastAsia="Arial" w:hAnsi="Arial"/>
                <w:sz w:val="18"/>
                <w:szCs w:val="18"/>
                <w:b w:val="1"/>
                <w:bCs w:val="1"/>
                <w:color w:val="auto"/>
              </w:rPr>
              <w:t>Date Fair Value Per Unit</w:t>
            </w:r>
          </w:p>
        </w:tc>
        <w:tc>
          <w:tcPr>
            <w:tcW w:w="4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2025</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99"/>
              </w:rPr>
              <w:t>348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183.88</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00" w:type="dxa"/>
            <w:vAlign w:val="bottom"/>
          </w:tcPr>
          <w:p>
            <w:pPr>
              <w:jc w:val="center"/>
              <w:ind w:left="1350"/>
              <w:spacing w:after="0"/>
              <w:rPr>
                <w:sz w:val="20"/>
                <w:szCs w:val="20"/>
                <w:color w:val="auto"/>
              </w:rPr>
            </w:pPr>
            <w:r>
              <w:rPr>
                <w:rFonts w:ascii="Arial" w:cs="Arial" w:eastAsia="Arial" w:hAnsi="Arial"/>
                <w:sz w:val="18"/>
                <w:szCs w:val="18"/>
                <w:color w:val="auto"/>
                <w:w w:val="99"/>
              </w:rPr>
              <w:t>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168.58</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9"/>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188.51</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224.85</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December 31, 2025</w:t>
            </w:r>
          </w:p>
        </w:tc>
        <w:tc>
          <w:tcPr>
            <w:tcW w:w="1900" w:type="dxa"/>
            <w:vAlign w:val="bottom"/>
            <w:tcBorders>
              <w:bottom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b w:val="1"/>
                <w:bCs w:val="1"/>
                <w:color w:val="auto"/>
                <w:w w:val="99"/>
              </w:rPr>
              <w:t>368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171.47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67,180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with market conditions at 100% achievement.</w:t>
      </w:r>
    </w:p>
    <w:p>
      <w:pPr>
        <w:jc w:val="both"/>
        <w:spacing w:after="0" w:line="28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172 unit awards granted in fiscal 2026, 121 were restricted stock unit awards and 51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20 of the performance unit awards granted in fiscal 2026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first fiscal year vesting period, second fiscal year vesting period, third fiscal year vesting period, and the cumulative fiscal three-year vesting period compared against goal thresholds as defined in the award agreement. The performance payout at release of the other half of these performance unit awards will be determined based on the expansion of the Company's non-GAAP operating margin over the first fiscal year vesting period, second fiscal year vesting period, third fiscal year vesting period, and the cumulative fiscal three-year vesting period. 31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comprised of the Standard and Poor's 900 Index ("S&amp;P 900") participant companies for fiscal year 2026. The Monte Carlo inputs used in the model to estimate fair value at the measurement date and resulting values for these performance unit awards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2026</w:t>
            </w:r>
          </w:p>
        </w:tc>
      </w:tr>
      <w:tr>
        <w:trPr>
          <w:trHeight w:val="230"/>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23.6 %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3.66 %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1.36 %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20.0 %</w:t>
            </w: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2025, there was $31,150 of compensation expense that has yet to be recognized related to non-vested restricted stock unit and performance unit awards, which will be recognized over a weighted average period of 1.39 years.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NOTE 9.  EARNINGS PER SHARE</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20" w:type="dxa"/>
            <w:vAlign w:val="bottom"/>
            <w:gridSpan w:val="7"/>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0" w:type="dxa"/>
            <w:vAlign w:val="bottom"/>
          </w:tcPr>
          <w:p>
            <w:pPr>
              <w:spacing w:after="0"/>
              <w:rPr>
                <w:sz w:val="24"/>
                <w:szCs w:val="24"/>
                <w:color w:val="auto"/>
              </w:rPr>
            </w:pPr>
          </w:p>
        </w:tc>
        <w:tc>
          <w:tcPr>
            <w:tcW w:w="2760" w:type="dxa"/>
            <w:vAlign w:val="bottom"/>
            <w:gridSpan w:val="9"/>
          </w:tcPr>
          <w:p>
            <w:pPr>
              <w:ind w:left="40"/>
              <w:spacing w:after="0"/>
              <w:rPr>
                <w:sz w:val="20"/>
                <w:szCs w:val="20"/>
                <w:color w:val="auto"/>
              </w:rPr>
            </w:pPr>
            <w:r>
              <w:rPr>
                <w:rFonts w:ascii="Arial" w:cs="Arial" w:eastAsia="Arial" w:hAnsi="Arial"/>
                <w:sz w:val="18"/>
                <w:szCs w:val="18"/>
                <w:color w:val="auto"/>
              </w:rPr>
              <w:t>Three Months Ended December</w:t>
            </w:r>
          </w:p>
        </w:tc>
        <w:tc>
          <w:tcPr>
            <w:tcW w:w="140" w:type="dxa"/>
            <w:vAlign w:val="bottom"/>
          </w:tcPr>
          <w:p>
            <w:pPr>
              <w:spacing w:after="0"/>
              <w:rPr>
                <w:sz w:val="24"/>
                <w:szCs w:val="24"/>
                <w:color w:val="auto"/>
              </w:rPr>
            </w:pPr>
          </w:p>
        </w:tc>
        <w:tc>
          <w:tcPr>
            <w:tcW w:w="2540" w:type="dxa"/>
            <w:vAlign w:val="bottom"/>
            <w:gridSpan w:val="8"/>
          </w:tcPr>
          <w:p>
            <w:pPr>
              <w:jc w:val="right"/>
              <w:ind w:right="160"/>
              <w:spacing w:after="0"/>
              <w:rPr>
                <w:sz w:val="20"/>
                <w:szCs w:val="20"/>
                <w:color w:val="auto"/>
              </w:rPr>
            </w:pPr>
            <w:r>
              <w:rPr>
                <w:rFonts w:ascii="Arial" w:cs="Arial" w:eastAsia="Arial" w:hAnsi="Arial"/>
                <w:sz w:val="18"/>
                <w:szCs w:val="18"/>
                <w:color w:val="auto"/>
              </w:rPr>
              <w:t>Six Months Ended December</w:t>
            </w:r>
          </w:p>
        </w:tc>
        <w:tc>
          <w:tcPr>
            <w:tcW w:w="0" w:type="dxa"/>
            <w:vAlign w:val="bottom"/>
          </w:tcPr>
          <w:p>
            <w:pPr>
              <w:spacing w:after="0"/>
              <w:rPr>
                <w:sz w:val="1"/>
                <w:szCs w:val="1"/>
                <w:color w:val="auto"/>
              </w:rPr>
            </w:pPr>
          </w:p>
        </w:tc>
      </w:tr>
      <w:tr>
        <w:trPr>
          <w:trHeight w:val="241"/>
        </w:trPr>
        <w:tc>
          <w:tcPr>
            <w:tcW w:w="58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87"/>
              </w:rPr>
              <w:t>31,</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8"/>
                <w:szCs w:val="18"/>
                <w:b w:val="1"/>
                <w:bCs w:val="1"/>
                <w:color w:val="auto"/>
                <w:w w:val="94"/>
              </w:rPr>
              <w:t>2025</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440"/>
              <w:spacing w:after="0" w:line="185"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380"/>
              <w:spacing w:after="0" w:line="185" w:lineRule="exact"/>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440"/>
              <w:spacing w:after="0" w:line="185" w:lineRule="exact"/>
              <w:rPr>
                <w:sz w:val="20"/>
                <w:szCs w:val="20"/>
                <w:color w:val="auto"/>
              </w:rPr>
            </w:pPr>
            <w:r>
              <w:rPr>
                <w:rFonts w:ascii="Arial" w:cs="Arial" w:eastAsia="Arial" w:hAnsi="Arial"/>
                <w:sz w:val="18"/>
                <w:szCs w:val="18"/>
                <w:color w:val="auto"/>
                <w:w w:val="94"/>
              </w:rPr>
              <w:t>2024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124,668</w:t>
            </w:r>
          </w:p>
        </w:tc>
        <w:tc>
          <w:tcPr>
            <w:tcW w:w="6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97,845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268,655</w:t>
            </w:r>
          </w:p>
        </w:tc>
        <w:tc>
          <w:tcPr>
            <w:tcW w:w="6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217,036</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72,267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72,509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72,914</w:t>
            </w: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stock options, restricted stock units, and</w:t>
            </w:r>
          </w:p>
        </w:tc>
        <w:tc>
          <w:tcPr>
            <w:tcW w:w="4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performance units</w:t>
            </w:r>
          </w:p>
        </w:tc>
        <w:tc>
          <w:tcPr>
            <w:tcW w:w="4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4"/>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72,413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73,082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72,661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73,080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7"/>
        </w:trPr>
        <w:tc>
          <w:tcPr>
            <w:tcW w:w="58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6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3.70</w:t>
            </w:r>
          </w:p>
        </w:tc>
        <w:tc>
          <w:tcPr>
            <w:tcW w:w="6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fiscal three and six months ended December 31, 2025, and 2024. Stock options, restricted stock units, and performance units have been included in the calculation of diluted earnings per share to the extent they are dilutive. There were 25 and 20 anti-dilutive restricted stock units or performance units excluded for the fiscal three and six months ended December 31, 2025, respectively, and nominal anti-dilutive stock options, restricted stock units, or performance units were excluded for the fiscal three and six months ended December 31, 2024.</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tab/>
        <w:t>BUSINESS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Victor Technologies, Inc.</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September 30, 2025, the Company acquired substantially all the assets of Victor Technologies, Inc. ("Victor") for $42,390 paid in cash. The primary reason for the acquisition was to expand the Company's capabilities in the Payments-as-a-Service market. Victor is a cloud-native, API-first provider of direct-to-core embedded payments solutions.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preliminary purchase price allocation and assessment of the fair value of acquired assets and liabilities assumed. The recognized amounts of identifiable assets acquired, and liabilities assumed, based on their fair values as of September 30, 2025, are set forth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18,800</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23"/>
        </w:trPr>
        <w:tc>
          <w:tcPr>
            <w:tcW w:w="940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19,447</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22,943</w:t>
            </w:r>
          </w:p>
        </w:tc>
      </w:tr>
      <w:tr>
        <w:trPr>
          <w:trHeight w:val="223"/>
        </w:trPr>
        <w:tc>
          <w:tcPr>
            <w:tcW w:w="9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42,390</w:t>
            </w:r>
          </w:p>
        </w:tc>
      </w:tr>
      <w:tr>
        <w:trPr>
          <w:trHeight w:val="20"/>
        </w:trPr>
        <w:tc>
          <w:tcPr>
            <w:tcW w:w="9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Measurement period adjustments were made during the second quarter of fiscal 2026, which resulted in an adjustment to the amount recorded for goodwill.</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$22,943 arising from this acquisition consists largely of the growth potential, synergies, and economies of scale expected from combining the operations of the Company with the acquired operations of Victor, together with the value of Victor's assembled workforce. The goodwill from this acquisition has been allocated to our Payments segment and $22,943 is expected to be deductible for income tax purposes.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$2,700, computer software of $15,300, and other intangible assets of $800. The amortization period for acquired customer relationships, computer software, and other intangible assets is over a term of 10 years.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current assets acquired included accounts receivable of $1,866, none of which were expected to be uncollectible.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related to the acquisition of Victor were immaterial for the periods presented.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condensed consolidated statements of income for the fiscal three and six months ended December 31, 2025, do not include any revenues and expenses related to this acquisition prior to the acquisition date. The impact of this acquisition was considered immaterial to both the current and prior periods of our condensed consolidated financial statements and pro forma financial information has not been provided.</w:t>
      </w:r>
    </w:p>
    <w:p>
      <w:pPr>
        <w:spacing w:after="0" w:line="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11.</w:t>
      </w:r>
      <w:r>
        <w:rPr>
          <w:sz w:val="20"/>
          <w:szCs w:val="20"/>
          <w:color w:val="auto"/>
        </w:rPr>
        <w:tab/>
      </w:r>
      <w:r>
        <w:rPr>
          <w:rFonts w:ascii="Arial" w:cs="Arial" w:eastAsia="Arial" w:hAnsi="Arial"/>
          <w:sz w:val="17"/>
          <w:szCs w:val="17"/>
          <w:color w:val="auto"/>
        </w:rPr>
        <w:t>REPORTABLE SEGMENT INFORMATION</w:t>
      </w:r>
    </w:p>
    <w:p>
      <w:pPr>
        <w:spacing w:after="0" w:line="10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banks and credit unions.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money movement and embedded payment capabilities,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Chief Executive Officer, who is also the Company's chief operating decision maker ("CODM"), regularly evaluated segment performance and made strategic decisions on the allocation of resources to the segments based on various factors, including performance against trend, budget, and forecast for the fiscal three and six months ended December 31, 2025, and 2024.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fiscal six months ended December 31, 2025, the Company transferred a product from the Corporate and Other segment to the Complementary segment due to better alignment with the Complementary segment. As a result of this transfer, adjustments were made during the fiscal three and six months ended December 31, 2025, to reclassify related revenue and cost of revenue recognized for the fiscal three and six months ended December 31, 2024, from the Corporate and Other segment to the Complementary segment. Revenue reclassed for the fiscal three and six months ended December 31, 2024, was $3,229 and $6,472, respectively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Cost of revenue reclassed for the fiscal three and six months ended December 31, 2024, was $743 and $1,446, respectively.</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Immaterial adjustments have been made between segments during the fiscal three and six months ended December 31, 2025, to reclassify revenue and cost of revenue that was recognized for the fiscal three and six months ended December 31, 2024. These reclasses were made to be consistent with the current allocation of revenue and cost of revenue by segment. Revenue reclassed for the fiscal three and six months ended December 31, 2024, from the Core segment to the Complementary segment, was $1,566 and $2,901, respectively. Cost of revenue reclassed for the fiscal three and six months ended December 31, 2024, from the Core segment to the Complementary segment, was $415 and $888,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26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174,875</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22,759</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132,252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15,923</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345,809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209,216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273,525</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231,975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181,708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619,334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74,930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120,044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86,750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350,989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42,228</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right w:val="single" w:sz="8" w:color="CECECE"/>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66,969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460,186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112,443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5,045</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161,553</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20,094</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122,369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19,011</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323,027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43,363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171,607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214,836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165,732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573,848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70,324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114,738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64,542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83,246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332,850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4"/>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100,098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(61,573)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4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126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2025</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358,735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48,500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278,563</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36,861</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722,659</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414,368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97,363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541,412</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1,264,071</w:t>
            </w: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148,067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238,703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141,526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699,554</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81,505</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139,799</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920,858</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234,400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(127,374)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343,213</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11,298</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440" w:type="dxa"/>
            <w:vAlign w:val="bottom"/>
            <w:tcBorders>
              <w:bottom w:val="single" w:sz="8" w:color="CECECE"/>
            </w:tcBorders>
            <w:shd w:val="clear" w:color="auto" w:fill="CECECE"/>
          </w:tcPr>
          <w:p>
            <w:pPr>
              <w:spacing w:after="0"/>
              <w:rPr>
                <w:sz w:val="19"/>
                <w:szCs w:val="19"/>
                <w:color w:val="auto"/>
              </w:rPr>
            </w:pPr>
          </w:p>
        </w:tc>
        <w:tc>
          <w:tcPr>
            <w:tcW w:w="106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354,511</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3"/>
            <w:vMerge w:val="restart"/>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Borders>
              <w:top w:val="single" w:sz="8" w:color="CECECE"/>
            </w:tcBorders>
          </w:tcPr>
          <w:p>
            <w:pPr>
              <w:spacing w:after="0" w:line="20" w:lineRule="exact"/>
              <w:rPr>
                <w:sz w:val="1"/>
                <w:szCs w:val="1"/>
                <w:color w:val="auto"/>
              </w:rPr>
            </w:pPr>
          </w:p>
        </w:tc>
        <w:tc>
          <w:tcPr>
            <w:tcW w:w="10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2024</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345,084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42,837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256,940</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34,845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679,706</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383,921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495,123</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1,174,829</w:t>
            </w: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131,686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165,568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676,282</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80,780</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143,489</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900,551</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210,326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(125,405)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274,278</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CECECE"/>
              <w:bottom w:val="single" w:sz="8" w:color="CECECE"/>
            </w:tcBorders>
            <w:shd w:val="clear" w:color="auto" w:fill="CECECE"/>
          </w:tcPr>
          <w:p>
            <w:pPr>
              <w:spacing w:after="0"/>
              <w:rPr>
                <w:sz w:val="19"/>
                <w:szCs w:val="19"/>
                <w:color w:val="auto"/>
              </w:rPr>
            </w:pPr>
          </w:p>
        </w:tc>
        <w:tc>
          <w:tcPr>
            <w:tcW w:w="116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240" w:type="dxa"/>
            <w:vAlign w:val="bottom"/>
            <w:tcBorders>
              <w:top w:val="single" w:sz="8" w:color="CECECE"/>
              <w:bottom w:val="single" w:sz="8" w:color="CECECE"/>
            </w:tcBorders>
            <w:shd w:val="clear" w:color="auto" w:fill="CECECE"/>
          </w:tcPr>
          <w:p>
            <w:pPr>
              <w:spacing w:after="0"/>
              <w:rPr>
                <w:sz w:val="19"/>
                <w:szCs w:val="19"/>
                <w:color w:val="auto"/>
              </w:rPr>
            </w:pPr>
          </w:p>
        </w:tc>
        <w:tc>
          <w:tcPr>
            <w:tcW w:w="124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Borders>
              <w:top w:val="single" w:sz="8" w:color="CECECE"/>
              <w:bottom w:val="single" w:sz="8" w:color="CECECE"/>
            </w:tcBorders>
            <w:shd w:val="clear" w:color="auto" w:fill="CECECE"/>
          </w:tcPr>
          <w:p>
            <w:pPr>
              <w:spacing w:after="0"/>
              <w:rPr>
                <w:sz w:val="19"/>
                <w:szCs w:val="19"/>
                <w:color w:val="auto"/>
              </w:rPr>
            </w:pPr>
          </w:p>
        </w:tc>
        <w:tc>
          <w:tcPr>
            <w:tcW w:w="160" w:type="dxa"/>
            <w:vAlign w:val="bottom"/>
            <w:tcBorders>
              <w:top w:val="single" w:sz="8" w:color="CECECE"/>
              <w:bottom w:val="single" w:sz="8" w:color="CECECE"/>
            </w:tcBorders>
            <w:shd w:val="clear" w:color="auto" w:fill="CECECE"/>
          </w:tcPr>
          <w:p>
            <w:pPr>
              <w:spacing w:after="0"/>
              <w:rPr>
                <w:sz w:val="19"/>
                <w:szCs w:val="19"/>
                <w:color w:val="auto"/>
              </w:rPr>
            </w:pPr>
          </w:p>
        </w:tc>
        <w:tc>
          <w:tcPr>
            <w:tcW w:w="148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440" w:type="dxa"/>
            <w:vAlign w:val="bottom"/>
            <w:tcBorders>
              <w:top w:val="single" w:sz="8" w:color="CECECE"/>
              <w:bottom w:val="single" w:sz="8" w:color="CECECE"/>
            </w:tcBorders>
            <w:shd w:val="clear" w:color="auto" w:fill="CECECE"/>
          </w:tcPr>
          <w:p>
            <w:pPr>
              <w:spacing w:after="0"/>
              <w:rPr>
                <w:sz w:val="19"/>
                <w:szCs w:val="19"/>
                <w:color w:val="auto"/>
              </w:rPr>
            </w:pPr>
          </w:p>
        </w:tc>
        <w:tc>
          <w:tcPr>
            <w:tcW w:w="106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284,179</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440" w:type="dxa"/>
            <w:vAlign w:val="bottom"/>
            <w:tcBorders>
              <w:top w:val="single" w:sz="8" w:color="CECECE"/>
            </w:tcBorders>
          </w:tcPr>
          <w:p>
            <w:pPr>
              <w:spacing w:after="0" w:line="20" w:lineRule="exact"/>
              <w:rPr>
                <w:sz w:val="1"/>
                <w:szCs w:val="1"/>
                <w:color w:val="auto"/>
              </w:rPr>
            </w:pPr>
          </w:p>
        </w:tc>
        <w:tc>
          <w:tcPr>
            <w:tcW w:w="10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December 31, 2025.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7,200 full-time and part-time associates nationwide, and is a leading provider of technology solutions and payment processing services primarily to community and regional banks and credit unions. Our solutions serve approximately 7,400 clients and consist of integrated data processing systems solutions to U.S. banks ranging from de novo to multi-billion-dollar institutions with up to $55 billion and above in assets, core data processing solutions for credit unions of all sizes, and non-core highly specialized core-agnostic products and services that enable banks and credit unions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revenue.</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follows. All amounts in the following discussion are in thousands,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second quarter of fiscal 2026, total revenue increased 7.9%, or $45,486, compared to the same quarter in fiscal 2025. Total revenue less deconversion revenue of $6,212 for the current fiscal quarter and less revenue related to a contractual change of $1,223 and deconversion revenue of $69 for the prior fiscal second quarter results in an increase of 6.7% quarter over quarter. This increase was primarily driven by organic growth in our revenue lines including data processing and hosting revenues within private and public cloud, Jack Henry digital and transaction revenues, card revenue, and faster payments products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2.1%, or $ 9,340, for the second quarter of fiscal 2026, compared to the second quarter of fiscal 2025. Total operating expenses less the impact of the gain on sale of assets, net, of $3,032, deconversion operating expenses of $2,612, and operating expenses for the acquired company of $2,929 for the current fiscal quarter and less operating expenses related to a contractual change of $1,059 and deconversion operating expenses of $690 for the prior fiscal second quarter results in an increase of 1.9% quarter over quarter. This increase was primarily driven by increased direct costs and higher personnel costs tempered by lower than normal medical claims and partially offset by the decrease in travel and entertainment and meeting expenses, quarter over quarter, due to the timing of the Connect conference.</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increased 29.4%, or $36,146, for the second quarter of fiscal 2026 compared to the second quarter of fiscal 2025. Total operating income less the impact of the gain on sale of assets, net, of $ 3,032, deconversion operating income of $3,600, and an operating loss for the acquired company of $984 for the current fiscal quarter and less operating income related to a contractual change of $164 and deconversion operating loss of $622 for the prior fiscal second quarter results in an increase of 24.3%, quarter over quarter. This increase was primarily driven by organic revenue growth partially offset by increased operating expenses detailed above tempered by our disciplined approach to controlling costs and lower than normal medical claims quarter over quarter.</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provision for income taxes increased 33.8%, or $9,989, for the second quarter of fiscal 2026, compared to the second quarter of fiscal 2025. This increase was primarily driven by the increase in income before income taxes. The effective tax rate for the current fiscal quarter was 24.1% compared to 23.2% for the same quarter a year ago.</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increased 27.4%, or $26,823, for the second quarter of fiscal 2026, compared to the second quarter of fiscal 2025. The total net income increase, quarter over quarter, was lower when adjusted for the impact of the gain on sale of assets, net, deconversion net income, and a net loss for the acquired company in the current fiscal quarter and the net income related to a contractual change and deconversion net loss in the prior fiscal second quarter. The increase excluding these one-time items was primarily driven by net organic growth in our lines of revenue for the second quarter of fiscal 2026 partially offset by commensurate higher operating expenses detailed above that were tempered by our disciplined approach to controlling costs and lower than normal medical claims, and the increased provision for income taxes.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fiscal six months ended December 31, 2025, total revenue increased 7.6%, or $89,242, compared to the same period in fiscal 2025. Total revenue less deconversion revenue of $14,838 and revenue for the acquired company of $ 1,945 for the current fiscal year period and deconversion revenue of $3,766 and revenue from a contractual change of $13,471 for the prior fiscal year period results in an increase of 7.7%, period over period. This increase was primarily driven by organic growth in our revenue lines including data processing and hosting revenues within private and public cloud, card revenue, Jack Henry digital and transaction revenues, and faster payment products revenue.</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2.3%, or $20,307, for the fiscal six months ended December 31, 2025, compared to the same period in fiscal 2025. Total operating expenses less deconversion operating expenses of $ 4,137, the impact of the gain on sale of assets, net, of $6,829, and operating expenses for the acquired company of $2,929 for the current fiscal year period and less deconversion operating expenses of $892 and operating expenses related to a contractual change of $11,501 for the prior fiscal year period results in an increase of 3.7%, period over period. This increase was primarily driven by increased personnel costs tempered by lower than normal medical claims and higher direct costs.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increased 25.1%, or $68,935, for the fiscal six months ended December 31, 2025, compared to the same period in fiscal 2025. Removing from total operating income deconversion operating income of $10,701, the impact of the gain on sale of assets, net, of $6,829, and an operating loss for the acquired company of $984 for the current fiscal year period and deconversion operating income of $2,873 and operating income related to a contractual change of $1,970 for the prior fiscal year period results in an increase of 21.2%, period over period. This increase was primarily driven by organic revenue growth partially offset by increased operating expenses detailed above tempered by our disciplined approach to controlling costs and lower than normal medical claims.</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provision for income taxes increased 27.9%, or $18,713, for the fiscal six months ended December 31, 2025, compared to the same period in fiscal 2025. This increase was primarily driven by the increase in income before income taxes. The effective tax rate for the current fiscal year period was 24.2% compared to 23.6% for the same period a year ago.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increased 23.8%, or $51,619, for the fiscal six months ended December 31, 2025, compared to the same period in fiscal 2025. The total net income increase, period over period, was lower when adjusted for the impact of the gain on sale of assets, net, deconversion net income, and a net loss for the acquired company in the current fiscal year period and the net income related to a contractual change and deconversion net income in the prior fiscal year period. The increase excluding these one-time items was primarily driven by net organic growth in our lines of revenue for the six months ended December 31, 2025, partially offset by commensurate higher operating expenses detailed above, tempered by our disciplined approach to controlling costs and lower than normal medical claims, and the increased provision for income taxes.</w:t>
      </w:r>
    </w:p>
    <w:p>
      <w:pPr>
        <w:spacing w:after="0" w:line="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we move into the third quarter of fiscal 2026 – our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year in business – we are excited and confident about our future, and we remain well-positioned to deliver durable, consistent growth and attractive results for our shareholders. Technology spending by financial institutions remains strong, and there is clear demand for our differentiated and innovative technology solutions. We have a very healthy sales pipeline and a proven ability to attract and win deals, especially with larger financial institutions. Our unwavering focus on culture, service, innovation, strategy, and execution continues to set us apart in the market and will enable us to drive continued industry-leading revenue growth with strong margin expansion, benefiting our associates, clients, and shareholders.</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for the fiscal three and six months ended December 31, 2025, follows.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Discussions compare the current fiscal year's three and six months ended December 31, 2025, to the prior fiscal year's three and six months ended December 31, 2024.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120" w:type="dxa"/>
            <w:vAlign w:val="bottom"/>
          </w:tcPr>
          <w:p>
            <w:pPr>
              <w:spacing w:after="0"/>
              <w:rPr>
                <w:sz w:val="24"/>
                <w:szCs w:val="24"/>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2025</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345,809</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323,027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722,659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679,706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56 %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57 %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and support revenue increased 7.1% for the second quarter of fiscal 2026 compared to the same quarter a year ago. Total services and support revenue less deconversion revenue of $6,212 for the current fiscal quarter and less revenue related to a contractual change of $1,223 and deconversion revenue of $69 for the prior fiscal second quarter, results in growth of 5.6% quarter over quarter. This increase was primarily driven by growth in data processing and hosting revenues within private and public cloud as new and existing clients continue to migrate to our private cloud and processing volumes expand.</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Services and support revenue increased 6.3% for the fiscal six months ended December 31, 2025, compared to the same period in fiscal 2025. Reducing services and support revenue for deconversion revenue from each period, which was $14,838 for the current fiscal year period and $3,766 for the prior fiscal year period and reducing services and support revenue for a contractual change of $13,471 for the prior fiscal year period, results in growth of 6.8% period over period. This increase was primarily driven by growth in data processing and hosting revenues within private and public cloud as new and existing clients migrate to our private cloud and processing volumes expand as well as higher consulting and work order revenues.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2025</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273,525</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250,821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541,412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495,123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44 %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43 %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9.1% for the second quarter of fiscal 2026 compared to the same quarter last fiscal year. Reducing processing revenue for processing revenue for the acquired company of $1,945 for the current fiscal quarter, results in growth of 8.3% quarter over quarter. This increase was primarily driven by improvement in Jack Henry digital and transaction revenues from a higher number of active users and the ramping up of add-on products, growth in card revenue from monthly service and risk management fees, and higher faster payments products revenue from expanding active users and new clients.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9.3% for the fiscal six months ended December 31, 2025, compared to the same period in fiscal 2025. Reducing processing revenue for processing revenue for the acquired company of $1,945 for the current fiscal year period, results in growth of 9.0% period over period. This increase was primarily driven by growth in card revenue primarily from monthly service and risk management fees, improvement in Jack Henry digital and transaction revenues from a higher number of active users and expanding volumes and the ramping up of add-on products, and higher faster payments products revenue from expanding volumes and new clients.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24"/>
                <w:szCs w:val="24"/>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2025</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350,989</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332,850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699,554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676,282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57 %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55 %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second quarter of fiscal 2026 increased 5.4% over the prior fiscal second quarter. Total cost of revenue less deconversion costs of $ 1,128 and cost of revenue for the acquired company of $2,503 for the current fiscal quarter and less deconversion costs of $240 and costs related to a contractual change of $1,059 for the prior fiscal second quarter, results in a 4.8% increase quarter over quarter. This increase was primarily due to higher direct costs generally consistent with increases in the related lines of revenue, higher personnel costs tempered by lower than normal medical claims, as well as increased amortization of intangible assets. Cost of revenue decreased 1% as a percentage of total revenue compared to the prior fiscal second quarter.</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fiscal six months ended December 31, 2025, increased 3.4% compared to the same period in fiscal 2025. Reducing cost of revenue for deconversion costs of $2,032 and cost of revenue for the acquired company of $2,503 for the current fiscal year period and deconversion costs of $355 and costs related to a contractual change of $11,501 for the prior fiscal year period, results in a 4.6% increase period over period. This increase was primarily due to higher direct costs generally consistent with increases in the related lines of revenue, increased personnel costs tempered by lower than normal medical claims, as well as higher amortization of intangible assets. Cost of revenue decreased 3% as a percentage of total revenue compared to the prior fiscal year period.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2900" w:type="dxa"/>
            <w:vAlign w:val="bottom"/>
            <w:gridSpan w:val="8"/>
          </w:tcPr>
          <w:p>
            <w:pPr>
              <w:ind w:left="120"/>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8"/>
                <w:szCs w:val="18"/>
                <w:color w:val="auto"/>
              </w:rPr>
              <w:t>Six Months Ended December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Change</w:t>
            </w:r>
          </w:p>
        </w:tc>
        <w:tc>
          <w:tcPr>
            <w:tcW w:w="2920" w:type="dxa"/>
            <w:vAlign w:val="bottom"/>
            <w:gridSpan w:val="7"/>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300"/>
              <w:spacing w:after="0" w:line="182" w:lineRule="exact"/>
              <w:rPr>
                <w:sz w:val="20"/>
                <w:szCs w:val="20"/>
                <w:color w:val="auto"/>
              </w:rPr>
            </w:pPr>
            <w:r>
              <w:rPr>
                <w:rFonts w:ascii="Arial" w:cs="Arial" w:eastAsia="Arial" w:hAnsi="Arial"/>
                <w:sz w:val="18"/>
                <w:szCs w:val="18"/>
                <w:b w:val="1"/>
                <w:bCs w:val="1"/>
                <w:color w:val="auto"/>
                <w:w w:val="94"/>
              </w:rPr>
              <w:t>2025</w:t>
            </w:r>
          </w:p>
        </w:tc>
        <w:tc>
          <w:tcPr>
            <w:tcW w:w="5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b w:val="1"/>
                <w:bCs w:val="1"/>
                <w:color w:val="auto"/>
                <w:w w:val="94"/>
              </w:rPr>
              <w:t>2025</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42,228</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41,095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81,505</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80,780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0.9 %</w:t>
            </w:r>
          </w:p>
        </w:tc>
        <w:tc>
          <w:tcPr>
            <w:tcW w:w="0" w:type="dxa"/>
            <w:vAlign w:val="bottom"/>
          </w:tcPr>
          <w:p>
            <w:pPr>
              <w:spacing w:after="0"/>
              <w:rPr>
                <w:sz w:val="1"/>
                <w:szCs w:val="1"/>
                <w:color w:val="auto"/>
              </w:rPr>
            </w:pPr>
          </w:p>
        </w:tc>
      </w:tr>
      <w:tr>
        <w:trPr>
          <w:trHeight w:val="247"/>
        </w:trPr>
        <w:tc>
          <w:tcPr>
            <w:tcW w:w="25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480" w:type="dxa"/>
            <w:vAlign w:val="bottom"/>
          </w:tcPr>
          <w:p>
            <w:pPr>
              <w:spacing w:after="0"/>
              <w:rPr>
                <w:sz w:val="21"/>
                <w:szCs w:val="21"/>
                <w:color w:val="auto"/>
              </w:rPr>
            </w:pPr>
          </w:p>
        </w:tc>
        <w:tc>
          <w:tcPr>
            <w:tcW w:w="12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7 %</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6 %</w:t>
            </w:r>
          </w:p>
        </w:tc>
        <w:tc>
          <w:tcPr>
            <w:tcW w:w="5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increased 2.8% for the second quarter of fiscal 2026 compared to the prior fiscal second quarter. Research and development expense increased 0.9% for the fiscal six months ended December 31, 2025, compared to the same period in fiscal 2025. Research and development expense remained consistent as a percentage of total revenue compared to the prior fiscal second quarter and decreased 1% as a percentage of total revenue compared to the prior fiscal year period.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120" w:type="dxa"/>
            <w:vAlign w:val="bottom"/>
          </w:tcPr>
          <w:p>
            <w:pPr>
              <w:spacing w:after="0"/>
              <w:rPr>
                <w:sz w:val="18"/>
                <w:szCs w:val="18"/>
                <w:color w:val="auto"/>
              </w:rPr>
            </w:pPr>
          </w:p>
        </w:tc>
        <w:tc>
          <w:tcPr>
            <w:tcW w:w="278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980" w:type="dxa"/>
            <w:vAlign w:val="bottom"/>
            <w:gridSpan w:val="9"/>
            <w:vMerge w:val="restart"/>
          </w:tcPr>
          <w:p>
            <w:pPr>
              <w:ind w:left="120"/>
              <w:spacing w:after="0"/>
              <w:rPr>
                <w:sz w:val="20"/>
                <w:szCs w:val="20"/>
                <w:color w:val="auto"/>
              </w:rPr>
            </w:pPr>
            <w:r>
              <w:rPr>
                <w:rFonts w:ascii="Arial" w:cs="Arial" w:eastAsia="Arial" w:hAnsi="Arial"/>
                <w:sz w:val="18"/>
                <w:szCs w:val="18"/>
                <w:color w:val="auto"/>
              </w:rPr>
              <w:t>Six Months Ended December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rPr>
              <w:t>Change</w:t>
            </w:r>
          </w:p>
        </w:tc>
        <w:tc>
          <w:tcPr>
            <w:tcW w:w="2980" w:type="dxa"/>
            <w:vAlign w:val="bottom"/>
            <w:gridSpan w:val="9"/>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2025</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50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66,969</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76,901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139,799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143,489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11 %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 decreased 12.9% in the second quarter of fiscal 2026 compared to the same quarter in the prior fiscal year. Total selling, general, and administrative expense less the gain on sale of assets, net, of $3,032, deconversion costs of $1,484, and costs for the acquired company of $54 for the current fiscal quarter and deconversion costs of $ 451 for the prior fiscal second quarter results in a 10.4% decrease quarter over quarter. This decrease was primarily due to the decrease in travel and entertainment and meeting expenses compared to the same quarter last year due to the timing of the Connect conference. Selling, general, and administrative expense decreased 2% as a percentage of total revenue compared to the prior fiscal second quarter.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decreased 2.6% in the fiscal six months ended December 31, 2025, compared to the same period in fiscal 2025. Reducing selling, general, and administrative expense for deconversion costs from each period, which were $2,105 for the current fiscal year period and $538 for the prior fiscal year period, and for the impact of the gain on sale of assets, net, of $6,829 and costs for the acquired company of $54 in the current fiscal year period, results in a 1.1% increase period over period. This increase was primarily due to higher personnel costs including increased compensation costs due to modest headcount increases in the trailing twelve months that were tempered by lower than normal medical claims. Selling, general, and administrative expense decreased 1% as a percentage of total revenue compared to the prior fiscal year period.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INTEREST INCOME</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8"/>
          </w:tcPr>
          <w:p>
            <w:pPr>
              <w:ind w:left="20"/>
              <w:spacing w:after="0"/>
              <w:rPr>
                <w:sz w:val="20"/>
                <w:szCs w:val="20"/>
                <w:color w:val="auto"/>
              </w:rPr>
            </w:pPr>
            <w:r>
              <w:rPr>
                <w:rFonts w:ascii="Arial" w:cs="Arial" w:eastAsia="Arial" w:hAnsi="Arial"/>
                <w:sz w:val="18"/>
                <w:szCs w:val="18"/>
                <w:color w:val="auto"/>
              </w:rPr>
              <w:t>Six Months Ended December</w:t>
            </w:r>
          </w:p>
        </w:tc>
        <w:tc>
          <w:tcPr>
            <w:tcW w:w="11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41"/>
        </w:trPr>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20"/>
                <w:szCs w:val="20"/>
                <w:color w:val="auto"/>
              </w:rPr>
            </w:pPr>
          </w:p>
        </w:tc>
        <w:tc>
          <w:tcPr>
            <w:tcW w:w="1520" w:type="dxa"/>
            <w:vAlign w:val="bottom"/>
            <w:gridSpan w:val="4"/>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Change</w:t>
            </w:r>
          </w:p>
        </w:tc>
      </w:tr>
      <w:tr>
        <w:trPr>
          <w:trHeight w:val="185"/>
        </w:trPr>
        <w:tc>
          <w:tcPr>
            <w:tcW w:w="34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8"/>
                <w:szCs w:val="18"/>
                <w:b w:val="1"/>
                <w:bCs w:val="1"/>
                <w:color w:val="auto"/>
                <w:w w:val="94"/>
              </w:rPr>
              <w:t>2025</w:t>
            </w:r>
          </w:p>
        </w:tc>
        <w:tc>
          <w:tcPr>
            <w:tcW w:w="4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420"/>
              <w:spacing w:after="0" w:line="185" w:lineRule="exact"/>
              <w:rPr>
                <w:sz w:val="20"/>
                <w:szCs w:val="20"/>
                <w:color w:val="auto"/>
              </w:rPr>
            </w:pPr>
            <w:r>
              <w:rPr>
                <w:rFonts w:ascii="Arial" w:cs="Arial" w:eastAsia="Arial" w:hAnsi="Arial"/>
                <w:sz w:val="18"/>
                <w:szCs w:val="18"/>
                <w:color w:val="auto"/>
                <w:w w:val="94"/>
              </w:rPr>
              <w:t>2024</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ind w:right="480"/>
              <w:spacing w:after="0" w:line="185" w:lineRule="exact"/>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right"/>
              <w:ind w:right="440"/>
              <w:spacing w:after="0" w:line="185"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6,187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7,159</w:t>
            </w:r>
          </w:p>
        </w:tc>
        <w:tc>
          <w:tcPr>
            <w:tcW w:w="120" w:type="dxa"/>
            <w:vAlign w:val="bottom"/>
          </w:tcPr>
          <w:p>
            <w:pPr>
              <w:spacing w:after="0"/>
              <w:rPr>
                <w:sz w:val="21"/>
                <w:szCs w:val="21"/>
                <w:color w:val="auto"/>
              </w:rPr>
            </w:pPr>
          </w:p>
        </w:tc>
        <w:tc>
          <w:tcPr>
            <w:tcW w:w="1120" w:type="dxa"/>
            <w:vAlign w:val="bottom"/>
          </w:tcPr>
          <w:p>
            <w:pPr>
              <w:ind w:left="46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13,326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15,506</w:t>
            </w:r>
          </w:p>
        </w:tc>
        <w:tc>
          <w:tcPr>
            <w:tcW w:w="100" w:type="dxa"/>
            <w:vAlign w:val="bottom"/>
          </w:tcPr>
          <w:p>
            <w:pPr>
              <w:spacing w:after="0"/>
              <w:rPr>
                <w:sz w:val="21"/>
                <w:szCs w:val="21"/>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rPr>
              <w:t>(14.1)%</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(2,028)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(63.8)%</w:t>
            </w: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income and interest expense decreased due to lower interest-earning and credit line balances, respectively, for the fiscal three and six months ended December 31, 2025, compared to the fiscal three and six months ended December 31,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tcPr>
          <w:p>
            <w:pPr>
              <w:spacing w:after="0"/>
              <w:rPr>
                <w:sz w:val="17"/>
                <w:szCs w:val="17"/>
                <w:color w:val="auto"/>
              </w:rPr>
            </w:pPr>
          </w:p>
        </w:tc>
        <w:tc>
          <w:tcPr>
            <w:tcW w:w="280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940" w:type="dxa"/>
            <w:vAlign w:val="bottom"/>
            <w:gridSpan w:val="8"/>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294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39,525</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29,536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33.8 %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85,856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67,143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27.9 %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2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24.1 %</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24.2 %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for income taxes increased 33.8% for the second quarter of fiscal 2026, compared to the second quarter of fiscal 2025. The effective tax rate for the current fiscal quarter was 24.1% compared to 23.2% for the same quarter a year ago. The provision for income taxes increased 27.9% for the six months ended December 31, 2025, compared to the same period a year ago. The effective tax rate for the current fiscal year-to-date period was 24.2% compared to 23.6% for the same period a year ago.</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740" w:type="dxa"/>
            <w:vAlign w:val="bottom"/>
            <w:gridSpan w:val="9"/>
          </w:tcPr>
          <w:p>
            <w:pPr>
              <w:ind w:left="20"/>
              <w:spacing w:after="0"/>
              <w:rPr>
                <w:sz w:val="20"/>
                <w:szCs w:val="20"/>
                <w:color w:val="auto"/>
              </w:rPr>
            </w:pPr>
            <w:r>
              <w:rPr>
                <w:rFonts w:ascii="Arial" w:cs="Arial" w:eastAsia="Arial" w:hAnsi="Arial"/>
                <w:sz w:val="18"/>
                <w:szCs w:val="18"/>
                <w:color w:val="auto"/>
              </w:rPr>
              <w:t>Three Months Ended December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7"/>
          </w:tcPr>
          <w:p>
            <w:pPr>
              <w:jc w:val="center"/>
              <w:ind w:right="460"/>
              <w:spacing w:after="0"/>
              <w:rPr>
                <w:sz w:val="20"/>
                <w:szCs w:val="20"/>
                <w:color w:val="auto"/>
              </w:rPr>
            </w:pPr>
            <w:r>
              <w:rPr>
                <w:rFonts w:ascii="Arial" w:cs="Arial" w:eastAsia="Arial" w:hAnsi="Arial"/>
                <w:sz w:val="18"/>
                <w:szCs w:val="18"/>
                <w:color w:val="auto"/>
                <w:w w:val="99"/>
              </w:rPr>
              <w:t>Six Months Ended</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194"/>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100"/>
              <w:spacing w:after="0" w:line="195" w:lineRule="exact"/>
              <w:rPr>
                <w:sz w:val="20"/>
                <w:szCs w:val="20"/>
                <w:color w:val="auto"/>
              </w:rPr>
            </w:pPr>
            <w:r>
              <w:rPr>
                <w:rFonts w:ascii="Arial" w:cs="Arial" w:eastAsia="Arial" w:hAnsi="Arial"/>
                <w:sz w:val="18"/>
                <w:szCs w:val="18"/>
                <w:color w:val="auto"/>
                <w:w w:val="98"/>
              </w:rPr>
              <w:t>Change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7"/>
          </w:tcPr>
          <w:p>
            <w:pPr>
              <w:jc w:val="center"/>
              <w:ind w:right="440"/>
              <w:spacing w:after="0" w:line="195" w:lineRule="exact"/>
              <w:rPr>
                <w:sz w:val="20"/>
                <w:szCs w:val="20"/>
                <w:color w:val="auto"/>
              </w:rPr>
            </w:pPr>
            <w:r>
              <w:rPr>
                <w:rFonts w:ascii="Arial" w:cs="Arial" w:eastAsia="Arial" w:hAnsi="Arial"/>
                <w:sz w:val="18"/>
                <w:szCs w:val="18"/>
                <w:color w:val="auto"/>
                <w:w w:val="99"/>
              </w:rPr>
              <w:t>December 31,</w:t>
            </w:r>
          </w:p>
        </w:tc>
        <w:tc>
          <w:tcPr>
            <w:tcW w:w="12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Change</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15"/>
                <w:szCs w:val="15"/>
                <w:color w:val="auto"/>
              </w:rPr>
            </w:pPr>
          </w:p>
        </w:tc>
        <w:tc>
          <w:tcPr>
            <w:tcW w:w="860" w:type="dxa"/>
            <w:vAlign w:val="bottom"/>
            <w:gridSpan w:val="3"/>
          </w:tcPr>
          <w:p>
            <w:pPr>
              <w:jc w:val="right"/>
              <w:ind w:right="34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124,668</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97,845</w:t>
            </w:r>
          </w:p>
        </w:tc>
        <w:tc>
          <w:tcPr>
            <w:tcW w:w="1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27.4 %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268,655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217,036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23.8 %</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24.5 %</w:t>
            </w:r>
          </w:p>
        </w:tc>
      </w:tr>
    </w:tbl>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increased 27.4% to $124,668, or $ 1.72 per diluted share, for the second quarter of fiscal 2026 compared to $ 97,845, or $1.34 per diluted share, in the same quarter of fiscal 2025. The total net income increase, quarter over quarter, was lower when adjusted for the impact of the gain on sale of assets, net, deconversion net income, and a net loss for the acquired company in the current fiscal quarter and the net income related to a contractual change and deconversion net loss in the prior fiscal second quarter. The increase excluding these one-time items was primarily driven by net organic growth in our lines of revenue for the second quarter of fiscal 2026 partially offset by commensurate higher operating expenses detailed above that were tempered by our disciplined approach to controlling costs and lower than normal medical claims, as well as the increased provision for income taxes.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increased 23.8% to $268,655, or $3.70 per diluted share, for the fiscal six months ended December 31, 2025, compared to $217,036, or $2.97 per diluted share, in the same period of fiscal 2025. The total net income increase, period over period, was lower when adjusted for the impact of the gain on sale of assets, net, deconversion net income, and a net loss for the acquired company in the current fiscal year period and the net income related to a contractual change and deconversion net income in the prior fiscal year period. The increase excluding these one-time items was primarily driven by net organic growth in our lines of revenue for the six months ended December 31, 2025, partially offset by commensurate higher operating expenses detailed above, tempered by our disciplined approach to controlling costs and lower than normal medical claims, as well as the increased provision for income taxes.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banks and credit unions.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money movement and embedded payment capabilities, remote deposit capture processing, and risk management products and services. The Complementary segment provides additional software, hosted processing platforms, and services, including digital/mobile banking, treasury services, online account opening, fraud/AML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Chief Executive Officer, who is also the Company's CODM, regularly evaluated segment performance and made strategic decisions on the allocation of resources to the segments based on various factors, including performance against trend, budget, and forecast for the fiscal three and six months ended December 31, 2025, and 2024.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fiscal six months ended December 31, 2025, the Company transferred a product from the Corporate and Other segment to the Complementary segment due to better alignment with the Complementary segment. As a result of this transfer, adjustments were made during the fiscal three and six months ended December 31, 2025, to reclassify related revenue and cost of revenue recognized for the fiscal three and six months ended December 31, 2024, from the Corporate and Other segment to the Complementary segment. Revenue reclassed for the fiscal three and six months ended December 31, 2024, was $3,229 and $6,472, respectively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Cost of revenue reclassed for the fiscal three and six months ended December 31, 2024, was $743 and $1,446, respectively.</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Immaterial adjustments have been made between segments during the fiscal three and six months ended December 31, 2025, to reclassify revenue and cost of revenue that was recognized for the fiscal three and six months ended December 31, 2024. These reclasses were made to be consistent with the current allocation of revenue and cost of revenue by segment. Revenue reclassed for the fiscal three and six months ended December 31, 2024, from the Core segment to the Complementary segment, was $1,566 and $2,901, respectively. Cost of revenue reclassed for the fiscal three and six months ended December 31, 2024, from the Core segment to the Complementary segment, was $415 and $888, respectively.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December</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8"/>
                <w:szCs w:val="18"/>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3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2025</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186,100</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171,607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381,393</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365,896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74,930</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70,324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148,067</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Core segment increased 8.4% and cost of revenue increased 6.5% for the fiscal three months ended December 31, 2025, compared to the fiscal three months ended December 31, 2024. Core revenue less deconversion revenue of $3,050 for the fiscal three months ended December 31, 2025, and less revenue related to a contractual change of $1,223 and deconversion revenue of $(20) for the fiscal three months ended December 31, 2024, results in a 7.4% increase quarter over quarter. This increase was primarily driven by organic growth in our Core revenue lines including data processing and hosting revenues within private and public cloud as new and existing clients continue to migrate to our private cloud and processing volumes expand. Core cost of revenue less deconversion costs of $703 for the fiscal three months ended December 31, 2025, and less costs related to a contractual change of $1,059 and deconversion costs of $88 for the fiscal three months ended December 31, 2024, results in a 7.3% increase quarter over quarter. This increase was primarily due to higher direct costs generally consistent with increases in related lines of revenue. Core cost of revenue decreased 1% as a percentage of Core revenue for the second quarter of fiscal 2026 compared to the same quarter in fiscal 2025.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Core segment increased 4.2% and cost of revenue decreased 2.1% for the fiscal six months ended December 31, 2025, compared to the fiscal six months ended December 31, 2024. Reducing Core revenue for deconversion revenue of $6,269 for the fiscal six months ended December 31, 2025, and deconversion revenue of $1,267 and contractual revenue of $13,471 for the fiscal six months ended December 31, 2024, results in a 6.8% increase period over period. This increase was primarily driven by organic growth in our Core revenue lines including data processing and hosting revenues within private and public cloud as new and existing clients migrate to our private cloud and processing volumes expand. Reducing Core cost of revenue for deconversion costs of $1,146 for the fiscal six months ended December 31, 2025, and deconversion costs of $125 and contractual change costs of $11,501 for the fiscal six months ended December 31, 2024, results in a 5.2% increase period over period. This increase was primarily due to higher direct costs generally consistent with increases in related lines of revenue. Core cost of revenue decreased 2% as a percentage of Core revenue for the fiscal six months ended December 31, 2025, compared to the same period in fiscal 2025.</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December</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7"/>
                <w:szCs w:val="17"/>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2025</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231,975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214,836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462,868</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426,758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120,044</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114,738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238,703</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227,757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8.0% and cost of revenue increased 4.6% for the second quarter of fiscal 2026 compared to the same quarter last fiscal year. Payments revenue less deconversion revenue of $1,397 and Payments revenue for the acquired company of $1,945 for the second quarter of fiscal 2026 and deconversion revenue of $34 for the second quarter of fiscal 2025, results in a 6.4% increase quarter over quarter. This increase was primarily due to higher card revenue from an increase in volume and higher faster payments products revenue from expanding active users and new clients. The Payments cost of revenue increase was primarily due to higher direct costs generally consistent with increases in lines of revenue. Deconversion and one-time costs did not significantly affect Payments cost of revenue quarter over quarter. Payments cost of revenue as a percentage of Payments revenue decreased 1% for the second quarter of fiscal 2026 compared to the same quarter in fiscal 2025.</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Payments segment increased 8.5% and cost of revenue increased 4.8% for the fiscal six months ended December 31, 2025, compared to the same period of the prior fiscal year. Reducing Payments revenue for deconversion revenue of $4,880 and Payments revenue for the acquired company of $1,945 for the fiscal six months ended December 31, 2025, and deconversion revenue of $1,948 for the fiscal six months ended December 31, 2024, results in a 7.4% increase period over period. This increase was primarily due to higher card revenue from an increase in volumes, higher faster payments products revenue from an increase in volumes and new clients. Reducing Payments cost of revenue for deconversion costs of $289 and Payments cost of revenue for the acquired company of $2,409 for the fiscal six months ended December 31, 2025, and deconversion costs of $70 for the fiscal six months ended December 31, 2024, results in a 3.7% increase period over period. The Payments cost of revenue increase was primarily due to higher direct costs generally consistent with increases in lines of revenue. Payments cost of revenue as a percentage of Payments revenue decreased 1% for the fiscal six months ended December 31, 2025, compared to the same period in fiscal 2025.</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Complementary</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22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18"/>
                <w:szCs w:val="18"/>
                <w:color w:val="auto"/>
              </w:rPr>
            </w:pPr>
          </w:p>
        </w:tc>
        <w:tc>
          <w:tcPr>
            <w:tcW w:w="2620" w:type="dxa"/>
            <w:vAlign w:val="bottom"/>
            <w:gridSpan w:val="8"/>
          </w:tcPr>
          <w:p>
            <w:pPr>
              <w:ind w:left="20"/>
              <w:spacing w:after="0"/>
              <w:rPr>
                <w:sz w:val="20"/>
                <w:szCs w:val="20"/>
                <w:color w:val="auto"/>
              </w:rPr>
            </w:pPr>
            <w:r>
              <w:rPr>
                <w:rFonts w:ascii="Arial" w:cs="Arial" w:eastAsia="Arial" w:hAnsi="Arial"/>
                <w:sz w:val="18"/>
                <w:szCs w:val="18"/>
                <w:color w:val="auto"/>
              </w:rPr>
              <w:t>Six Months Ended December</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34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2024</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181,708</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165,732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375,926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342,012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69,265</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64,542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141,526</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131,686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864"/>
        </w:trPr>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9.6% and cost of revenue increased 7.3% for the second quarter of fiscal 2026 compared to the same quarter last fiscal year. Complementary revenue less deconversion revenue in both quarters, which totaled $1,702 for the second quarter of fiscal 2026 and $60 for the second quarter of fiscal 2025, results in an 8.7% increase quarter over quarter. This increase was primarily driven by organic growth in hosting revenue as new and existing clients continue to migrate to our private cloud and processing volumes expanded and Jack Henry digital and transaction revenue from a higher number of active users and the ramping up of add-on products. Complementary cost of revenue less deconversion costs in both quarters, which totaled $288 for the second quarter of fiscal 2026 and $ 99 for the second quarter of fiscal 2025, results in a 7.0% increase quarter over quarter. This increase was primarily driven by higher direct costs generally consistent with increases in related lines of revenue and increased amortization of intangibles. Complementary cost of revenue as a percentage of Complementary revenue decreased 1% for the second quarter of fiscal 2026 compared to the same quarter in fiscal 2025.</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9.9% and cost of revenue increased 7.5% for the fiscal six months ended December 31, 2025, compared to the equivalent period of the prior fiscal year. Reducing Complementary revenue for deconversion revenue in both periods, which totaled $3,578 for the fiscal six months ended December 31, 2025, and $533 for the fiscal six months ended December 31, 2024, results in a 9.0% increase period over period. This increase was primarily driven by organic growth in increased Jack Henry digital and transaction revenue as the number of active users increased and volumes expanded and from the ramping up of add-on products and hosting revenues as new and existing clients continued to migrate to our private cloud and processing volumes expanded. Reducing Complementary cost of revenue for deconversion costs in both periods, which totaled $596 for the fiscal six months ended December 31, 2025, and $159 for the fiscal six months ended December 31, 2024, results in a 7.1% increase period over period. This increase was primarily driven by higher direct costs generally consistent with increases in related lines of revenue and increased amortization of capitalized software from capital software development projects. Complementary cost of revenue as a percentage of Complementary revenue decreased 1% for the fiscal six months ended December 31, 2025, compared to the same period in fiscal 2025.</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7"/>
                <w:szCs w:val="17"/>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2025</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19,551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21,673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43,884</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40,163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86,750</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83,246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171,258</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165,568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the other three segments. Revenue in the Corporate and Other segment decreased 9.8% for the second quarter of fiscal 2026 compared to the same quarter last fiscal year. Corporate and Other revenue less deconversion revenue in both quarters, which totaled $63 for the second quarter of fiscal 2026 and $(5) for the second quarter of fiscal 2025, results in a 10.1% decrease quarter over quarter. This decrease was primarily due to the decrease in user group revenue related to the timing of our Connect conference quarter over quarter. Cost of revenue for the Corporate and Other segment includes operating expenses not directly attributable to the other three segments. The Corporate and Other cost of revenue in the second quarter of fiscal 2026 increased 4.2% when compared to the prior fiscal year quarter. Corporate and Other cost of revenue less Corporate and Other cost of revenue for the acquired company of $94 for the second quarter of fiscal 2026 results in a 4.1% increase quarter over quarter. This increase was primarily due to higher licenses and fees and a loss on sale of assets, net, quarter over quarter.</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in the Corporate and Other segment increased 9.3% for the fiscal six months ended December 31, 2025, compared to the same period last fiscal year. Corporate and Other revenue less deconversion revenue in both quarters, which totaled $111 for the second quarter of fiscal 2026 and $18 for the second quarter of fiscal 2025, results in a 9.0% increase period over period. The Corporate and Other revenue increase was primarily due to software usage and subscription revenue and digital revenue, period over period. The Corporate and Other cost of revenue in the fiscal six months ended December 31, 2025, increased 3.4% when compared to the prior fiscal year period. This increase was primarily due to higher cloud consumption costs, increased internal licenses and fees, and a loss on sale of assets, net, period over period. Deconversion and non-recurring costs did not significantly affect the Corporate and Other cost of revenue comparison.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$28,216 at December 31, 2025, from $101,953 at June 30,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December 31,</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268,655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217,036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184,197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109,038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49,811</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(92,379)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(119,463)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(49,879)</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273,254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206,543</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*For the fiscal six months ended December 31, 2025, the change in other assets and liabilities includes the change in prepaid expenses, deferred costs and other of $(56,056), the change in accrued expenses of $(34,863), and the change in income taxes of $(9,345). For the fiscal six months ended December 31, 2024, the change in other assets and liabilities includes the change in prepaid expenses, deferred costs and other of $(34,384) and the change in accrued expenses of $(19,450), partially offset by the change in income taxes of $9,538.</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provided by operating activities for the first six months of fiscal 2026 increased 32% compared to the same period last year primarily due to the change in deferred income taxes period over period. Cash from operations is primarily used to repay debt, to pay dividends, to repurchase stock, for capital expenditures, and for acquisitions.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investing activities for the first six months of fiscal 2026 totaled $155,806 and included: $92,484 for the ongoing enhancement and development of existing and new product and service offerings; $42,390 for an acquisition; capital expenditures for facilities and equipment of $30,096; the purchase of investments of $13,500, and $2,908 for the purchase and development of internal use software. Cash uses were partially offset by proceeds from the sale of assets of $24,572 and proceeds from investments of $1,000. Cash used in investing activities for the first six months of fiscal 2025 totaled $119,800 and included: $85,803 for the development of software; $29,469 for capital expenditures; $3,528 for the purchase and development of internal use software; and $2,000 for the purchase of investments. Cash uses were partially offset by proceeds from investments of $1,000.</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used cash of $191,185 for the first six months of fiscal 2026 and included: $125,237 for the purchase of treasury stock; repayments on credit facilities of $ 105,000; dividends paid to stockholders of $83,979; and $ 1,969 net cash outflow from the issuance of stock and tax withholding related to stock-based compensation. Cash uses were partially offset by borrowings on credit facilities of $ 125,000. Financing activities used cash of $99,374 in the first six months of fiscal 2025 and included: $165,000 for the repayments on credit facilities; $80,193 for the payment of dividends; $17,050 for the purchase of treasury stock; and $2,131 net cash outflow from the issuance of stock and tax withholding related to stock-based compensation. Cash uses were partially offset by borrowings on credit facilities of $165,000.</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$30,096 and $29,469 for the fiscal six months ended December 31, 2025, and December 31, 2024, respectively, were made primarily for additional equipment and the improvement of existing facilities. These additions were funded from cash generated by operations. Total consolidated capital expenditures on facilities and equipment for the Company for fiscal year 2026 are expected to be between approximately $80,000 and $90,000 and have been or will be funded from our credit facilities and cash generated by operations.</w:t>
      </w:r>
    </w:p>
    <w:p>
      <w:pPr>
        <w:spacing w:after="0" w:line="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September 30, 2025, the Company acquired substantially all the assets of Victor for $42,390 paid in cash. The primary reason for the acquisition was to expand the Company's capabilities in the Payments-as-a-Service market. Victor is a cloud-native, API-first provider of direct-to-core embedded payments solutions.</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December 23, 2025, the Company signed a contract addendum with a cloud services provider for $450,000 in contractual purchase obligations for the period of December 30, 2025, through June 30, 2033. This commitment replaced $182,000 of the total contractual purchase obligations that were reported in the Company's Annual Report on Form 10-K for the year ended June 30, 2025.</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credit facilities. The share repurchase program does not include specific price targets or timetables and may be suspended at any time. At December 31, 2025, there were 32,375 shares in treasury stock and the Company had the remaining authority to repurchase up to 2,616 additional shares. The total cost of treasury stock at December 31, 2025, was $2,020,461. During the first six months of fiscal 2026, the Company repurchased 795 shares. At June 30, 2025, there were 31,580 shares in treasury stock and the Company had the remaining authority to repurchase up to 3,411 additional shares. The total cost of treasury stock at June 30, 2025, was $1,895,224. During the first six months of fiscal 2025, the Company repurchased over 99 shares.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 xml:space="preserve">plus </w:t>
      </w:r>
      <w:r>
        <w:rPr>
          <w:rFonts w:ascii="Arial" w:cs="Arial" w:eastAsia="Arial" w:hAnsi="Arial"/>
          <w:sz w:val="18"/>
          <w:szCs w:val="18"/>
          <w:color w:val="auto"/>
        </w:rPr>
        <w:t>1.0%),</w:t>
      </w:r>
      <w:r>
        <w:rPr>
          <w:rFonts w:ascii="Arial" w:cs="Arial" w:eastAsia="Arial" w:hAnsi="Arial"/>
          <w:sz w:val="18"/>
          <w:szCs w:val="18"/>
          <w:i w:val="1"/>
          <w:iCs w:val="1"/>
          <w:color w:val="auto"/>
        </w:rPr>
        <w:t xml:space="preserve"> plus </w:t>
      </w:r>
      <w:r>
        <w:rPr>
          <w:rFonts w:ascii="Arial" w:cs="Arial" w:eastAsia="Arial" w:hAnsi="Arial"/>
          <w:sz w:val="18"/>
          <w:szCs w:val="18"/>
          <w:color w:val="auto"/>
        </w:rPr>
        <w:t>an applicable percentage in each case determined by the Company's leverage ratio. The credit agreement is guaranteed by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subsidiaries of the Company and is subject to various financial covenants that require the Company to maintain certain financial ratios as defined in the credit agreement. As of December 31, 2025, the Company was in compliance with all such covenants. The credit facility terminates August 31, 2027. There was $20,000 and $0 outstanding under the credit facility at December 31, 2025 and June 30, 2025,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provided for funding of up to $50,000 and bore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did not constitute a committed line of credit. The line of credit expired on October 31, 2025. There was no balance outstanding at December 31, 2025, or June 30, 2025.</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July 18, 2025, the Company entered into an unsecured committed revolving line of credit facility with a commercial bank in the amount of $50,000, which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line of credit expires on July 17, 2026. There was no balance outstanding at December 31, 2025.</w:t>
      </w:r>
    </w:p>
    <w:p>
      <w:pPr>
        <w:spacing w:after="0" w:line="171" w:lineRule="exact"/>
        <w:rPr>
          <w:sz w:val="20"/>
          <w:szCs w:val="20"/>
          <w:color w:val="auto"/>
        </w:rPr>
      </w:pPr>
    </w:p>
    <w:p>
      <w:pPr>
        <w:ind w:right="4240"/>
        <w:spacing w:after="0" w:line="35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and interest risk on outstanding debt. We do not currently use any derivative financial instruments. We actively monitor these risks through a variety of controlled procedures involving senior management.</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$20,000 outstanding debt with variable interest rates as of December 31, 2025, and a 1% increase in our borrowing rate would increase our annual interest expense by $200.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December 31, 2025,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Total Number of</w:t>
            </w:r>
          </w:p>
        </w:tc>
        <w:tc>
          <w:tcPr>
            <w:tcW w:w="16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Purchased as Part of</w:t>
            </w:r>
          </w:p>
        </w:tc>
        <w:tc>
          <w:tcPr>
            <w:tcW w:w="21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6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Publicly Announced</w:t>
            </w: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321"/>
        </w:trPr>
        <w:tc>
          <w:tcPr>
            <w:tcW w:w="3900" w:type="dxa"/>
            <w:vAlign w:val="bottom"/>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Purchased</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Plans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Plans </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2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 October 31,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251,493</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2,770,133</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November 1 - November 30, 2025</w:t>
            </w:r>
          </w:p>
        </w:tc>
        <w:tc>
          <w:tcPr>
            <w:tcW w:w="1500" w:type="dxa"/>
            <w:vAlign w:val="bottom"/>
          </w:tcPr>
          <w:p>
            <w:pPr>
              <w:jc w:val="right"/>
              <w:spacing w:after="0"/>
              <w:rPr>
                <w:sz w:val="20"/>
                <w:szCs w:val="20"/>
                <w:color w:val="auto"/>
              </w:rPr>
            </w:pPr>
            <w:r>
              <w:rPr>
                <w:rFonts w:ascii="Arial" w:cs="Arial" w:eastAsia="Arial" w:hAnsi="Arial"/>
                <w:sz w:val="18"/>
                <w:szCs w:val="18"/>
                <w:color w:val="auto"/>
              </w:rPr>
              <w:t>154,617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154,617</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2,615,516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 December 31, 2025</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2,615,516</w:t>
            </w:r>
          </w:p>
        </w:tc>
        <w:tc>
          <w:tcPr>
            <w:tcW w:w="0" w:type="dxa"/>
            <w:vAlign w:val="bottom"/>
          </w:tcPr>
          <w:p>
            <w:pPr>
              <w:spacing w:after="0"/>
              <w:rPr>
                <w:sz w:val="1"/>
                <w:szCs w:val="1"/>
                <w:color w:val="auto"/>
              </w:rPr>
            </w:pP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406,110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155.48</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406,110</w:t>
            </w:r>
          </w:p>
        </w:tc>
        <w:tc>
          <w:tcPr>
            <w:tcW w:w="1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2,615,516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8" w:lineRule="auto"/>
        <w:tabs>
          <w:tab w:leader="none" w:pos="197"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32,375,100 shares and has repurchased and re-issued 9,384 shares. These authorizations have no specific dollar or share price targets and no expiration 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fiscal three months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p>
      <w:pPr>
        <w:spacing w:after="0"/>
        <w:tabs>
          <w:tab w:leader="none" w:pos="640" w:val="left"/>
        </w:tabs>
        <w:rPr>
          <w:rFonts w:ascii="Arial" w:cs="Arial" w:eastAsia="Arial" w:hAnsi="Arial"/>
          <w:sz w:val="17"/>
          <w:szCs w:val="17"/>
          <w:u w:val="single" w:color="auto"/>
          <w:color w:val="0000FF"/>
        </w:rPr>
      </w:pPr>
      <w:r>
        <w:rPr>
          <w:rFonts w:ascii="Arial" w:cs="Arial" w:eastAsia="Arial" w:hAnsi="Arial"/>
          <w:sz w:val="18"/>
          <w:szCs w:val="18"/>
          <w:color w:val="auto"/>
        </w:rPr>
        <w:t>10.81</w:t>
      </w:r>
      <w:r>
        <w:rPr>
          <w:sz w:val="20"/>
          <w:szCs w:val="20"/>
          <w:color w:val="auto"/>
        </w:rPr>
        <w:tab/>
      </w:r>
      <w:hyperlink r:id="rId41">
        <w:r>
          <w:rPr>
            <w:rFonts w:ascii="Arial" w:cs="Arial" w:eastAsia="Arial" w:hAnsi="Arial"/>
            <w:sz w:val="17"/>
            <w:szCs w:val="17"/>
            <w:u w:val="single" w:color="auto"/>
            <w:color w:val="0000FF"/>
          </w:rPr>
          <w:t>2025 Equity Incentive Plan attached as Exhibit 10.81 to the Company’s Current Report on Form 8-K filed November 14, 2025.</w:t>
        </w:r>
      </w:hyperlink>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890"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890"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890"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890"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39" w:lineRule="exact"/>
        <w:rPr>
          <w:sz w:val="20"/>
          <w:szCs w:val="20"/>
          <w:color w:val="auto"/>
        </w:rPr>
      </w:pPr>
    </w:p>
    <w:p>
      <w:pPr>
        <w:jc w:val="both"/>
        <w:ind w:firstLine="8"/>
        <w:spacing w:after="0" w:line="257"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December 31, 2025, and June 30, 2025, (ii) the Condensed Consolidated Statements of Income for the three and six months ended December 31, 2025, and 2024, (iii) the Condensed Consolidated Statements of Changes in Shareholders' Equity for the three and six months ended December 31, 2025, and 2024, (iv) the Condensed Consolidated Statements of Cash Flows for the six months ended December 31, 2025, and 2024,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w w:val="98"/>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6, 2026</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Gregory R. Adelson</w:t>
            </w:r>
          </w:p>
        </w:tc>
        <w:tc>
          <w:tcPr>
            <w:tcW w:w="126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Gregory R. Adelson</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Executive Officer and President</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6, 2026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Mimi L. Carsley</w:t>
            </w:r>
          </w:p>
        </w:tc>
        <w:tc>
          <w:tcPr>
            <w:tcW w:w="160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2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Gregory R. Adelson, certify that:</w:t>
      </w:r>
    </w:p>
    <w:p>
      <w:pPr>
        <w:spacing w:after="0" w:line="7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2026</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2026</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six month period ended December 31,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2026</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six month period ended December 31,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2026</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1" Type="http://schemas.openxmlformats.org/officeDocument/2006/relationships/hyperlink" Target="https://www.sec.gov/Archives/edgar/data/779152/000077915225000121/jkhy-jackhenryassociates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2026-02-06T13:17:54Z</dcterms:created>
  <dcterms:modified xsi:type="dcterms:W3CDTF">2026-02-06T13:17:54Z</dcterms:modified>
</cp:coreProperties>
</file>