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204125.xml.htm"/>
      <w:bookmarkStart w:id="1" w:name="kswkform4_178820412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Carsley Mimi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663 HWY 60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MONETT</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65708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JACK HENRY &amp; ASSOCIATES INC</w:t>
              </w:r>
            </w:hyperlink>
            <w:r>
              <w:rPr/>
              <w:t xml:space="preserve"> [ </w:t>
            </w:r>
            <w:r>
              <w:rPr>
                <w:rFonts w:ascii="Times;serif" w:hAnsi="Times;serif"/>
                <w:color w:val="0000FF"/>
                <w:sz w:val="24"/>
                <w:shd w:fill="FFFFFF" w:val="clear"/>
              </w:rPr>
              <w:t>JKHY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CFO and Treasurer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14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14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Vested Performance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08/27/2026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5,113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5,113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elected to defer settlement of a portion of the underlying performance shares, which have fully vested and will become payable, in cash or common stock of the Issuer, at the Issuer's option, upon the reporting person's termination of service with the Company, or on specified future dates, pursuant to the reporting person's deferral elections under the Issuers Deferred Compensation Plan. Each vested performance share unit is the economic equivalent of one share of JKHY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Andrew W. Potter by Power of Attorney For Mimi L. Carsley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6833" TargetMode="External"/><Relationship Id="rId5" Type="http://schemas.openxmlformats.org/officeDocument/2006/relationships/hyperlink" Target="http://www.sec.gov/cgi-bin/browse-edgar?action=getcompany&amp;CIK=000077915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3539</Characters>
  <CharactersWithSpaces>4124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