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80"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December 31, 2021</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54"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color w:val="auto"/>
                <w:w w:val="99"/>
              </w:rPr>
              <w:t>Delaware</w:t>
            </w:r>
          </w:p>
        </w:tc>
        <w:tc>
          <w:tcPr>
            <w:tcW w:w="4020" w:type="dxa"/>
            <w:vAlign w:val="bottom"/>
            <w:gridSpan w:val="3"/>
          </w:tcPr>
          <w:p>
            <w:pPr>
              <w:jc w:val="right"/>
              <w:ind w:right="88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48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(State or Other Jurisdiction of Incorporation)</w:t>
            </w:r>
          </w:p>
        </w:tc>
        <w:tc>
          <w:tcPr>
            <w:tcW w:w="4020" w:type="dxa"/>
            <w:vAlign w:val="bottom"/>
            <w:gridSpan w:val="3"/>
          </w:tcPr>
          <w:p>
            <w:pPr>
              <w:jc w:val="center"/>
              <w:ind w:left="1210"/>
              <w:spacing w:after="0"/>
              <w:rPr>
                <w:sz w:val="20"/>
                <w:szCs w:val="20"/>
                <w:color w:val="auto"/>
              </w:rPr>
            </w:pPr>
            <w:r>
              <w:rPr>
                <w:rFonts w:ascii="Arial" w:cs="Arial" w:eastAsia="Arial" w:hAnsi="Arial"/>
                <w:sz w:val="18"/>
                <w:szCs w:val="18"/>
                <w:color w:val="auto"/>
                <w:w w:val="99"/>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Principle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5"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0"/>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1"/>
                <w:szCs w:val="21"/>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37"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and</w:t>
            </w:r>
          </w:p>
        </w:tc>
        <w:tc>
          <w:tcPr>
            <w:tcW w:w="1660" w:type="dxa"/>
            <w:vAlign w:val="bottom"/>
          </w:tcPr>
          <w:p>
            <w:pPr>
              <w:ind w:left="320"/>
              <w:spacing w:after="0"/>
              <w:rPr>
                <w:sz w:val="20"/>
                <w:szCs w:val="20"/>
                <w:color w:val="auto"/>
              </w:rPr>
            </w:pPr>
            <w:r>
              <w:rPr>
                <w:rFonts w:ascii="Arial" w:cs="Arial" w:eastAsia="Arial" w:hAnsi="Arial"/>
                <w:sz w:val="18"/>
                <w:szCs w:val="18"/>
                <w:color w:val="auto"/>
              </w:rPr>
              <w:t>"emerging</w:t>
            </w:r>
          </w:p>
        </w:tc>
        <w:tc>
          <w:tcPr>
            <w:tcW w:w="960" w:type="dxa"/>
            <w:vAlign w:val="bottom"/>
          </w:tcPr>
          <w:p>
            <w:pPr>
              <w:ind w:left="100"/>
              <w:spacing w:after="0"/>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rPr>
                <w:sz w:val="20"/>
                <w:szCs w:val="20"/>
                <w:color w:val="auto"/>
              </w:rPr>
            </w:pPr>
            <w:r>
              <w:rPr>
                <w:rFonts w:ascii="Arial" w:cs="Arial" w:eastAsia="Arial" w:hAnsi="Arial"/>
                <w:sz w:val="18"/>
                <w:szCs w:val="18"/>
                <w:color w:val="auto"/>
              </w:rPr>
              <w:t>in</w:t>
            </w:r>
          </w:p>
        </w:tc>
        <w:tc>
          <w:tcPr>
            <w:tcW w:w="920" w:type="dxa"/>
            <w:vAlign w:val="bottom"/>
          </w:tcPr>
          <w:p>
            <w:pPr>
              <w:ind w:left="60"/>
              <w:spacing w:after="0"/>
              <w:rPr>
                <w:sz w:val="20"/>
                <w:szCs w:val="20"/>
                <w:color w:val="auto"/>
              </w:rPr>
            </w:pPr>
            <w:r>
              <w:rPr>
                <w:rFonts w:ascii="Arial" w:cs="Arial" w:eastAsia="Arial" w:hAnsi="Arial"/>
                <w:sz w:val="18"/>
                <w:szCs w:val="18"/>
                <w:color w:val="auto"/>
              </w:rPr>
              <w:t>Rule</w:t>
            </w:r>
          </w:p>
        </w:tc>
        <w:tc>
          <w:tcPr>
            <w:tcW w:w="920" w:type="dxa"/>
            <w:vAlign w:val="bottom"/>
          </w:tcPr>
          <w:p>
            <w:pPr>
              <w:ind w:left="140"/>
              <w:spacing w:after="0"/>
              <w:rPr>
                <w:sz w:val="20"/>
                <w:szCs w:val="20"/>
                <w:color w:val="auto"/>
              </w:rPr>
            </w:pPr>
            <w:r>
              <w:rPr>
                <w:rFonts w:ascii="Arial" w:cs="Arial" w:eastAsia="Arial" w:hAnsi="Arial"/>
                <w:sz w:val="18"/>
                <w:szCs w:val="18"/>
                <w:color w:val="auto"/>
              </w:rPr>
              <w:t>12b-2</w:t>
            </w:r>
          </w:p>
        </w:tc>
        <w:tc>
          <w:tcPr>
            <w:tcW w:w="780" w:type="dxa"/>
            <w:vAlign w:val="bottom"/>
          </w:tcPr>
          <w:p>
            <w:pPr>
              <w:ind w:left="320"/>
              <w:spacing w:after="0"/>
              <w:rPr>
                <w:sz w:val="20"/>
                <w:szCs w:val="20"/>
                <w:color w:val="auto"/>
              </w:rPr>
            </w:pPr>
            <w:r>
              <w:rPr>
                <w:rFonts w:ascii="Arial" w:cs="Arial" w:eastAsia="Arial" w:hAnsi="Arial"/>
                <w:sz w:val="18"/>
                <w:szCs w:val="18"/>
                <w:color w:val="auto"/>
              </w:rPr>
              <w:t>of</w:t>
            </w:r>
          </w:p>
        </w:tc>
        <w:tc>
          <w:tcPr>
            <w:tcW w:w="780" w:type="dxa"/>
            <w:vAlign w:val="bottom"/>
          </w:tcPr>
          <w:p>
            <w:pPr>
              <w:ind w:left="300"/>
              <w:spacing w:after="0"/>
              <w:rPr>
                <w:sz w:val="20"/>
                <w:szCs w:val="20"/>
                <w:color w:val="auto"/>
              </w:rPr>
            </w:pPr>
            <w:r>
              <w:rPr>
                <w:rFonts w:ascii="Arial" w:cs="Arial" w:eastAsia="Arial" w:hAnsi="Arial"/>
                <w:sz w:val="18"/>
                <w:szCs w:val="18"/>
                <w:color w:val="auto"/>
              </w:rPr>
              <w:t>the</w:t>
            </w:r>
          </w:p>
        </w:tc>
        <w:tc>
          <w:tcPr>
            <w:tcW w:w="1520" w:type="dxa"/>
            <w:vAlign w:val="bottom"/>
          </w:tcPr>
          <w:p>
            <w:pPr>
              <w:ind w:left="400"/>
              <w:spacing w:after="0"/>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rPr>
                <w:sz w:val="20"/>
                <w:szCs w:val="20"/>
                <w:color w:val="auto"/>
              </w:rPr>
            </w:pPr>
            <w:r>
              <w:rPr>
                <w:rFonts w:ascii="Arial" w:cs="Arial" w:eastAsia="Arial" w:hAnsi="Arial"/>
                <w:sz w:val="18"/>
                <w:szCs w:val="18"/>
                <w:color w:val="auto"/>
                <w:w w:val="90"/>
              </w:rPr>
              <w:t>Act.</w:t>
            </w:r>
          </w:p>
        </w:tc>
      </w:tr>
      <w:tr>
        <w:trPr>
          <w:trHeight w:val="28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8"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January 28, 2022, the Registrant had 72,825,033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r>
      <w:tr>
        <w:trPr>
          <w:trHeight w:val="358"/>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December 31, 2021, and June 30, 2021 (Unaudited)</w:t>
            </w:r>
          </w:p>
        </w:tc>
        <w:tc>
          <w:tcPr>
            <w:tcW w:w="18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0" w:type="dxa"/>
            <w:vAlign w:val="bottom"/>
          </w:tcPr>
          <w:p>
            <w:pPr>
              <w:spacing w:after="0"/>
              <w:rPr>
                <w:sz w:val="24"/>
                <w:szCs w:val="24"/>
                <w:color w:val="auto"/>
              </w:rPr>
            </w:pPr>
          </w:p>
        </w:tc>
      </w:tr>
      <w:tr>
        <w:trPr>
          <w:trHeight w:val="357"/>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and Six Months Ended December 31,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380" w:type="dxa"/>
            <w:vAlign w:val="bottom"/>
          </w:tcPr>
          <w:p>
            <w:pPr>
              <w:ind w:left="320"/>
              <w:spacing w:after="0" w:line="176" w:lineRule="exact"/>
              <w:rPr>
                <w:sz w:val="20"/>
                <w:szCs w:val="20"/>
                <w:color w:val="auto"/>
              </w:rPr>
            </w:pPr>
            <w:r>
              <w:rPr>
                <w:rFonts w:ascii="Arial" w:cs="Arial" w:eastAsia="Arial" w:hAnsi="Arial"/>
                <w:sz w:val="18"/>
                <w:szCs w:val="18"/>
                <w:color w:val="0000FF"/>
              </w:rPr>
              <w:t>2021, and 2020 (Unaudited)</w:t>
            </w:r>
          </w:p>
        </w:tc>
        <w:tc>
          <w:tcPr>
            <w:tcW w:w="1840" w:type="dxa"/>
            <w:vAlign w:val="bottom"/>
            <w:gridSpan w:val="3"/>
          </w:tcPr>
          <w:p>
            <w:pPr>
              <w:jc w:val="right"/>
              <w:spacing w:after="0" w:line="176"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15"/>
                <w:szCs w:val="15"/>
                <w:color w:val="auto"/>
              </w:rPr>
            </w:pPr>
          </w:p>
        </w:tc>
      </w:tr>
      <w:tr>
        <w:trPr>
          <w:trHeight w:val="357"/>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and Six</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380" w:type="dxa"/>
            <w:vAlign w:val="bottom"/>
          </w:tcPr>
          <w:p>
            <w:pPr>
              <w:ind w:left="320"/>
              <w:spacing w:after="0" w:line="176" w:lineRule="exact"/>
              <w:rPr>
                <w:sz w:val="20"/>
                <w:szCs w:val="20"/>
                <w:color w:val="auto"/>
              </w:rPr>
            </w:pPr>
            <w:r>
              <w:rPr>
                <w:rFonts w:ascii="Arial" w:cs="Arial" w:eastAsia="Arial" w:hAnsi="Arial"/>
                <w:sz w:val="18"/>
                <w:szCs w:val="18"/>
                <w:color w:val="0000FF"/>
              </w:rPr>
              <w:t>Months Ended December 31, 2021, and 2020 (Unaudited)</w:t>
            </w:r>
          </w:p>
        </w:tc>
        <w:tc>
          <w:tcPr>
            <w:tcW w:w="1840" w:type="dxa"/>
            <w:vAlign w:val="bottom"/>
            <w:gridSpan w:val="3"/>
          </w:tcPr>
          <w:p>
            <w:pPr>
              <w:jc w:val="right"/>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5"/>
                <w:szCs w:val="15"/>
                <w:color w:val="auto"/>
              </w:rPr>
            </w:pPr>
          </w:p>
        </w:tc>
      </w:tr>
      <w:tr>
        <w:trPr>
          <w:trHeight w:val="357"/>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Six Months Ended December 31, 2021,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8380" w:type="dxa"/>
            <w:vAlign w:val="bottom"/>
          </w:tcPr>
          <w:p>
            <w:pPr>
              <w:ind w:left="320"/>
              <w:spacing w:after="0" w:line="176" w:lineRule="exact"/>
              <w:rPr>
                <w:sz w:val="20"/>
                <w:szCs w:val="20"/>
                <w:color w:val="auto"/>
              </w:rPr>
            </w:pPr>
            <w:r>
              <w:rPr>
                <w:rFonts w:ascii="Arial" w:cs="Arial" w:eastAsia="Arial" w:hAnsi="Arial"/>
                <w:sz w:val="18"/>
                <w:szCs w:val="18"/>
                <w:color w:val="0000FF"/>
              </w:rPr>
              <w:t>and 2020 (Unaudited)</w:t>
            </w:r>
          </w:p>
        </w:tc>
        <w:tc>
          <w:tcPr>
            <w:tcW w:w="174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7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15"/>
                <w:szCs w:val="15"/>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21</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20" w:type="dxa"/>
            <w:vAlign w:val="bottom"/>
          </w:tcPr>
          <w:p>
            <w:pPr>
              <w:spacing w:after="0"/>
              <w:rPr>
                <w:sz w:val="24"/>
                <w:szCs w:val="24"/>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20" w:type="dxa"/>
            <w:vAlign w:val="bottom"/>
          </w:tcPr>
          <w:p>
            <w:pPr>
              <w:spacing w:after="0"/>
              <w:rPr>
                <w:sz w:val="24"/>
                <w:szCs w:val="24"/>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20" w:type="dxa"/>
            <w:vAlign w:val="bottom"/>
          </w:tcPr>
          <w:p>
            <w:pPr>
              <w:spacing w:after="0"/>
              <w:rPr>
                <w:sz w:val="24"/>
                <w:szCs w:val="24"/>
                <w:color w:val="auto"/>
              </w:rPr>
            </w:pPr>
          </w:p>
        </w:tc>
      </w:tr>
    </w:tbl>
    <w:p>
      <w:pPr>
        <w:spacing w:after="0" w:line="3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this report, all references to "Jack Henry," “JKHY,” the “Company,” “we,” “us,” and “our,” refer to Jack Henry &amp; Associates, Inc., and its wholly owned subsidiaries.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2021,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2" w:right="1440"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jc w:val="center"/>
              <w:ind w:left="31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jc w:val="center"/>
              <w:ind w:left="3350"/>
              <w:spacing w:after="0"/>
              <w:rPr>
                <w:sz w:val="20"/>
                <w:szCs w:val="20"/>
                <w:color w:val="auto"/>
              </w:rPr>
            </w:pPr>
            <w:r>
              <w:rPr>
                <w:rFonts w:ascii="Arial" w:cs="Arial" w:eastAsia="Arial" w:hAnsi="Arial"/>
                <w:sz w:val="18"/>
                <w:szCs w:val="18"/>
                <w:color w:val="auto"/>
                <w:w w:val="99"/>
              </w:rPr>
              <w:t>(Unaudited)</w:t>
            </w:r>
          </w:p>
        </w:tc>
        <w:tc>
          <w:tcPr>
            <w:tcW w:w="220" w:type="dxa"/>
            <w:vAlign w:val="bottom"/>
          </w:tcPr>
          <w:p>
            <w:pPr>
              <w:spacing w:after="0"/>
              <w:rPr>
                <w:sz w:val="19"/>
                <w:szCs w:val="19"/>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7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74"/>
        </w:trPr>
        <w:tc>
          <w:tcPr>
            <w:tcW w:w="7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236,096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306,564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116,778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109,723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467,032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543,737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252,481</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costs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127,205</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387,128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368,094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249,210</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75,579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81,842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26,129</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687,458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687,458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1,572,361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1,539,938</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2,280,802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2,336,156</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150,363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182,517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and current maturities of long-term debt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208,733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319,748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373,354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520,860</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75,852</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272,331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260,758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100,083</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635,452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496,004</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1,008,806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1,016,864</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Preferred stock -$1 par value; 500,000 shares authorized, none issued</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Common stock - $0.01 par value; 250,000,000 shares authorized;</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103,860,246 shares issued at December 31, 2021;</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103,795,169 shares issued at June 30, 2021</w:t>
            </w:r>
          </w:p>
        </w:tc>
        <w:tc>
          <w:tcPr>
            <w:tcW w:w="22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535,493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518,960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2,542,583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2,412,496</w:t>
            </w:r>
          </w:p>
        </w:tc>
        <w:tc>
          <w:tcPr>
            <w:tcW w:w="0" w:type="dxa"/>
            <w:vAlign w:val="bottom"/>
          </w:tcPr>
          <w:p>
            <w:pPr>
              <w:spacing w:after="0"/>
              <w:rPr>
                <w:sz w:val="1"/>
                <w:szCs w:val="1"/>
                <w:color w:val="auto"/>
              </w:rPr>
            </w:pPr>
          </w:p>
        </w:tc>
      </w:tr>
      <w:tr>
        <w:trPr>
          <w:trHeight w:val="188"/>
        </w:trPr>
        <w:tc>
          <w:tcPr>
            <w:tcW w:w="7820" w:type="dxa"/>
            <w:vAlign w:val="bottom"/>
          </w:tcPr>
          <w:p>
            <w:pPr>
              <w:ind w:left="140"/>
              <w:spacing w:after="0" w:line="189" w:lineRule="exact"/>
              <w:rPr>
                <w:sz w:val="20"/>
                <w:szCs w:val="20"/>
                <w:color w:val="auto"/>
              </w:rPr>
            </w:pPr>
            <w:r>
              <w:rPr>
                <w:rFonts w:ascii="Arial" w:cs="Arial" w:eastAsia="Arial" w:hAnsi="Arial"/>
                <w:sz w:val="18"/>
                <w:szCs w:val="18"/>
                <w:color w:val="auto"/>
              </w:rPr>
              <w:t>Less treasury stock at cost</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340"/>
              <w:spacing w:after="0" w:line="176" w:lineRule="exact"/>
              <w:rPr>
                <w:sz w:val="20"/>
                <w:szCs w:val="20"/>
                <w:color w:val="auto"/>
              </w:rPr>
            </w:pPr>
            <w:r>
              <w:rPr>
                <w:rFonts w:ascii="Arial" w:cs="Arial" w:eastAsia="Arial" w:hAnsi="Arial"/>
                <w:sz w:val="18"/>
                <w:szCs w:val="18"/>
                <w:color w:val="auto"/>
              </w:rPr>
              <w:t>31,042,903 shares at December 31, 2021;</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(1,807,119)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29,792,903 shares at June 30, 2021</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(1,613,202)</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1,271,996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1,319,292</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2,280,802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2,336,156</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gridSpan w:val="8"/>
          </w:tcPr>
          <w:p>
            <w:pPr>
              <w:jc w:val="center"/>
              <w:ind w:left="30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9"/>
        </w:trPr>
        <w:tc>
          <w:tcPr>
            <w:tcW w:w="8140" w:type="dxa"/>
            <w:vAlign w:val="bottom"/>
            <w:gridSpan w:val="8"/>
          </w:tcPr>
          <w:p>
            <w:pPr>
              <w:jc w:val="center"/>
              <w:ind w:left="303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3840" w:type="dxa"/>
            <w:vAlign w:val="bottom"/>
          </w:tcPr>
          <w:p>
            <w:pPr>
              <w:spacing w:after="0"/>
              <w:rPr>
                <w:sz w:val="19"/>
                <w:szCs w:val="19"/>
                <w:color w:val="auto"/>
              </w:rPr>
            </w:pPr>
          </w:p>
        </w:tc>
        <w:tc>
          <w:tcPr>
            <w:tcW w:w="4300" w:type="dxa"/>
            <w:vAlign w:val="bottom"/>
            <w:gridSpan w:val="7"/>
          </w:tcPr>
          <w:p>
            <w:pPr>
              <w:jc w:val="center"/>
              <w:ind w:right="740"/>
              <w:spacing w:after="0"/>
              <w:rPr>
                <w:sz w:val="20"/>
                <w:szCs w:val="20"/>
                <w:color w:val="auto"/>
              </w:rPr>
            </w:pPr>
            <w:r>
              <w:rPr>
                <w:rFonts w:ascii="Arial" w:cs="Arial" w:eastAsia="Arial" w:hAnsi="Arial"/>
                <w:sz w:val="18"/>
                <w:szCs w:val="18"/>
                <w:color w:val="auto"/>
              </w:rPr>
              <w:t>(In Thousands, Except Per Share Data)</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0"/>
        </w:trPr>
        <w:tc>
          <w:tcPr>
            <w:tcW w:w="3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(Unaudited)</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7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3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2020</w:t>
            </w:r>
          </w:p>
        </w:tc>
      </w:tr>
      <w:tr>
        <w:trPr>
          <w:trHeight w:val="237"/>
        </w:trPr>
        <w:tc>
          <w:tcPr>
            <w:tcW w:w="3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493,896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981,952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874,161</w:t>
            </w:r>
          </w:p>
        </w:tc>
      </w:tr>
      <w:tr>
        <w:trPr>
          <w:trHeight w:val="257"/>
        </w:trPr>
        <w:tc>
          <w:tcPr>
            <w:tcW w:w="3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282,825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257,782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559,460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520,711</w:t>
            </w: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r>
      <w:tr>
        <w:trPr>
          <w:trHeight w:val="230"/>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106,565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89,393</w:t>
            </w:r>
          </w:p>
        </w:tc>
      </w:tr>
      <w:tr>
        <w:trPr>
          <w:trHeight w:val="223"/>
        </w:trPr>
        <w:tc>
          <w:tcPr>
            <w:tcW w:w="38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7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368,234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722,695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662,941</w:t>
            </w:r>
          </w:p>
        </w:tc>
      </w:tr>
      <w:tr>
        <w:trPr>
          <w:trHeight w:val="237"/>
        </w:trPr>
        <w:tc>
          <w:tcPr>
            <w:tcW w:w="3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259,257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211,220</w:t>
            </w:r>
          </w:p>
        </w:tc>
      </w:tr>
      <w:tr>
        <w:trPr>
          <w:trHeight w:val="257"/>
        </w:trPr>
        <w:tc>
          <w:tcPr>
            <w:tcW w:w="3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38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36"/>
        </w:trPr>
        <w:tc>
          <w:tcPr>
            <w:tcW w:w="38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125,221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93,567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258,574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211,105</w:t>
            </w:r>
          </w:p>
        </w:tc>
      </w:tr>
      <w:tr>
        <w:trPr>
          <w:trHeight w:val="257"/>
        </w:trPr>
        <w:tc>
          <w:tcPr>
            <w:tcW w:w="38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29,551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60,791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47,907</w:t>
            </w:r>
          </w:p>
        </w:tc>
      </w:tr>
      <w:tr>
        <w:trPr>
          <w:trHeight w:val="257"/>
        </w:trPr>
        <w:tc>
          <w:tcPr>
            <w:tcW w:w="38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95,670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197,783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163,198</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3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76,354</w:t>
            </w:r>
          </w:p>
        </w:tc>
      </w:tr>
      <w:tr>
        <w:trPr>
          <w:trHeight w:val="256"/>
        </w:trPr>
        <w:tc>
          <w:tcPr>
            <w:tcW w:w="3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9"/>
        </w:trPr>
        <w:tc>
          <w:tcPr>
            <w:tcW w:w="38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73,697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73,920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gridSpan w:val="7"/>
          </w:tcPr>
          <w:p>
            <w:pPr>
              <w:jc w:val="center"/>
              <w:ind w:left="29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800" w:type="dxa"/>
            <w:vAlign w:val="bottom"/>
            <w:gridSpan w:val="10"/>
          </w:tcPr>
          <w:p>
            <w:pPr>
              <w:jc w:val="center"/>
              <w:ind w:left="137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gridSpan w:val="7"/>
          </w:tcPr>
          <w:p>
            <w:pPr>
              <w:jc w:val="center"/>
              <w:ind w:left="2910"/>
              <w:spacing w:after="0"/>
              <w:rPr>
                <w:sz w:val="20"/>
                <w:szCs w:val="20"/>
                <w:color w:val="auto"/>
              </w:rPr>
            </w:pPr>
            <w:r>
              <w:rPr>
                <w:rFonts w:ascii="Arial" w:cs="Arial" w:eastAsia="Arial" w:hAnsi="Arial"/>
                <w:sz w:val="18"/>
                <w:szCs w:val="18"/>
                <w:color w:val="auto"/>
              </w:rPr>
              <w:t>(In Thousands, Except Share and Per Share Data)</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40" w:type="dxa"/>
            <w:vAlign w:val="bottom"/>
          </w:tcPr>
          <w:p>
            <w:pPr>
              <w:spacing w:after="0"/>
              <w:rPr>
                <w:sz w:val="19"/>
                <w:szCs w:val="19"/>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9"/>
                <w:szCs w:val="19"/>
                <w:color w:val="auto"/>
              </w:rPr>
            </w:pPr>
          </w:p>
        </w:tc>
        <w:tc>
          <w:tcPr>
            <w:tcW w:w="27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40" w:type="dxa"/>
            <w:vAlign w:val="bottom"/>
          </w:tcPr>
          <w:p>
            <w:pPr>
              <w:spacing w:after="0"/>
              <w:rPr>
                <w:sz w:val="20"/>
                <w:szCs w:val="20"/>
                <w:color w:val="auto"/>
              </w:rPr>
            </w:pPr>
          </w:p>
        </w:tc>
        <w:tc>
          <w:tcPr>
            <w:tcW w:w="276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103,822,265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103,696,962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103,795,169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103,622,563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78,414</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16,880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38,544</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35,726</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103,860,246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103,736,703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103,860,246</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103,736,703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527,255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497,030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518,960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495,005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12,055</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535,493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535,493</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503,205</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2,480,574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2,293,229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2,412,496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2,235,320</w:t>
            </w: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Cumulative effect of Accounting Standards Update adoption</w:t>
            </w:r>
          </w:p>
        </w:tc>
        <w:tc>
          <w:tcPr>
            <w:tcW w:w="24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1)</w:t>
            </w:r>
          </w:p>
        </w:tc>
        <w:tc>
          <w:tcPr>
            <w:tcW w:w="24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95,670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71,982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197,783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163,198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(67,696)</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(65,516)</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2,542,583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2,332,509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2,542,583</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2,332,509</w:t>
            </w:r>
          </w:p>
        </w:tc>
        <w:tc>
          <w:tcPr>
            <w:tcW w:w="0" w:type="dxa"/>
            <w:vAlign w:val="bottom"/>
          </w:tcPr>
          <w:p>
            <w:pPr>
              <w:spacing w:after="0"/>
              <w:rPr>
                <w:sz w:val="1"/>
                <w:szCs w:val="1"/>
                <w:color w:val="auto"/>
              </w:rPr>
            </w:pPr>
          </w:p>
        </w:tc>
      </w:tr>
      <w:tr>
        <w:trPr>
          <w:trHeight w:val="128"/>
        </w:trPr>
        <w:tc>
          <w:tcPr>
            <w:tcW w:w="5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(1,613,202)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(1,247,546)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(1,613,202)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(1,181,673)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treasury shares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(193,917)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(193,917)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(109,899)</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(1,807,119)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(1,291,572)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(1,807,119)</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(1,291,572)</w:t>
            </w:r>
          </w:p>
        </w:tc>
        <w:tc>
          <w:tcPr>
            <w:tcW w:w="0" w:type="dxa"/>
            <w:vAlign w:val="bottom"/>
          </w:tcPr>
          <w:p>
            <w:pPr>
              <w:spacing w:after="0"/>
              <w:rPr>
                <w:sz w:val="1"/>
                <w:szCs w:val="1"/>
                <w:color w:val="auto"/>
              </w:rPr>
            </w:pPr>
          </w:p>
        </w:tc>
      </w:tr>
      <w:tr>
        <w:trPr>
          <w:trHeight w:val="128"/>
        </w:trPr>
        <w:tc>
          <w:tcPr>
            <w:tcW w:w="5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1,271,996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1,271,996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1,545,179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8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38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50"/>
              <w:spacing w:after="0"/>
              <w:rPr>
                <w:sz w:val="20"/>
                <w:szCs w:val="20"/>
                <w:color w:val="auto"/>
              </w:rPr>
            </w:pPr>
            <w:r>
              <w:rPr>
                <w:rFonts w:ascii="Arial" w:cs="Arial" w:eastAsia="Arial" w:hAnsi="Arial"/>
                <w:sz w:val="18"/>
                <w:szCs w:val="18"/>
                <w:color w:val="auto"/>
                <w:w w:val="99"/>
              </w:rPr>
              <w:t>(Unaudited)</w:t>
            </w:r>
          </w:p>
        </w:tc>
        <w:tc>
          <w:tcPr>
            <w:tcW w:w="560" w:type="dxa"/>
            <w:vAlign w:val="bottom"/>
          </w:tcPr>
          <w:p>
            <w:pPr>
              <w:spacing w:after="0"/>
              <w:rPr>
                <w:sz w:val="19"/>
                <w:szCs w:val="19"/>
                <w:color w:val="auto"/>
              </w:rPr>
            </w:pPr>
          </w:p>
        </w:tc>
        <w:tc>
          <w:tcPr>
            <w:tcW w:w="2860" w:type="dxa"/>
            <w:vAlign w:val="bottom"/>
            <w:gridSpan w:val="4"/>
            <w:vMerge w:val="restart"/>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7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197,783</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163,198</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Adjustments to reconcile net income from operations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25,843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26,652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61,164</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11,573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70,468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87,518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(26,109)</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(22,627)</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8,439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(119,822)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(126,134)</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197,351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193,984</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dispositions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software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Computer software developed</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(71,353)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(62,804)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investments</w:t>
            </w: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5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(101,052)</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(82,544)</w:t>
            </w:r>
          </w:p>
        </w:tc>
        <w:tc>
          <w:tcPr>
            <w:tcW w:w="0" w:type="dxa"/>
            <w:vAlign w:val="bottom"/>
          </w:tcPr>
          <w:p>
            <w:pPr>
              <w:spacing w:after="0"/>
              <w:rPr>
                <w:sz w:val="1"/>
                <w:szCs w:val="1"/>
                <w:color w:val="auto"/>
              </w:rPr>
            </w:pPr>
          </w:p>
        </w:tc>
      </w:tr>
      <w:tr>
        <w:trPr>
          <w:trHeight w:val="270"/>
        </w:trPr>
        <w:tc>
          <w:tcPr>
            <w:tcW w:w="78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on credit facilities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(80,065)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(193,917)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(109,899)</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(67,696)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(65,516)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(118,171)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(177,023)</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(21,872)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(65,583)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50,992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213,345</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29,120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147,762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w:t>
      </w:r>
      <w:r>
        <w:rPr>
          <w:rFonts w:ascii="Arial" w:cs="Arial" w:eastAsia="Arial" w:hAnsi="Arial"/>
          <w:sz w:val="18"/>
          <w:szCs w:val="18"/>
          <w:color w:val="auto"/>
        </w:rPr>
        <w:t>(In Thousands, Except Per Share Amounts) (Unaudited)</w:t>
      </w:r>
    </w:p>
    <w:p>
      <w:pPr>
        <w:spacing w:after="0" w:line="200" w:lineRule="exact"/>
        <w:rPr>
          <w:sz w:val="20"/>
          <w:szCs w:val="20"/>
          <w:color w:val="auto"/>
        </w:rPr>
      </w:pPr>
    </w:p>
    <w:p>
      <w:pPr>
        <w:spacing w:after="0" w:line="243"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52" w:lineRule="auto"/>
        <w:rPr>
          <w:sz w:val="20"/>
          <w:szCs w:val="20"/>
          <w:color w:val="auto"/>
        </w:rPr>
      </w:pPr>
      <w:r>
        <w:rPr>
          <w:rFonts w:ascii="Arial" w:cs="Arial" w:eastAsia="Arial" w:hAnsi="Arial"/>
          <w:sz w:val="18"/>
          <w:szCs w:val="18"/>
          <w:color w:val="auto"/>
        </w:rPr>
        <w:t>Jack Henry &amp; Associates, Inc. and subsidiaries ("Jack Henry," "JKHY," or the "Company") is a leading provider of technology solutions and payment processing services primarily for the financial services industry. The Company has developed and acquired a number of banking and credit union software systems. The Company's revenues are predominately earned by marketing those systems to financial institutions nationwide, by providing the conversion and implementation services for financial institutions to utilize JKHY systems, and by providing payment processing and other related services. JKHY also provides continuing support and services to customers using on-premise or JKHY private and public cloud-based systems.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JKHY and its subsidiaries, all of which are wholly owned. All intercompany accounts and transactions have been eliminated.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six months ended December 31, 2021, and 2020, equals the Company’s net income.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Policy</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Financial Accounting Standards Board ("FASB") Accounting Standards Codification ("ASC") Topic 326, Financial Instruments - Credit Losses, ("CECL") with an adoption date of July 1, 2020. As a result, the Company changed its accounting policy for allowance for credit losses. The accounting policy pursuant to CECL is disclosed below. The adoption of CECL resulted in an immaterial cumulative effect adjustment recorded in retained earnings as of July 1, 2020.</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9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table summarizes allowance for credit losses activity for the fiscal quarter and year-to-date period ended December 31, 2021, and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3740" w:type="dxa"/>
            <w:vAlign w:val="bottom"/>
            <w:gridSpan w:val="9"/>
          </w:tcPr>
          <w:p>
            <w:pPr>
              <w:ind w:left="400"/>
              <w:spacing w:after="0"/>
              <w:rPr>
                <w:sz w:val="20"/>
                <w:szCs w:val="20"/>
                <w:color w:val="auto"/>
              </w:rPr>
            </w:pPr>
            <w:r>
              <w:rPr>
                <w:rFonts w:ascii="Arial" w:cs="Arial" w:eastAsia="Arial" w:hAnsi="Arial"/>
                <w:sz w:val="18"/>
                <w:szCs w:val="18"/>
                <w:color w:val="auto"/>
              </w:rPr>
              <w:t>Three Months Ended December 31,</w:t>
            </w:r>
          </w:p>
        </w:tc>
        <w:tc>
          <w:tcPr>
            <w:tcW w:w="320" w:type="dxa"/>
            <w:vAlign w:val="bottom"/>
          </w:tcPr>
          <w:p>
            <w:pPr>
              <w:spacing w:after="0"/>
              <w:rPr>
                <w:sz w:val="18"/>
                <w:szCs w:val="18"/>
                <w:color w:val="auto"/>
              </w:rPr>
            </w:pPr>
          </w:p>
        </w:tc>
        <w:tc>
          <w:tcPr>
            <w:tcW w:w="3360" w:type="dxa"/>
            <w:vAlign w:val="bottom"/>
            <w:gridSpan w:val="8"/>
          </w:tcPr>
          <w:p>
            <w:pPr>
              <w:jc w:val="right"/>
              <w:ind w:right="520"/>
              <w:spacing w:after="0"/>
              <w:rPr>
                <w:sz w:val="20"/>
                <w:szCs w:val="20"/>
                <w:color w:val="auto"/>
              </w:rPr>
            </w:pPr>
            <w:r>
              <w:rPr>
                <w:rFonts w:ascii="Arial" w:cs="Arial" w:eastAsia="Arial" w:hAnsi="Arial"/>
                <w:sz w:val="18"/>
                <w:szCs w:val="18"/>
                <w:color w:val="auto"/>
              </w:rPr>
              <w:t>Six Months Ended December 31,</w:t>
            </w: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1160" w:type="dxa"/>
            <w:vAlign w:val="bottom"/>
            <w:tcBorders>
              <w:top w:val="single" w:sz="8" w:color="auto"/>
            </w:tcBorders>
            <w:gridSpan w:val="3"/>
          </w:tcPr>
          <w:p>
            <w:pPr>
              <w:jc w:val="right"/>
              <w:ind w:right="80"/>
              <w:spacing w:after="0" w:line="182" w:lineRule="exact"/>
              <w:rPr>
                <w:sz w:val="20"/>
                <w:szCs w:val="20"/>
                <w:color w:val="auto"/>
              </w:rPr>
            </w:pPr>
            <w:r>
              <w:rPr>
                <w:rFonts w:ascii="Arial" w:cs="Arial" w:eastAsia="Arial" w:hAnsi="Arial"/>
                <w:sz w:val="18"/>
                <w:szCs w:val="18"/>
                <w:color w:val="auto"/>
              </w:rPr>
              <w:t>2021</w:t>
            </w: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610"/>
              <w:spacing w:after="0" w:line="182" w:lineRule="exact"/>
              <w:rPr>
                <w:sz w:val="20"/>
                <w:szCs w:val="20"/>
                <w:color w:val="auto"/>
              </w:rPr>
            </w:pPr>
            <w:r>
              <w:rPr>
                <w:rFonts w:ascii="Arial" w:cs="Arial" w:eastAsia="Arial" w:hAnsi="Arial"/>
                <w:sz w:val="18"/>
                <w:szCs w:val="18"/>
                <w:color w:val="auto"/>
                <w:w w:val="94"/>
              </w:rPr>
              <w:t>2020</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jc w:val="right"/>
              <w:ind w:right="590"/>
              <w:spacing w:after="0" w:line="182" w:lineRule="exact"/>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700"/>
              <w:spacing w:after="0" w:line="18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188"/>
        </w:trPr>
        <w:tc>
          <w:tcPr>
            <w:tcW w:w="3820" w:type="dxa"/>
            <w:vAlign w:val="bottom"/>
          </w:tcPr>
          <w:p>
            <w:pPr>
              <w:ind w:left="240"/>
              <w:spacing w:after="0" w:line="189" w:lineRule="exact"/>
              <w:rPr>
                <w:sz w:val="20"/>
                <w:szCs w:val="20"/>
                <w:color w:val="auto"/>
              </w:rPr>
            </w:pPr>
            <w:r>
              <w:rPr>
                <w:rFonts w:ascii="Arial" w:cs="Arial" w:eastAsia="Arial" w:hAnsi="Arial"/>
                <w:sz w:val="18"/>
                <w:szCs w:val="18"/>
                <w:color w:val="auto"/>
              </w:rPr>
              <w:t>Cumulative effect of accounting standards</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40"/>
              <w:spacing w:after="0"/>
              <w:rPr>
                <w:sz w:val="20"/>
                <w:szCs w:val="20"/>
                <w:color w:val="auto"/>
              </w:rPr>
            </w:pPr>
            <w:r>
              <w:rPr>
                <w:rFonts w:ascii="Arial" w:cs="Arial" w:eastAsia="Arial" w:hAnsi="Arial"/>
                <w:sz w:val="18"/>
                <w:szCs w:val="18"/>
                <w:color w:val="auto"/>
              </w:rPr>
              <w:t>update adoption</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30"/>
        </w:trPr>
        <w:tc>
          <w:tcPr>
            <w:tcW w:w="3820" w:type="dxa"/>
            <w:vAlign w:val="bottom"/>
          </w:tcPr>
          <w:p>
            <w:pPr>
              <w:ind w:left="240"/>
              <w:spacing w:after="0"/>
              <w:rPr>
                <w:sz w:val="20"/>
                <w:szCs w:val="20"/>
                <w:color w:val="auto"/>
              </w:rPr>
            </w:pPr>
            <w:r>
              <w:rPr>
                <w:rFonts w:ascii="Arial" w:cs="Arial" w:eastAsia="Arial" w:hAnsi="Arial"/>
                <w:sz w:val="18"/>
                <w:szCs w:val="18"/>
                <w:color w:val="auto"/>
              </w:rPr>
              <w:t>Write-offs charged against allowance</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20" w:type="dxa"/>
            <w:vAlign w:val="bottom"/>
          </w:tcPr>
          <w:p>
            <w:pPr>
              <w:ind w:left="24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5"/>
        </w:trPr>
        <w:tc>
          <w:tcPr>
            <w:tcW w:w="38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Allowance for credit losses - ending</w:t>
            </w:r>
          </w:p>
        </w:tc>
        <w:tc>
          <w:tcPr>
            <w:tcW w:w="680" w:type="dxa"/>
            <w:vAlign w:val="bottom"/>
            <w:tcBorders>
              <w:top w:val="single" w:sz="8" w:color="auto"/>
            </w:tcBorders>
            <w:vMerge w:val="restart"/>
            <w:shd w:val="clear" w:color="auto" w:fill="CCEEFF"/>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7,733</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6,830</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7,733</w:t>
            </w: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6,830</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w:t>
            </w: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 at December 31, 2021, totaled $453,439 and at June 30, 2021, totaled $435,169.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three to twenty years. Accumulated amortization of intangible assets totaled $983,626 and $921,050 at December 31, 2021, and June 30, 2021,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December 31, 2021, and June 30, 2021, the Company had an investment in the preferred stock of Automated Bookkeeping, Inc. ("Autobooks") of $13,250, which represented a non-controlling share of the voting equity as of each date. The total investment was recorded at cost and is included within other non-current assets on the Company's balance sheet.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line-of-credit. The share repurchase program does not include specific price targets or timetables and may be suspended at any time. At December 31, 2021, there were 31,043 shares in treasury stock and the Company had the remaining authority to repurchase up to 3,948 additional shares. The total cost of treasury shares at December 31, 2021, was $1,807,119. During the first six months of fiscal 2022, the Company repurchased 1,250 shares. At June 30, 2021, there were 29,793 shares in treasury stock and the Company had authority to repurchase up to 5,198 additional shares. The total cost of treasury shares at June 30, 2021, was $1,613,202. During the first six months of fiscal 2021, the Company repurchased 675 shares.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basis and tax basis of assets and liabilities. A valuation allowance would be established to reduce deferred tax assets if it is more likely than not that a deferred tax asset will not be realized.</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unrecognized benefits for uncertain tax positions. The Company's policy is to include interest and penalties related to unrecognized tax benefits in income tax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2021. The accounting policies followed by the Company are set forth in Note 1 to the Company's consolidated financial statements included in its Form 10-K for the fiscal year ended June 30, 2021, with updates to certain policies included in this Note 1.</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December 31, 2021, the results of its operations for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three and six months ended December 31, 2021, and 2020, changes in stockholders' equity for the three and six months ended December 31, 2021, and 2020, and its cash flows for the six months ended December 31, 2021, and 2020. The condensed consolidated balance sheet at June 30, 2021, was derived from audited annual financial statements but does not contain all of the footnote disclosures from the annual financial statements.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results of operations for the three and six months ended December 31, 2021, are not necessarily indicative of the results to be expected for the entire fiscal year.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extent to which the COVID-19 pandemic will directly or indirectly impact our business and financial results, including revenue, expenses, cost of revenues, research and development, and selling, general and administrative expenses, will depend on future developments that are highly uncertain, such as new information that may emerge concerning COVID-19 and the actions taken to contain or treat COVID-19 (including the efficacy of vaccines against new variants and the development and effectiveness of treatments), as well as the economic impact on local, regional, national and international customers and markets. The Company assessed certain accounting matters that generally require consideration of forecasted financial information in context with the information reasonably available to the Company and the unknown future impacts of COVID-19 as of December 31, 2021, and through the date of this report. The accounting matters assessed included, but were not limited to, the Company’s allowance for credit losses, as well as the carrying value of goodwill and other long-lived assets. While there was not a material impact to the Company’s condensed consolidated financial statements as of and for the fiscal quarter ended December 31, 2021, the Company’s future assessment of the magnitude and duration of COVID-19, as well as other factors, could result in material impacts to the Company’s condensed consolidated financial statements in future reporting periods.</w:t>
      </w:r>
    </w:p>
    <w:p>
      <w:pPr>
        <w:spacing w:after="0" w:line="200" w:lineRule="exact"/>
        <w:rPr>
          <w:sz w:val="20"/>
          <w:szCs w:val="20"/>
          <w:color w:val="auto"/>
        </w:rPr>
      </w:pPr>
    </w:p>
    <w:p>
      <w:pPr>
        <w:spacing w:after="0" w:line="2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of 2019, the FASB issued Accounting Standards Update ("ASU") No. 2019-12, Income Taxes (Topic 740): Simplifying the Accounting for Income Taxes, which removes certain exceptions and simplifies other requirements of Topic 740 guidance. The ASU was effective for the Company on July 1, 2021. The Company adopted ASU 2019-12 effective July 1, 2021 with no material impact on its condensed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October of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The Company plans to adopt ASU 2021-08 when required, which will be for fiscal years beginning after December 15, 2022, including interim periods within the fiscal years, and should be applied prospectively to business combinations occurring on or after the effective date of this ASU. Although this ASU has no current effect on the Company's condensed consolidated financial statements, there could be an effect for any business combinations taking place after the effective date of this ASU.</w:t>
      </w:r>
    </w:p>
    <w:p>
      <w:pPr>
        <w:spacing w:after="0" w:line="200" w:lineRule="exact"/>
        <w:rPr>
          <w:sz w:val="20"/>
          <w:szCs w:val="20"/>
          <w:color w:val="auto"/>
        </w:rPr>
      </w:pPr>
    </w:p>
    <w:p>
      <w:pPr>
        <w:spacing w:after="0" w:line="25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tables below present the Company's revenue disaggregated by type of revenue. Refer to Note 10, Reportable Segment Information, for disaggregated revenue by type and reportable segment. The majority of the Company’s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revenue is earned domestically, with revenue from customers outside the United States comprising less than 1% of total revenue.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3720" w:type="dxa"/>
            <w:vAlign w:val="bottom"/>
            <w:gridSpan w:val="10"/>
          </w:tcPr>
          <w:p>
            <w:pPr>
              <w:ind w:left="380"/>
              <w:spacing w:after="0"/>
              <w:rPr>
                <w:sz w:val="20"/>
                <w:szCs w:val="20"/>
                <w:color w:val="auto"/>
              </w:rPr>
            </w:pPr>
            <w:r>
              <w:rPr>
                <w:rFonts w:ascii="Arial" w:cs="Arial" w:eastAsia="Arial" w:hAnsi="Arial"/>
                <w:sz w:val="18"/>
                <w:szCs w:val="18"/>
                <w:color w:val="auto"/>
              </w:rPr>
              <w:t>Three Months Ended December 31,</w:t>
            </w:r>
          </w:p>
        </w:tc>
        <w:tc>
          <w:tcPr>
            <w:tcW w:w="340" w:type="dxa"/>
            <w:vAlign w:val="bottom"/>
          </w:tcPr>
          <w:p>
            <w:pPr>
              <w:spacing w:after="0"/>
              <w:rPr>
                <w:sz w:val="18"/>
                <w:szCs w:val="18"/>
                <w:color w:val="auto"/>
              </w:rPr>
            </w:pPr>
          </w:p>
        </w:tc>
        <w:tc>
          <w:tcPr>
            <w:tcW w:w="3460" w:type="dxa"/>
            <w:vAlign w:val="bottom"/>
            <w:gridSpan w:val="8"/>
          </w:tcPr>
          <w:p>
            <w:pPr>
              <w:jc w:val="right"/>
              <w:ind w:right="580"/>
              <w:spacing w:after="0"/>
              <w:rPr>
                <w:sz w:val="20"/>
                <w:szCs w:val="20"/>
                <w:color w:val="auto"/>
              </w:rPr>
            </w:pPr>
            <w:r>
              <w:rPr>
                <w:rFonts w:ascii="Arial" w:cs="Arial" w:eastAsia="Arial" w:hAnsi="Arial"/>
                <w:sz w:val="18"/>
                <w:szCs w:val="18"/>
                <w:color w:val="auto"/>
              </w:rPr>
              <w:t>Six Months Ended December 31,</w:t>
            </w:r>
          </w:p>
        </w:tc>
      </w:tr>
      <w:tr>
        <w:trPr>
          <w:trHeight w:val="183"/>
        </w:trPr>
        <w:tc>
          <w:tcPr>
            <w:tcW w:w="3720" w:type="dxa"/>
            <w:vAlign w:val="bottom"/>
          </w:tcPr>
          <w:p>
            <w:pPr>
              <w:spacing w:after="0"/>
              <w:rPr>
                <w:sz w:val="15"/>
                <w:szCs w:val="15"/>
                <w:color w:val="auto"/>
              </w:rPr>
            </w:pPr>
          </w:p>
        </w:tc>
        <w:tc>
          <w:tcPr>
            <w:tcW w:w="1420" w:type="dxa"/>
            <w:vAlign w:val="bottom"/>
            <w:tcBorders>
              <w:top w:val="single" w:sz="8" w:color="auto"/>
            </w:tcBorders>
            <w:gridSpan w:val="3"/>
          </w:tcPr>
          <w:p>
            <w:pPr>
              <w:jc w:val="right"/>
              <w:ind w:right="120"/>
              <w:spacing w:after="0" w:line="182" w:lineRule="exact"/>
              <w:rPr>
                <w:sz w:val="20"/>
                <w:szCs w:val="20"/>
                <w:color w:val="auto"/>
              </w:rPr>
            </w:pPr>
            <w:r>
              <w:rPr>
                <w:rFonts w:ascii="Arial" w:cs="Arial" w:eastAsia="Arial" w:hAnsi="Arial"/>
                <w:sz w:val="18"/>
                <w:szCs w:val="18"/>
                <w:b w:val="1"/>
                <w:bCs w:val="1"/>
                <w:color w:val="auto"/>
              </w:rPr>
              <w:t>2021</w:t>
            </w: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color w:val="auto"/>
              </w:rPr>
              <w:t>2020</w:t>
            </w:r>
          </w:p>
        </w:tc>
      </w:tr>
      <w:tr>
        <w:trPr>
          <w:trHeight w:val="21"/>
        </w:trPr>
        <w:tc>
          <w:tcPr>
            <w:tcW w:w="3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Private and Public Cloud</w:t>
            </w:r>
            <w:r>
              <w:rPr>
                <w:rFonts w:ascii="Arial" w:cs="Arial" w:eastAsia="Arial" w:hAnsi="Arial"/>
                <w:sz w:val="21"/>
                <w:szCs w:val="21"/>
                <w:color w:val="auto"/>
                <w:vertAlign w:val="superscript"/>
              </w:rPr>
              <w:t>1</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124,498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273,982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245,456</w:t>
            </w:r>
          </w:p>
        </w:tc>
      </w:tr>
      <w:tr>
        <w:trPr>
          <w:trHeight w:val="213"/>
        </w:trPr>
        <w:tc>
          <w:tcPr>
            <w:tcW w:w="372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79,499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48,414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color w:val="auto"/>
              </w:rPr>
              <w:t>131,014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105,312</w:t>
            </w:r>
          </w:p>
        </w:tc>
      </w:tr>
      <w:tr>
        <w:trPr>
          <w:trHeight w:val="219"/>
        </w:trPr>
        <w:tc>
          <w:tcPr>
            <w:tcW w:w="37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On-Premise Support</w:t>
            </w:r>
            <w:r>
              <w:rPr>
                <w:rFonts w:ascii="Arial" w:cs="Arial" w:eastAsia="Arial" w:hAnsi="Arial"/>
                <w:sz w:val="21"/>
                <w:szCs w:val="21"/>
                <w:color w:val="auto"/>
                <w:vertAlign w:val="superscript"/>
              </w:rPr>
              <w:t>2</w:t>
            </w: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77,961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188,708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181,102</w:t>
            </w: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296,211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250,873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593,704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531,870</w:t>
            </w:r>
          </w:p>
        </w:tc>
      </w:tr>
      <w:tr>
        <w:trPr>
          <w:trHeight w:val="217"/>
        </w:trPr>
        <w:tc>
          <w:tcPr>
            <w:tcW w:w="3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197,685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171,488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388,248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342,291</w:t>
            </w:r>
          </w:p>
        </w:tc>
      </w:tr>
      <w:tr>
        <w:trPr>
          <w:trHeight w:val="217"/>
        </w:trPr>
        <w:tc>
          <w:tcPr>
            <w:tcW w:w="37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493,896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422,361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981,952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874,161</w:t>
            </w:r>
          </w:p>
        </w:tc>
      </w:tr>
      <w:tr>
        <w:trPr>
          <w:trHeight w:val="20"/>
        </w:trPr>
        <w:tc>
          <w:tcPr>
            <w:tcW w:w="3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right="20" w:firstLine="8"/>
        <w:spacing w:after="0"/>
        <w:tabs>
          <w:tab w:leader="none" w:pos="91"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The name of this revenue stream was changed in fiscal 2021 from "outsourcing and cloud" to "private and public cloud" to better reflect the nature of the related revenue. However, the nature of the revenue included within this caption has not changed and is the same in the current fiscal quarter as it was in the comparative quarter of fiscal 2021 and prior.</w:t>
      </w:r>
    </w:p>
    <w:p>
      <w:pPr>
        <w:spacing w:after="0" w:line="188" w:lineRule="exact"/>
        <w:rPr>
          <w:sz w:val="20"/>
          <w:szCs w:val="20"/>
          <w:color w:val="auto"/>
        </w:rPr>
      </w:pPr>
    </w:p>
    <w:p>
      <w:pPr>
        <w:ind w:right="20" w:firstLine="8"/>
        <w:spacing w:after="0" w:line="258" w:lineRule="auto"/>
        <w:tabs>
          <w:tab w:leader="none" w:pos="78" w:val="left"/>
        </w:tabs>
        <w:numPr>
          <w:ilvl w:val="0"/>
          <w:numId w:val="4"/>
        </w:numPr>
        <w:rPr>
          <w:rFonts w:ascii="Arial" w:cs="Arial" w:eastAsia="Arial" w:hAnsi="Arial"/>
          <w:sz w:val="9"/>
          <w:szCs w:val="9"/>
          <w:color w:val="auto"/>
        </w:rPr>
      </w:pPr>
      <w:r>
        <w:rPr>
          <w:rFonts w:ascii="Arial" w:cs="Arial" w:eastAsia="Arial" w:hAnsi="Arial"/>
          <w:sz w:val="14"/>
          <w:szCs w:val="14"/>
          <w:color w:val="auto"/>
        </w:rPr>
        <w:t>The name of this revenue stream was changed in fiscal 2021 from "in-house support" to "on-premise support" to better reflect the nature of the related revenue. However, the nature of the revenue included within this caption has not changed and is the same in the current fiscal quarter as it was in the comparative quarter of fiscal 2021 and prior.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29"/>
        </w:trPr>
        <w:tc>
          <w:tcPr>
            <w:tcW w:w="7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236,096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306,564</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20,374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22,884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208,733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319,748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75,852</w:t>
            </w:r>
          </w:p>
        </w:tc>
      </w:tr>
    </w:tbl>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except where invoicing is contingent upon the completion of other performance obligations or payment terms differ from the provisioning of services. The current portion of contract assets is reported within prepaid expenses and other in the condensed consolidated balance sheet, and the non-current portion is included in other non-current assets. Contract liabilities (deferred revenue) primarily relate to consideration received from customers in advance of delivery of the related goods and services to the customer. Contract balances are reported in a net contract asset or liability position on a contract-by-contract basis at the end of each reporting period.</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adjusts the transaction price for any material effects of the time value of money if the timing of payments provides either party to the contract with a significant benefit of financing the transaction.</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December 31, 2021 and 2020, the Company recognized revenue of $89,257 and $79,421, respectively, that was included in the corresponding deferred revenue balance at the beginning of the periods. For the six months ended December 31, 2021 and 2020, the Company recognized revenue of $157,781 and $156,666, respectively, that was included in the corresponding deferred revenue balance at the beginning of the periods.</w:t>
      </w:r>
    </w:p>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2021, estimated revenue expected to be recognized in the future related to performance obligations that are unsatisfied (or partially unsatisfied) at the end of the reporting period totaled $5,154,912. The Company expects to recognize approximately 26% over the next 12 months, 20% in 13-24 months, and the balance thereafter.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$347,867 and $314,807 at December 31, 2021 and June 30, 2021, respectively.</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December 31, 2021 and 2020, amortization of deferred contract costs was $32,154 and $28,794, respectively. During the six months ended December 31, 2021, and 2020, amortization of deferred contract costs totaled $67,998 and $62,620, respectively.</w:t>
      </w:r>
    </w:p>
    <w:p>
      <w:pPr>
        <w:spacing w:after="0" w:line="3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90" w:lineRule="exact"/>
        <w:rPr>
          <w:sz w:val="20"/>
          <w:szCs w:val="20"/>
          <w:color w:val="auto"/>
        </w:rPr>
      </w:pPr>
    </w:p>
    <w:p>
      <w:pPr>
        <w:ind w:left="260"/>
        <w:spacing w:after="0" w:line="261"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1,209</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1,209</w:t>
            </w: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240,000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240,000</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pacing w:after="0" w:line="200" w:lineRule="exact"/>
        <w:rPr>
          <w:sz w:val="20"/>
          <w:szCs w:val="20"/>
          <w:color w:val="auto"/>
        </w:rPr>
      </w:pPr>
    </w:p>
    <w:p>
      <w:pPr>
        <w:spacing w:after="0" w:line="32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jc w:val="both"/>
        <w:spacing w:after="0" w:line="252" w:lineRule="auto"/>
        <w:rPr>
          <w:sz w:val="20"/>
          <w:szCs w:val="20"/>
          <w:color w:val="auto"/>
        </w:rPr>
      </w:pPr>
      <w:r>
        <w:rPr>
          <w:rFonts w:ascii="Arial" w:cs="Arial" w:eastAsia="Arial" w:hAnsi="Arial"/>
          <w:sz w:val="18"/>
          <w:szCs w:val="18"/>
          <w:color w:val="auto"/>
        </w:rPr>
        <w:t>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leases certain office space, data centers and equipment with remaining terms of 1 to 12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December 31, 2021, and June 30, 2021, the Company had operating lease assets of $51,888 and $55,977 and financing lease assets of $124 and $ 188, respectively. At December 31, 2021, total operating lease liabilities of $56,653 were comprised of current operating lease liabilities of $11,623 and noncurrent operating lease liabilities of $45,030, and total financing lease liabilities of $129 were comprised of current financing lease liabilities of $ 103 and noncurrent financing lease liabilities of $26. At June 30, 2021, total operating lease liabilities of $60,828 were comprised of current operating lease liabilities of $11,460 and noncurrent operating lease liabilities of $49,368, and total financing lease liabilities of $193 were comprised of current financing lease liabilities of $110 and noncurrent financing lease liabilities of $83.</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 Operating lease assets were recorded net of accumulated amortization of $27,625 and $23,813 as of December 31, 2021, and June 30, 2021, respectively. Financing lease assets are included within property and equipment, net and financing lease liabilities are included within notes payable (current portion) and long-term debt (noncurrent portion) in the Company’s condensed consolidated balance sheet. Financing lease assets were recorded net of accumulated amortization of $206 and $153 as of December 31, 2021, and June 30, 2021, respectively.</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lease costs for the three months ended December 31, 2021, and 2020, were $3,327 and $ 3,766, respectively. Financing lease costs for the three months ended December 31, 2021, and 2020, were $27 and $30, respectively. Total operating and financing lease costs for the respective quarters included variable lease costs of approximately $441 and $809, respectively. Operating lease costs for the six months ended December 31, 2021, and 2020, were $6,759 and $7,675, respectively. Financing lease costs for the six months ended December 31, 2021, and 2020, were $55 and $30, respectively. Total operating and financing lease costs for the respective fiscal year-to-date periods included variable lease costs of approximately $840 and $2,189. Operating and financing lease expense are included within cost of services, research and development, and selling, general and administrative expense, dependent upon the nature and use of the ROU asset, in the Company’s condensed consolidated statement of income.</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months ended December 31, 2021, and 2020, the Company had operating cash flows for payments on operating leases of $6,802 and $6,872, respectively, and ROU assets obtained in exchange for operating lease liabilities of $1,870 and $4,485, respectively. Financing cash flows for payments on financing leases for the six months ended December 31, 2021, and 2020, were $55 and $63, respectively.</w:t>
      </w:r>
    </w:p>
    <w:p>
      <w:pPr>
        <w:spacing w:after="0" w:line="3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2021, and June 30, 2021, the weighted average remaining lease term for the Company's operating leases was 77 months and 81 months, respectively, and the weighted average discount rate was 2.62% and 2.67%, respectively. As of December 31, 2021, and June 30, 2021, the weighted average remaining lease term for the Company's financing leases was 15 months and 21 months, respectively. The weighted average discount rate for the Company's financing leases was 2.36% and 2.39% as of December 31, 2021, and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18"/>
                <w:szCs w:val="18"/>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29"/>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 (remaining period)</w:t>
            </w: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12,089</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7,266</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19,388</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61,731</w:t>
            </w:r>
          </w:p>
        </w:tc>
      </w:tr>
      <w:tr>
        <w:trPr>
          <w:trHeight w:val="230"/>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56,653</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Financing leases were immaterial to the fiscal quarter, so a maturity of lease liabilities table has only been included for operating leases.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Lease payments included $5,464 related to options to extend lease terms that are reasonably certain of being exercised. At December 31, 2021, the Company had $60 in legally binding lease payments for one lease that was signed but not yet commenced. The lease commencement date is March 1, 2022, and the lease term is 36 months.</w:t>
      </w:r>
    </w:p>
    <w:p>
      <w:pPr>
        <w:spacing w:after="0" w:line="200" w:lineRule="exact"/>
        <w:rPr>
          <w:sz w:val="20"/>
          <w:szCs w:val="20"/>
          <w:color w:val="auto"/>
        </w:rPr>
      </w:pPr>
    </w:p>
    <w:p>
      <w:pPr>
        <w:spacing w:after="0" w:line="2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10, 2020, the Company entered into a five-year senior, unsecured revolving credit facility. The credit facility allows for borrowings of up to $300,000, which may be increased by the Company at any time until maturity to $700,000. The credit facility bears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plus 1.0%), plus an applicable percentage in each case determined by the Company's leverage ratio. The credit facility is guaranteed by certain subsidiaries of the Company and is subject to various financial covenants that require the Company to maintain certain financial ratios as defined in the credit facility agreement. As of December 31, 2021, the Company was in compliance with all such covenants. The revolving credit facility terminates February 10, 2025. There was $240,000 outstanding under the credit facility at December 31, 2021, and $100,000 outstanding balance at June 30,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2023. There was no balance outstanding at December 31, 2021, or June 30,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$604 and $105 during the six months ended December 31, 2021, and 2020, respectively.</w:t>
      </w:r>
    </w:p>
    <w:p>
      <w:pPr>
        <w:spacing w:after="0" w:line="3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Provision for income taxes increased for the three months ended December 31, 2021, compared to the three months ended December 31, 2020, with an effective tax rate of 23.6% of income before income taxes, compared to 23.1% in the prior-year fiscal quarter. The increase in the effective tax rate comparing the three-month periods ended December 31 was primarily due to the impact of increases in operating income relative to the impact of other items affecting the effective tax rate in the current period.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six months ended December 31, 2021, provision for income taxes increased compared to the six months ended December 31, 2020, with an effective tax rate of 23.5% of income before income taxes, compared to 22.7% for the same period last fiscal year. The increase in the effective tax rate comparing the fiscal year-to-date periods ended December 31 was primarily due to the relative impact of the increase in operating income in the current fiscal year-to-date period and a larger excess tax benefit received from share-based compensation in the prior fiscal year-to-date period.</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paid income taxes, net of refunds, of $40,687 and $24,794 in the six months ended December 31, 2021, and 2020, respectively.</w:t>
      </w:r>
    </w:p>
    <w:p>
      <w:pPr>
        <w:spacing w:after="0" w:line="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2021, the Company had $9,594 of gross unrecognized tax benefits before interest and penalties, $8,891 of which, if recognized, would affect our effective tax rate. The Company had accrued interest and penalties of $1,425 and $1,896 related to uncertain tax positions at December 31, 2021, and 2020, respectively.</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federal and state income tax returns for fiscal 2018 and all subsequent years remain subject to examination as of December 31, 2021, under statute of limitations rules. The Company believes it is reasonably possible that the liability for unrecognized tax benefits could reduce by $3,500 to $4,500 within twelve months of December 31, 2021, due to lapsing statutes of limitations and examination closures.</w:t>
      </w:r>
    </w:p>
    <w:p>
      <w:pPr>
        <w:spacing w:after="0" w:line="200" w:lineRule="exact"/>
        <w:rPr>
          <w:sz w:val="20"/>
          <w:szCs w:val="20"/>
          <w:color w:val="auto"/>
        </w:rPr>
      </w:pPr>
    </w:p>
    <w:p>
      <w:pPr>
        <w:spacing w:after="0" w:line="21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operating income for the three months ended December 31, 2021, and 2020, included $6,956 and $5,127 of stock-based compensation costs, respectively. Our operating income for the six months ended December 31, 2021, and 2020, included $13,027 and $9,752 of stock-based compensation costs,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 -employee directors. The plan allows for grants of stock options, stock appreciation rights, restricted stock shares or units, and performance shares or units. The maximum number of shares authorized for issuance under the plan is 3,000. For stock options, terms and vesting periods of the options are determined by the Compensation Committee of the Board of Directors when granted. The option period must expire not more than ten years from the option grant date. The options granted under this plan are exercisable beginning three years after the grant date at an exercise price equal to 100% of the fair market value of the stock at the grant date. The options terminate upon surrender of the option, ninety days after termination of employment, upon the expiration of one year following notification of a deceased optionee, or ten years after grant.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20"/>
                <w:szCs w:val="20"/>
                <w:color w:val="auto"/>
              </w:rPr>
            </w:pPr>
            <w:r>
              <w:rPr>
                <w:rFonts w:ascii="Arial" w:cs="Arial" w:eastAsia="Arial" w:hAnsi="Arial"/>
                <w:sz w:val="18"/>
                <w:szCs w:val="18"/>
                <w:color w:val="auto"/>
              </w:rPr>
              <w:t>A summary of option plan activity under this plan is as follows: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Weighted Average</w:t>
            </w:r>
          </w:p>
        </w:tc>
        <w:tc>
          <w:tcPr>
            <w:tcW w:w="280" w:type="dxa"/>
            <w:vAlign w:val="bottom"/>
          </w:tcPr>
          <w:p>
            <w:pPr>
              <w:spacing w:after="0"/>
              <w:rPr>
                <w:sz w:val="24"/>
                <w:szCs w:val="24"/>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Outstanding July 1, 2021</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Outstanding December 31, 2021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1,729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December 31, 2021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1,729</w:t>
            </w: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Exercisable December 31, 2021</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1,729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December 31, 2021, there was no compensation cost yet to be recognized related to outstanding options. For options currently exercisable, the weighted average remaining contractual term (remaining period of exercisability) as of December 31, 2021, was 4.50 years.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issues unit awards under the 2015 EIP. The following table summarizes non-vested performance and restricted stock unit awards as of December 31,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Weighted</w:t>
            </w: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98"/>
              </w:rPr>
              <w:t>Average</w:t>
            </w:r>
          </w:p>
        </w:tc>
        <w:tc>
          <w:tcPr>
            <w:tcW w:w="18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22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Units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9"/>
              </w:rPr>
              <w:t>Grant Date</w:t>
            </w: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Fair Value</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1,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160.22</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178.47</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148.56</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198.03</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December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163.99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57,242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130 unit awards granted in fiscal 2022 had service requirements and performance targets, with 82 having only service requirements. The unit awards with only service requirements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remaining 48 unit awards granted in fiscal 2022 have performance targets along with service requirements. 19 of these performance and service requirement unit awards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unit awards will be determined based on the Company's compound annual growth rate (CAGR) for revenue (excluding adjustments) for the three-year vesting period compared against goal thresholds as defined in the award agreement. The performance payout at release of the other half of these unit awards will be determined based on the expansion of the Company's non-GAAP operating margin over the three-year vesting period compared against goal thresholds as defined in the award agreement. The other 29 performance and service requirement unit awards were valued at grant using a Monte Carlo pricing model as of the measurement date customized to the specific provisions of the Company’s plan design. Per the Company's award vesting and settlement provisions, the awards that utilized a Monte Carlo pricing model were valued at grant on the basis of Total Shareholder Return (TSR) in comparison to the custom peer group comprised of participants approved by the Compensation Committee of the Company's Board of Directors for fiscal year 2022. The Monte Carlo inputs used in the model to estimate fair value at the measurement date and resulting values for these performance unit awards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60" w:type="dxa"/>
            <w:vAlign w:val="bottom"/>
          </w:tcPr>
          <w:p>
            <w:pPr>
              <w:ind w:left="20"/>
              <w:spacing w:after="0"/>
              <w:rPr>
                <w:sz w:val="20"/>
                <w:szCs w:val="20"/>
                <w:color w:val="auto"/>
              </w:rPr>
            </w:pPr>
            <w:r>
              <w:rPr>
                <w:rFonts w:ascii="Arial" w:cs="Arial" w:eastAsia="Arial" w:hAnsi="Arial"/>
                <w:sz w:val="18"/>
                <w:szCs w:val="18"/>
                <w:color w:val="auto"/>
              </w:rPr>
              <w:t>Fiscal year 2022 Monte Carlo award inputs:</w:t>
            </w:r>
          </w:p>
        </w:tc>
        <w:tc>
          <w:tcPr>
            <w:tcW w:w="30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0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28.55 %</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30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0.32 %</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dividend based on most recent quarterly dividend</w:t>
            </w:r>
          </w:p>
        </w:tc>
        <w:tc>
          <w:tcPr>
            <w:tcW w:w="30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Beginning TSR</w:t>
            </w:r>
          </w:p>
        </w:tc>
        <w:tc>
          <w:tcPr>
            <w:tcW w:w="30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65 %</w:t>
            </w:r>
          </w:p>
        </w:tc>
      </w:tr>
    </w:tbl>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2021, there was $29,290 of compensation expense, excluding forfeitures, that has yet to be recognized related to non-vested restricted stock unit awards, which will be recognized over a weighted average period of 1.39 years.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NOTE 9.  EARNINGS PER SHARE</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10"/>
        </w:trPr>
        <w:tc>
          <w:tcPr>
            <w:tcW w:w="7540" w:type="dxa"/>
            <w:vAlign w:val="bottom"/>
            <w:gridSpan w:val="7"/>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6"/>
        </w:trPr>
        <w:tc>
          <w:tcPr>
            <w:tcW w:w="5660" w:type="dxa"/>
            <w:vAlign w:val="bottom"/>
          </w:tcPr>
          <w:p>
            <w:pPr>
              <w:spacing w:after="0"/>
              <w:rPr>
                <w:sz w:val="24"/>
                <w:szCs w:val="24"/>
                <w:color w:val="auto"/>
              </w:rPr>
            </w:pPr>
          </w:p>
        </w:tc>
        <w:tc>
          <w:tcPr>
            <w:tcW w:w="2860" w:type="dxa"/>
            <w:vAlign w:val="bottom"/>
            <w:gridSpan w:val="9"/>
          </w:tcPr>
          <w:p>
            <w:pPr>
              <w:ind w:left="80"/>
              <w:spacing w:after="0"/>
              <w:rPr>
                <w:sz w:val="20"/>
                <w:szCs w:val="20"/>
                <w:color w:val="auto"/>
              </w:rPr>
            </w:pPr>
            <w:r>
              <w:rPr>
                <w:rFonts w:ascii="Arial" w:cs="Arial" w:eastAsia="Arial" w:hAnsi="Arial"/>
                <w:sz w:val="18"/>
                <w:szCs w:val="18"/>
                <w:color w:val="auto"/>
              </w:rPr>
              <w:t>Three Months Ended December</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7"/>
        </w:trPr>
        <w:tc>
          <w:tcPr>
            <w:tcW w:w="56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w w:val="95"/>
              </w:rPr>
              <w:t>31,</w:t>
            </w: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color w:val="auto"/>
              </w:rPr>
              <w:t>Six Months Ended December 31,</w:t>
            </w:r>
          </w:p>
        </w:tc>
      </w:tr>
      <w:tr>
        <w:trPr>
          <w:trHeight w:val="183"/>
        </w:trPr>
        <w:tc>
          <w:tcPr>
            <w:tcW w:w="5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3"/>
          </w:tcPr>
          <w:p>
            <w:pPr>
              <w:jc w:val="right"/>
              <w:ind w:right="460"/>
              <w:spacing w:after="0" w:line="182" w:lineRule="exact"/>
              <w:rPr>
                <w:sz w:val="20"/>
                <w:szCs w:val="20"/>
                <w:color w:val="auto"/>
              </w:rPr>
            </w:pPr>
            <w:r>
              <w:rPr>
                <w:rFonts w:ascii="Arial" w:cs="Arial" w:eastAsia="Arial" w:hAnsi="Arial"/>
                <w:sz w:val="18"/>
                <w:szCs w:val="18"/>
                <w:color w:val="auto"/>
              </w:rPr>
              <w:t>2020</w:t>
            </w:r>
          </w:p>
        </w:tc>
      </w:tr>
      <w:tr>
        <w:trPr>
          <w:trHeight w:val="20"/>
        </w:trPr>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95,670</w:t>
            </w: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71,982</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197,783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163,198</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29"/>
        </w:trPr>
        <w:tc>
          <w:tcPr>
            <w:tcW w:w="5660" w:type="dxa"/>
            <w:vAlign w:val="bottom"/>
          </w:tcPr>
          <w:p>
            <w:pPr>
              <w:ind w:left="220"/>
              <w:spacing w:after="0" w:line="230" w:lineRule="exact"/>
              <w:rPr>
                <w:sz w:val="20"/>
                <w:szCs w:val="20"/>
                <w:color w:val="auto"/>
              </w:rPr>
            </w:pPr>
            <w:r>
              <w:rPr>
                <w:rFonts w:ascii="Arial" w:cs="Arial" w:eastAsia="Arial" w:hAnsi="Arial"/>
                <w:sz w:val="18"/>
                <w:szCs w:val="18"/>
                <w:color w:val="auto"/>
              </w:rPr>
              <w:t>Weighted average shares outstanding for basic earnings per share</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73,580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76,202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73,798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76,354</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restricted stock</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r>
      <w:tr>
        <w:trPr>
          <w:trHeight w:val="223"/>
        </w:trPr>
        <w:tc>
          <w:tcPr>
            <w:tcW w:w="5660" w:type="dxa"/>
            <w:vAlign w:val="bottom"/>
          </w:tcPr>
          <w:p>
            <w:pPr>
              <w:ind w:left="20"/>
              <w:spacing w:after="0" w:line="223" w:lineRule="exact"/>
              <w:rPr>
                <w:sz w:val="20"/>
                <w:szCs w:val="20"/>
                <w:color w:val="auto"/>
              </w:rPr>
            </w:pPr>
            <w:r>
              <w:rPr>
                <w:rFonts w:ascii="Arial" w:cs="Arial" w:eastAsia="Arial" w:hAnsi="Arial"/>
                <w:sz w:val="18"/>
                <w:szCs w:val="18"/>
                <w:color w:val="auto"/>
              </w:rPr>
              <w:t>Weighted average shares outstanding for diluted earnings per share</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73,697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76,280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73,920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76,496</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4"/>
        </w:trPr>
        <w:tc>
          <w:tcPr>
            <w:tcW w:w="56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Basic earnings per share</w:t>
            </w:r>
            <w:r>
              <w:rPr>
                <w:rFonts w:ascii="Arial" w:cs="Arial" w:eastAsia="Arial" w:hAnsi="Arial"/>
                <w:sz w:val="23"/>
                <w:szCs w:val="23"/>
                <w:color w:val="auto"/>
                <w:vertAlign w:val="superscript"/>
              </w:rPr>
              <w:t>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r>
      <w:tr>
        <w:trPr>
          <w:trHeight w:val="314"/>
        </w:trPr>
        <w:tc>
          <w:tcPr>
            <w:tcW w:w="566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2</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w:t>
            </w: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2.68</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2.13</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change in weighted average shares outstanding is primarily due to the weighted effect of the Company's repurchase of 2,800 shares of common stock during all of fiscal</w:t>
      </w:r>
    </w:p>
    <w:p>
      <w:pPr>
        <w:spacing w:after="0"/>
        <w:rPr>
          <w:sz w:val="20"/>
          <w:szCs w:val="20"/>
          <w:color w:val="auto"/>
        </w:rPr>
      </w:pPr>
      <w:r>
        <w:rPr>
          <w:rFonts w:ascii="Arial" w:cs="Arial" w:eastAsia="Arial" w:hAnsi="Arial"/>
          <w:sz w:val="14"/>
          <w:szCs w:val="14"/>
          <w:color w:val="auto"/>
        </w:rPr>
        <w:t>2021 (675 shares repurchased during the first half of fiscal 2021) and the repurchase of 1,250 shares during fiscal year-to-date 2022.</w:t>
      </w:r>
    </w:p>
    <w:p>
      <w:pPr>
        <w:spacing w:after="0" w:line="82" w:lineRule="exact"/>
        <w:rPr>
          <w:sz w:val="20"/>
          <w:szCs w:val="20"/>
          <w:color w:val="auto"/>
        </w:rPr>
      </w:pPr>
    </w:p>
    <w:p>
      <w:pPr>
        <w:spacing w:after="0"/>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Common stock repurchases during the trailing twelve months contributed $0.05 to diluted earnings per share for the second fiscal quarter and $0.09 for year-to-date fiscal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2022.</w:t>
      </w:r>
    </w:p>
    <w:p>
      <w:pPr>
        <w:spacing w:after="0" w:line="3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and six months ended December 31, 2021, and 2020. Stock options and restricted stock units have been included in the calculation of earnings per share to the extent they are dilutive. There were 28 and 23 anti-dilutive stock options or restricted stock units excluded for the three and six months ended December 31, 2021, respectively, and 21 were excluded for both the three and six months ended December 31, 2020.</w:t>
      </w:r>
    </w:p>
    <w:p>
      <w:pPr>
        <w:spacing w:after="0" w:line="200" w:lineRule="exact"/>
        <w:rPr>
          <w:sz w:val="20"/>
          <w:szCs w:val="20"/>
          <w:color w:val="auto"/>
        </w:rPr>
      </w:pP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REPORTABLE SEGMENT INFORMATION</w:t>
      </w:r>
    </w:p>
    <w:p>
      <w:pPr>
        <w:spacing w:after="0" w:line="9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is a provider of integrated computer systems that perform data processing (available for on-premise installations or JKHY cloud-based services) for banks and credit unions.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transaction processing services, online and mobile bill pay solutions, Automated Clearing House ("ACH") origination and remote deposit capture processing, and risk management products and services. The Complementary segment provides additional software and services that can be integrated with our core solutions, and many can be used independently. The Corporate and Other segment includes hardware revenue and costs, as well as operating costs not directly attributable to the other three segments.</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32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9"/>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145,699</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23,944</w:t>
            </w:r>
          </w:p>
        </w:tc>
        <w:tc>
          <w:tcPr>
            <w:tcW w:w="10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112,490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14,078</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296,211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158,584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154,878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182,528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493,896</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64,554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95,570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58,151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64,550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282,825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9"/>
                <w:szCs w:val="19"/>
                <w:color w:val="auto"/>
              </w:rPr>
            </w:pPr>
          </w:p>
        </w:tc>
        <w:tc>
          <w:tcPr>
            <w:tcW w:w="11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22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4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340" w:type="dxa"/>
            <w:vAlign w:val="bottom"/>
            <w:shd w:val="clear" w:color="auto" w:fill="CECECE"/>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55,493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368,234</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90,324</w:t>
            </w: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86,958</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160" w:type="dxa"/>
            <w:vAlign w:val="bottom"/>
          </w:tcPr>
          <w:p>
            <w:pPr>
              <w:spacing w:after="0"/>
              <w:rPr>
                <w:sz w:val="13"/>
                <w:szCs w:val="13"/>
                <w:color w:val="auto"/>
              </w:rPr>
            </w:pPr>
          </w:p>
        </w:tc>
        <w:tc>
          <w:tcPr>
            <w:tcW w:w="134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126,758</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14,807</w:t>
            </w:r>
          </w:p>
        </w:tc>
        <w:tc>
          <w:tcPr>
            <w:tcW w:w="10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98,829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10,479</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250,873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171,488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134,948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155,182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121,408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422,361</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86,455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52,407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60,435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257,782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9"/>
                <w:szCs w:val="19"/>
                <w:color w:val="auto"/>
              </w:rPr>
            </w:pPr>
          </w:p>
        </w:tc>
        <w:tc>
          <w:tcPr>
            <w:tcW w:w="114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22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4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2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340" w:type="dxa"/>
            <w:vAlign w:val="bottom"/>
            <w:shd w:val="clear" w:color="auto" w:fill="CECECE"/>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76,463</w:t>
            </w:r>
          </w:p>
        </w:tc>
        <w:tc>
          <w:tcPr>
            <w:tcW w:w="3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68,727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5"/>
        </w:trPr>
        <w:tc>
          <w:tcPr>
            <w:tcW w:w="1260" w:type="dxa"/>
            <w:vAlign w:val="bottom"/>
            <w:tcBorders>
              <w:top w:val="single" w:sz="8" w:color="0000FF"/>
            </w:tcBorders>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December 31, 2021</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8"/>
        </w:trPr>
        <w:tc>
          <w:tcPr>
            <w:tcW w:w="324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301,536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39,594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227,443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593,704</w:t>
            </w:r>
          </w:p>
        </w:tc>
        <w:tc>
          <w:tcPr>
            <w:tcW w:w="0" w:type="dxa"/>
            <w:vAlign w:val="bottom"/>
          </w:tcPr>
          <w:p>
            <w:pPr>
              <w:spacing w:after="0"/>
              <w:rPr>
                <w:sz w:val="1"/>
                <w:szCs w:val="1"/>
                <w:color w:val="auto"/>
              </w:rPr>
            </w:pPr>
          </w:p>
        </w:tc>
      </w:tr>
      <w:tr>
        <w:trPr>
          <w:trHeight w:val="219"/>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18,627</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55,762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388,248</w:t>
            </w:r>
          </w:p>
        </w:tc>
        <w:tc>
          <w:tcPr>
            <w:tcW w:w="0" w:type="dxa"/>
            <w:vAlign w:val="bottom"/>
          </w:tcPr>
          <w:p>
            <w:pPr>
              <w:spacing w:after="0"/>
              <w:rPr>
                <w:sz w:val="1"/>
                <w:szCs w:val="1"/>
                <w:color w:val="auto"/>
              </w:rPr>
            </w:pPr>
          </w:p>
        </w:tc>
      </w:tr>
      <w:tr>
        <w:trPr>
          <w:trHeight w:val="207"/>
        </w:trPr>
        <w:tc>
          <w:tcPr>
            <w:tcW w:w="32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320,163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283,205</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981,952</w:t>
            </w:r>
          </w:p>
        </w:tc>
        <w:tc>
          <w:tcPr>
            <w:tcW w:w="0" w:type="dxa"/>
            <w:vAlign w:val="bottom"/>
          </w:tcPr>
          <w:p>
            <w:pPr>
              <w:spacing w:after="0"/>
              <w:rPr>
                <w:sz w:val="1"/>
                <w:szCs w:val="1"/>
                <w:color w:val="auto"/>
              </w:rPr>
            </w:pPr>
          </w:p>
        </w:tc>
      </w:tr>
      <w:tr>
        <w:trPr>
          <w:trHeight w:val="253"/>
        </w:trPr>
        <w:tc>
          <w:tcPr>
            <w:tcW w:w="126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188,795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113,635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125,574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559,460</w:t>
            </w:r>
          </w:p>
        </w:tc>
        <w:tc>
          <w:tcPr>
            <w:tcW w:w="0" w:type="dxa"/>
            <w:vAlign w:val="bottom"/>
          </w:tcPr>
          <w:p>
            <w:pPr>
              <w:spacing w:after="0"/>
              <w:rPr>
                <w:sz w:val="1"/>
                <w:szCs w:val="1"/>
                <w:color w:val="auto"/>
              </w:rPr>
            </w:pP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9"/>
                <w:szCs w:val="19"/>
                <w:color w:val="auto"/>
              </w:rPr>
            </w:pPr>
          </w:p>
        </w:tc>
        <w:tc>
          <w:tcPr>
            <w:tcW w:w="11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4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120" w:type="dxa"/>
            <w:vAlign w:val="bottom"/>
            <w:shd w:val="clear" w:color="auto" w:fill="CECECE"/>
          </w:tcPr>
          <w:p>
            <w:pPr>
              <w:spacing w:after="0"/>
              <w:rPr>
                <w:sz w:val="19"/>
                <w:szCs w:val="19"/>
                <w:color w:val="auto"/>
              </w:rPr>
            </w:pPr>
          </w:p>
        </w:tc>
        <w:tc>
          <w:tcPr>
            <w:tcW w:w="480" w:type="dxa"/>
            <w:vAlign w:val="bottom"/>
            <w:shd w:val="clear" w:color="auto" w:fill="CECECE"/>
          </w:tcPr>
          <w:p>
            <w:pPr>
              <w:spacing w:after="0"/>
              <w:rPr>
                <w:sz w:val="19"/>
                <w:szCs w:val="19"/>
                <w:color w:val="auto"/>
              </w:rPr>
            </w:pPr>
          </w:p>
        </w:tc>
        <w:tc>
          <w:tcPr>
            <w:tcW w:w="1020" w:type="dxa"/>
            <w:vAlign w:val="bottom"/>
            <w:shd w:val="clear" w:color="auto" w:fill="CECECE"/>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56,670</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480" w:type="dxa"/>
            <w:vAlign w:val="bottom"/>
            <w:tcBorders>
              <w:bottom w:val="single" w:sz="8" w:color="CECECE"/>
            </w:tcBorders>
            <w:shd w:val="clear" w:color="auto" w:fill="CECECE"/>
          </w:tcPr>
          <w:p>
            <w:pPr>
              <w:spacing w:after="0"/>
              <w:rPr>
                <w:sz w:val="18"/>
                <w:szCs w:val="18"/>
                <w:color w:val="auto"/>
              </w:rPr>
            </w:pPr>
          </w:p>
        </w:tc>
        <w:tc>
          <w:tcPr>
            <w:tcW w:w="10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106,565</w:t>
            </w:r>
          </w:p>
        </w:tc>
        <w:tc>
          <w:tcPr>
            <w:tcW w:w="0" w:type="dxa"/>
            <w:vAlign w:val="bottom"/>
          </w:tcPr>
          <w:p>
            <w:pPr>
              <w:spacing w:after="0"/>
              <w:rPr>
                <w:sz w:val="1"/>
                <w:szCs w:val="1"/>
                <w:color w:val="auto"/>
              </w:rPr>
            </w:pPr>
          </w:p>
        </w:tc>
      </w:tr>
      <w:tr>
        <w:trPr>
          <w:trHeight w:val="212"/>
        </w:trPr>
        <w:tc>
          <w:tcPr>
            <w:tcW w:w="32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722,695</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188,707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169,570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259,257</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480" w:type="dxa"/>
            <w:vAlign w:val="bottom"/>
            <w:tcBorders>
              <w:bottom w:val="single" w:sz="8" w:color="CECECE"/>
            </w:tcBorders>
          </w:tcPr>
          <w:p>
            <w:pPr>
              <w:spacing w:after="0"/>
              <w:rPr>
                <w:sz w:val="22"/>
                <w:szCs w:val="22"/>
                <w:color w:val="auto"/>
              </w:rPr>
            </w:pPr>
          </w:p>
        </w:tc>
        <w:tc>
          <w:tcPr>
            <w:tcW w:w="102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480" w:type="dxa"/>
            <w:vAlign w:val="bottom"/>
            <w:tcBorders>
              <w:bottom w:val="single" w:sz="8" w:color="CECECE"/>
            </w:tcBorders>
            <w:shd w:val="clear" w:color="auto" w:fill="CECECE"/>
          </w:tcPr>
          <w:p>
            <w:pPr>
              <w:spacing w:after="0"/>
              <w:rPr>
                <w:sz w:val="19"/>
                <w:szCs w:val="19"/>
                <w:color w:val="auto"/>
              </w:rPr>
            </w:pPr>
          </w:p>
        </w:tc>
        <w:tc>
          <w:tcPr>
            <w:tcW w:w="102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258,574</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760" w:type="dxa"/>
            <w:vAlign w:val="bottom"/>
            <w:tcBorders>
              <w:top w:val="single" w:sz="8" w:color="CECECE"/>
              <w:bottom w:val="single" w:sz="8" w:color="CECECE"/>
            </w:tcBorders>
            <w:gridSpan w:val="3"/>
            <w:vMerge w:val="restart"/>
          </w:tcPr>
          <w:p>
            <w:pPr>
              <w:jc w:val="center"/>
              <w:ind w:right="160"/>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tcBorders>
              <w:top w:val="single" w:sz="8" w:color="CECECE"/>
            </w:tcBorders>
          </w:tcPr>
          <w:p>
            <w:pPr>
              <w:spacing w:after="0" w:line="20" w:lineRule="exact"/>
              <w:rPr>
                <w:sz w:val="1"/>
                <w:szCs w:val="1"/>
                <w:color w:val="auto"/>
              </w:rPr>
            </w:pPr>
          </w:p>
        </w:tc>
        <w:tc>
          <w:tcPr>
            <w:tcW w:w="102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December 31, 2020</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24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271,344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31,111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207,378</w:t>
            </w:r>
          </w:p>
        </w:tc>
        <w:tc>
          <w:tcPr>
            <w:tcW w:w="12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22,037</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531,870</w:t>
            </w:r>
          </w:p>
        </w:tc>
        <w:tc>
          <w:tcPr>
            <w:tcW w:w="0" w:type="dxa"/>
            <w:vAlign w:val="bottom"/>
          </w:tcPr>
          <w:p>
            <w:pPr>
              <w:spacing w:after="0"/>
              <w:rPr>
                <w:sz w:val="1"/>
                <w:szCs w:val="1"/>
                <w:color w:val="auto"/>
              </w:rPr>
            </w:pPr>
          </w:p>
        </w:tc>
      </w:tr>
      <w:tr>
        <w:trPr>
          <w:trHeight w:val="219"/>
        </w:trPr>
        <w:tc>
          <w:tcPr>
            <w:tcW w:w="3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280,804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44,384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342,291</w:t>
            </w:r>
          </w:p>
        </w:tc>
        <w:tc>
          <w:tcPr>
            <w:tcW w:w="0" w:type="dxa"/>
            <w:vAlign w:val="bottom"/>
          </w:tcPr>
          <w:p>
            <w:pPr>
              <w:spacing w:after="0"/>
              <w:rPr>
                <w:sz w:val="1"/>
                <w:szCs w:val="1"/>
                <w:color w:val="auto"/>
              </w:rPr>
            </w:pPr>
          </w:p>
        </w:tc>
      </w:tr>
      <w:tr>
        <w:trPr>
          <w:trHeight w:val="207"/>
        </w:trPr>
        <w:tc>
          <w:tcPr>
            <w:tcW w:w="324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288,103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311,915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251,762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874,161</w:t>
            </w:r>
          </w:p>
        </w:tc>
        <w:tc>
          <w:tcPr>
            <w:tcW w:w="0" w:type="dxa"/>
            <w:vAlign w:val="bottom"/>
          </w:tcPr>
          <w:p>
            <w:pPr>
              <w:spacing w:after="0"/>
              <w:rPr>
                <w:sz w:val="1"/>
                <w:szCs w:val="1"/>
                <w:color w:val="auto"/>
              </w:rPr>
            </w:pPr>
          </w:p>
        </w:tc>
      </w:tr>
      <w:tr>
        <w:trPr>
          <w:trHeight w:val="253"/>
        </w:trPr>
        <w:tc>
          <w:tcPr>
            <w:tcW w:w="126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122,347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104,431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520,711</w:t>
            </w:r>
          </w:p>
        </w:tc>
        <w:tc>
          <w:tcPr>
            <w:tcW w:w="0" w:type="dxa"/>
            <w:vAlign w:val="bottom"/>
          </w:tcPr>
          <w:p>
            <w:pPr>
              <w:spacing w:after="0"/>
              <w:rPr>
                <w:sz w:val="1"/>
                <w:szCs w:val="1"/>
                <w:color w:val="auto"/>
              </w:rPr>
            </w:pP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9"/>
                <w:szCs w:val="19"/>
                <w:color w:val="auto"/>
              </w:rPr>
            </w:pPr>
          </w:p>
        </w:tc>
        <w:tc>
          <w:tcPr>
            <w:tcW w:w="11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240" w:type="dxa"/>
            <w:vAlign w:val="bottom"/>
            <w:shd w:val="clear" w:color="auto" w:fill="CECECE"/>
          </w:tcPr>
          <w:p>
            <w:pPr>
              <w:spacing w:after="0"/>
              <w:rPr>
                <w:sz w:val="19"/>
                <w:szCs w:val="19"/>
                <w:color w:val="auto"/>
              </w:rPr>
            </w:pPr>
          </w:p>
        </w:tc>
        <w:tc>
          <w:tcPr>
            <w:tcW w:w="1260" w:type="dxa"/>
            <w:vAlign w:val="bottom"/>
            <w:shd w:val="clear" w:color="auto" w:fill="CECECE"/>
          </w:tcPr>
          <w:p>
            <w:pPr>
              <w:spacing w:after="0"/>
              <w:rPr>
                <w:sz w:val="19"/>
                <w:szCs w:val="19"/>
                <w:color w:val="auto"/>
              </w:rPr>
            </w:pPr>
          </w:p>
        </w:tc>
        <w:tc>
          <w:tcPr>
            <w:tcW w:w="100" w:type="dxa"/>
            <w:vAlign w:val="bottom"/>
            <w:shd w:val="clear" w:color="auto" w:fill="CECECE"/>
          </w:tcPr>
          <w:p>
            <w:pPr>
              <w:spacing w:after="0"/>
              <w:rPr>
                <w:sz w:val="19"/>
                <w:szCs w:val="19"/>
                <w:color w:val="auto"/>
              </w:rPr>
            </w:pPr>
          </w:p>
        </w:tc>
        <w:tc>
          <w:tcPr>
            <w:tcW w:w="160" w:type="dxa"/>
            <w:vAlign w:val="bottom"/>
            <w:shd w:val="clear" w:color="auto" w:fill="CECECE"/>
          </w:tcPr>
          <w:p>
            <w:pPr>
              <w:spacing w:after="0"/>
              <w:rPr>
                <w:sz w:val="19"/>
                <w:szCs w:val="19"/>
                <w:color w:val="auto"/>
              </w:rPr>
            </w:pPr>
          </w:p>
        </w:tc>
        <w:tc>
          <w:tcPr>
            <w:tcW w:w="1480" w:type="dxa"/>
            <w:vAlign w:val="bottom"/>
            <w:shd w:val="clear" w:color="auto" w:fill="CECECE"/>
          </w:tcPr>
          <w:p>
            <w:pPr>
              <w:spacing w:after="0"/>
              <w:rPr>
                <w:sz w:val="19"/>
                <w:szCs w:val="19"/>
                <w:color w:val="auto"/>
              </w:rPr>
            </w:pPr>
          </w:p>
        </w:tc>
        <w:tc>
          <w:tcPr>
            <w:tcW w:w="120" w:type="dxa"/>
            <w:vAlign w:val="bottom"/>
            <w:shd w:val="clear" w:color="auto" w:fill="CECECE"/>
          </w:tcPr>
          <w:p>
            <w:pPr>
              <w:spacing w:after="0"/>
              <w:rPr>
                <w:sz w:val="19"/>
                <w:szCs w:val="19"/>
                <w:color w:val="auto"/>
              </w:rPr>
            </w:pPr>
          </w:p>
        </w:tc>
        <w:tc>
          <w:tcPr>
            <w:tcW w:w="480" w:type="dxa"/>
            <w:vAlign w:val="bottom"/>
            <w:shd w:val="clear" w:color="auto" w:fill="CECECE"/>
          </w:tcPr>
          <w:p>
            <w:pPr>
              <w:spacing w:after="0"/>
              <w:rPr>
                <w:sz w:val="19"/>
                <w:szCs w:val="19"/>
                <w:color w:val="auto"/>
              </w:rPr>
            </w:pPr>
          </w:p>
        </w:tc>
        <w:tc>
          <w:tcPr>
            <w:tcW w:w="1020" w:type="dxa"/>
            <w:vAlign w:val="bottom"/>
            <w:shd w:val="clear" w:color="auto" w:fill="CECECE"/>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52,837</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480" w:type="dxa"/>
            <w:vAlign w:val="bottom"/>
            <w:tcBorders>
              <w:bottom w:val="single" w:sz="8" w:color="CECECE"/>
            </w:tcBorders>
            <w:shd w:val="clear" w:color="auto" w:fill="CECECE"/>
          </w:tcPr>
          <w:p>
            <w:pPr>
              <w:spacing w:after="0"/>
              <w:rPr>
                <w:sz w:val="18"/>
                <w:szCs w:val="18"/>
                <w:color w:val="auto"/>
              </w:rPr>
            </w:pPr>
          </w:p>
        </w:tc>
        <w:tc>
          <w:tcPr>
            <w:tcW w:w="10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89,393</w:t>
            </w:r>
          </w:p>
        </w:tc>
        <w:tc>
          <w:tcPr>
            <w:tcW w:w="0" w:type="dxa"/>
            <w:vAlign w:val="bottom"/>
          </w:tcPr>
          <w:p>
            <w:pPr>
              <w:spacing w:after="0"/>
              <w:rPr>
                <w:sz w:val="1"/>
                <w:szCs w:val="1"/>
                <w:color w:val="auto"/>
              </w:rPr>
            </w:pPr>
          </w:p>
        </w:tc>
      </w:tr>
      <w:tr>
        <w:trPr>
          <w:trHeight w:val="213"/>
        </w:trPr>
        <w:tc>
          <w:tcPr>
            <w:tcW w:w="324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662,941</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165,756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147,331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211,220</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480" w:type="dxa"/>
            <w:vAlign w:val="bottom"/>
            <w:shd w:val="clear" w:color="auto" w:fill="CECECE"/>
          </w:tcPr>
          <w:p>
            <w:pPr>
              <w:spacing w:after="0"/>
              <w:rPr>
                <w:sz w:val="18"/>
                <w:szCs w:val="18"/>
                <w:color w:val="auto"/>
              </w:rPr>
            </w:pPr>
          </w:p>
        </w:tc>
        <w:tc>
          <w:tcPr>
            <w:tcW w:w="102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7"/>
        </w:trPr>
        <w:tc>
          <w:tcPr>
            <w:tcW w:w="32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top w:val="single" w:sz="8" w:color="CECECE"/>
              <w:bottom w:val="single" w:sz="8" w:color="CECECE"/>
            </w:tcBorders>
            <w:shd w:val="clear" w:color="auto" w:fill="CECECE"/>
          </w:tcPr>
          <w:p>
            <w:pPr>
              <w:spacing w:after="0"/>
              <w:rPr>
                <w:sz w:val="19"/>
                <w:szCs w:val="19"/>
                <w:color w:val="auto"/>
              </w:rPr>
            </w:pPr>
          </w:p>
        </w:tc>
        <w:tc>
          <w:tcPr>
            <w:tcW w:w="116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240" w:type="dxa"/>
            <w:vAlign w:val="bottom"/>
            <w:tcBorders>
              <w:top w:val="single" w:sz="8" w:color="CECECE"/>
              <w:bottom w:val="single" w:sz="8" w:color="CECECE"/>
            </w:tcBorders>
            <w:shd w:val="clear" w:color="auto" w:fill="CECECE"/>
          </w:tcPr>
          <w:p>
            <w:pPr>
              <w:spacing w:after="0"/>
              <w:rPr>
                <w:sz w:val="19"/>
                <w:szCs w:val="19"/>
                <w:color w:val="auto"/>
              </w:rPr>
            </w:pPr>
          </w:p>
        </w:tc>
        <w:tc>
          <w:tcPr>
            <w:tcW w:w="126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160" w:type="dxa"/>
            <w:vAlign w:val="bottom"/>
            <w:tcBorders>
              <w:top w:val="single" w:sz="8" w:color="CECECE"/>
              <w:bottom w:val="single" w:sz="8" w:color="CECECE"/>
            </w:tcBorders>
            <w:shd w:val="clear" w:color="auto" w:fill="CECECE"/>
          </w:tcPr>
          <w:p>
            <w:pPr>
              <w:spacing w:after="0"/>
              <w:rPr>
                <w:sz w:val="19"/>
                <w:szCs w:val="19"/>
                <w:color w:val="auto"/>
              </w:rPr>
            </w:pPr>
          </w:p>
        </w:tc>
        <w:tc>
          <w:tcPr>
            <w:tcW w:w="1480" w:type="dxa"/>
            <w:vAlign w:val="bottom"/>
            <w:tcBorders>
              <w:top w:val="single" w:sz="8" w:color="CECECE"/>
              <w:bottom w:val="single" w:sz="8" w:color="CECECE"/>
            </w:tcBorders>
            <w:shd w:val="clear" w:color="auto" w:fill="CECECE"/>
          </w:tcPr>
          <w:p>
            <w:pPr>
              <w:spacing w:after="0"/>
              <w:rPr>
                <w:sz w:val="19"/>
                <w:szCs w:val="19"/>
                <w:color w:val="auto"/>
              </w:rPr>
            </w:pPr>
          </w:p>
        </w:tc>
        <w:tc>
          <w:tcPr>
            <w:tcW w:w="120" w:type="dxa"/>
            <w:vAlign w:val="bottom"/>
            <w:tcBorders>
              <w:top w:val="single" w:sz="8" w:color="CECECE"/>
              <w:bottom w:val="single" w:sz="8" w:color="CECECE"/>
            </w:tcBorders>
            <w:shd w:val="clear" w:color="auto" w:fill="CECECE"/>
          </w:tcPr>
          <w:p>
            <w:pPr>
              <w:spacing w:after="0"/>
              <w:rPr>
                <w:sz w:val="19"/>
                <w:szCs w:val="19"/>
                <w:color w:val="auto"/>
              </w:rPr>
            </w:pPr>
          </w:p>
        </w:tc>
        <w:tc>
          <w:tcPr>
            <w:tcW w:w="480" w:type="dxa"/>
            <w:vAlign w:val="bottom"/>
            <w:tcBorders>
              <w:top w:val="single" w:sz="8" w:color="CECECE"/>
              <w:bottom w:val="single" w:sz="8" w:color="CECECE"/>
            </w:tcBorders>
            <w:shd w:val="clear" w:color="auto" w:fill="CECECE"/>
          </w:tcPr>
          <w:p>
            <w:pPr>
              <w:spacing w:after="0"/>
              <w:rPr>
                <w:sz w:val="19"/>
                <w:szCs w:val="19"/>
                <w:color w:val="auto"/>
              </w:rPr>
            </w:pPr>
          </w:p>
        </w:tc>
        <w:tc>
          <w:tcPr>
            <w:tcW w:w="102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211,105</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480" w:type="dxa"/>
            <w:vAlign w:val="bottom"/>
            <w:tcBorders>
              <w:top w:val="single" w:sz="8" w:color="CECECE"/>
            </w:tcBorders>
          </w:tcPr>
          <w:p>
            <w:pPr>
              <w:spacing w:after="0" w:line="20" w:lineRule="exact"/>
              <w:rPr>
                <w:sz w:val="1"/>
                <w:szCs w:val="1"/>
                <w:color w:val="auto"/>
              </w:rPr>
            </w:pPr>
          </w:p>
        </w:tc>
        <w:tc>
          <w:tcPr>
            <w:tcW w:w="102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11: 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 w:right="1440"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fiscal quarter ended December 31, 2021.</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Jack Henry &amp; Associates, Inc. ("JKHY") is a leading provider of technology solutions and payment processing services primarily for financial services organizations. Its solutions are marketed and supported through three primary brands. Jack Henry Banking® provides innovative solutions to community and regional banks. Symitar® provides industry-leading solutions to credit unions of all sizes. ProfitStars® offers highly specialized solutions to financial institutions of every asset size, as well as diverse corporate entities outside of the financial services industry, to mitigate and control risks, optimize revenue and growth opportunities, and contain costs. JKHY's integrated solutions are generally available for on-premise installation and delivery in our JKHY private or the public cloud.</w:t>
      </w:r>
    </w:p>
    <w:p>
      <w:pPr>
        <w:spacing w:after="0" w:line="7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fees (formerly known as "outsourcing and cloud" fees - see Note 3 to the condensed consolidated financial statements) that predominantly have contract terms of seven years or longer at inception; "product delivery and services" revenue, which includes revenue from the sales of licenses, implementation services, deconversion fees, consulting, and hardware; and "on-premise support" revenue (formerly known as "in-house support" revenue - see Note 3 to the condensed consolidated financial statements), composed of maintenance fees which primarily contain annual contract terms. Processing revenue includes: "remittance" revenue from payment processing, remote capture, and ACH transactions; "card" fees, including card transaction processing and monthly fees; and "transaction and digital" revenue, which includes transaction and mobile processing fees. We continually seek opportunities to increase revenue while at the same time containing costs to expand margins.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the following discussion are in thousands, except per share amounts.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and Response</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Since its outbreak in early calendar 2020, COVID-19 has rapidly spread and continues to represent a public health concern. The health, safety, and well-being of our employees and customers is of paramount importance to us. In March 2020, we established an internal task force composed of executive officers and other members of management to frequently assess updates to the COVID-19 situation and recommend Company actions. We offered remote working as a recommended option to employees whose job duties allowed them to work off-site, and we suspended all non-essential business travel. This company-wide recommendation initially extended until July 1, 2021, at which point we began transition to a return to our facilities and normalization of travel activities. However, we reimplemented our company-wide recommendation for remote work on August 3, 2021, based on new virus variants and increased infection rates. This remote work recommendation remains in effect as of February 4, 2022. For those employees who are at our facilities, we have introduced enhanced sanitation procedures and require face masks for both vaccinated and unvaccinated employees. We have not required employees who return to our facilities to receive vaccinations, but we have provided information on vaccine providers, as well as hosted on-site COVID-19 vaccination clinics at several of our facilities for our employees and their families. As of February 4, 2022, the majority of our employees were continuing to work remotely either full time or in a hybrid capacity. Once the remote work recommendation is lifted, individual decisions on returning to the office will be manager-coordinated and based on conversations with specific teams and departments. A large number of our employees have requested to remain fully remote or participate in a hybrid approach where they would split their time between remote and in-person working. While our business travel has increased in recent months, we continue to encourage a cautious approach to business travel activities.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work closely with our customers who are scheduled for on-site visits to ensure their needs are met while taking necessary safety precautions when our employees are required to be at a customer site. Delays of customer system installations due to COVID-19 have been limited, and we have developed processes to handle remote installations when available. We expect these processes to provide flexibility and value both during and after the COVID-19 pandemic. Even though a substantial portion of our workforce has worked remotely during the outbreak and business travel has been limited, we have not yet experienced significant disruption to our operations. We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352" w:lineRule="auto"/>
        <w:rPr>
          <w:sz w:val="20"/>
          <w:szCs w:val="20"/>
          <w:color w:val="auto"/>
        </w:rPr>
      </w:pPr>
      <w:r>
        <w:rPr>
          <w:rFonts w:ascii="Arial" w:cs="Arial" w:eastAsia="Arial" w:hAnsi="Arial"/>
          <w:sz w:val="18"/>
          <w:szCs w:val="18"/>
          <w:color w:val="auto"/>
        </w:rPr>
        <w:t xml:space="preserve">believe our technological capabilities are well positioned to allow our employees to work remotely without materially impacting our business. </w:t>
      </w:r>
      <w:r>
        <w:rPr>
          <w:rFonts w:ascii="Arial" w:cs="Arial" w:eastAsia="Arial" w:hAnsi="Arial"/>
          <w:sz w:val="18"/>
          <w:szCs w:val="18"/>
          <w:i w:val="1"/>
          <w:iCs w:val="1"/>
          <w:u w:val="single" w:color="auto"/>
          <w:color w:val="auto"/>
        </w:rPr>
        <w:t>Financial impact</w:t>
      </w:r>
    </w:p>
    <w:p>
      <w:pPr>
        <w:jc w:val="both"/>
        <w:spacing w:after="0" w:line="251" w:lineRule="auto"/>
        <w:rPr>
          <w:sz w:val="20"/>
          <w:szCs w:val="20"/>
          <w:color w:val="auto"/>
        </w:rPr>
      </w:pPr>
      <w:r>
        <w:rPr>
          <w:rFonts w:ascii="Arial" w:cs="Arial" w:eastAsia="Arial" w:hAnsi="Arial"/>
          <w:sz w:val="18"/>
          <w:szCs w:val="18"/>
          <w:color w:val="auto"/>
        </w:rPr>
        <w:t>Despite the changes and restrictions caused by COVID-19, the overall financial and operational impact on our business has been limited and our liquidity, balance sheet, and business trends remain strong. We experienced positive operating cash flows during fiscal 2021 and the first six months of fiscal 2022, and we do not expect that to change in the near term. However, we are unable to accurately predict the future impact of COVID-19 due to a number of uncertainties, including further government actions; the duration, severity and recurrence of the outbreak, including the onset of variants of the virus; the effectiveness of vaccines against new variants; the development and effectiveness of treatments; the effect on the economy generally; the potential impact to our customers, vendors, and employees; and how the potential impact might affect future customer services, processing and installation-related revenue, and processes and efficiencies within the Company directly or indirectly impacting financial results. We will continue to monitor COVID-19 and its possible impact on the Company and to take steps necessary to protect the health and safety of our employees and customers.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second quarter of fiscal 2022, total revenue increased 17%, or $71,535, compared to the same quarter in fiscal 2021. Total revenue less deconversion fee and acquisition and divestiture revenues of $26,903 and $96, respectively, for the current fiscal quarter and less deconversion fee revenues of $2,155 for the prior fiscal quarter, results in an increase of 11%, quarter over quarter. This increase was primarily driven by growth in public and private cloud revenue, card, transaction and digital, and remittance processing revenues, and increased implementation fee revenue.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increased 12% for the second quarter of fiscal 2022 compared to the second quarter of fiscal 2021, primarily due to increased direct costs, higher personnel costs, and increased operating licenses and fees. The increase in direct costs was primarily related to our card payment processing platform and Jack Henry digital and were in alignment with the increases in revenue described above. Higher personnel costs were primarily related to salary increases in the trailing twelve months.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income increased 34% for the second quarter of fiscal 2022 compared to the second quarter of fiscal 2021. Operating income less deconversion fee operating income of $24,356 and adjusted for acquisition and divestiture operating loss of $21 for the current fiscal quarter, and less deconversion fee operating income of $1,919 and a gain on disposals of $2,040 for the prior fiscal quarter, results in a 13% increase for the second quarter of fiscal 2022, quarter over quarter. This increase in operating income was primarily driven by revenue growth partially offset by increased operating expenses, as detailed above.</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for income taxes increased 37% for the second quarter of fiscal 2022 compared to the prior fiscal second quarter. The effective tax rate for the second quarter of fiscal 2022 was 23.6% compared to 23.1% for the same quarter a year ago. The increase in the effective tax rate was primarily due to the relative impact of the increase in operating income, quarter over quarter.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Due to the above changes, net income increased 33% for the second quarter of fiscal 2022 compared to the second quarter of fiscal 2021.</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six months ended December 31, 2021, total revenue increased 12%, or $107,791, over the six months ended December 31, 2020. Total revenue less deconversion fee and acquisition and divestiture revenues of $30,627 and $202, respectively, for the current fiscal year period and deconversion fee and acquisition and divestiture revenues of $ 8,037 and $1,182, respectively, for the prior fiscal year period, results in a 10% increase for the period compared to the same period a year ago. This total revenue increase was primarily driven by growth in public and private cloud revenue, card, remittance, and transaction and digital processing revenues, and increased implementation fee revenue.</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expenses for the six months ended December 31, 2021, increased 9% compared to the equivalent period in the prior fiscal year, primarily due to increased direct costs, higher personnel costs, and increased operating licenses and fees. The increased direct costs were primarily related to our card payment processing platform and Jack Henry digital and were in alignment with the increases in revenue described above. Higher personnel costs were primarily related to salary increases in the trailing twelve months.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income increased 23% for the six months ended December 31, 2021, compared to the six months ended December 31, 2020. Operating income less deconversion fee operating income of $27,540 and adjusted for acquisition and divestiture operating loss of $66 for the current fiscal year period, and less deconversion fee operating income of $7,138 and income from divestitures and a gain on disposals totaling $2,409 for the prior fiscal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year period, results in a 15% increase for the six months ended December 31, 2021, compared to the same period a year ago. This increase was primarily driven by revenue growth described above partially offset by increased operating expenses, as detailed above.</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provision for income taxes increased 27% for the six months ended December 31, 2021, compared to the prior fiscal year-to-date period. The effective tax rate for the six months ended December 31, 2021, was 23.5% compared to 22.7% for the prior fiscal year-to-date period. The effective tax rate increase was primarily driven by the relative impact of the increase in operating income in the current fiscal year-to-date period and a larger excess tax benefit received from share-based compensation in the prior fiscal year-to-date period.</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result of the above changes led to net income that increased 21% for the six months ended December 31, 2021, compared to the same period in the prior fiscal year.</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move into the third quarter of fiscal 2022 with optimism following strong performance in the second quarter, but with some uncertainty as to the future impact of the COVID-19 pandemic (see "COVID-19 Impact and Response" section above). Significant portions of our business continue to come from recurring revenues and our sales pipeline also remains encouraging. Our customers continue to face regulatory and operational challenges which our products and services address, and in these uncertain times, we believe they have an even greater need for our solutions that directly address institutional profitability, efficiency, and security. Our strong balance sheet, access to extensive lines of credit, the continued strength of our existing lines of revenue, and an unwavering commitment to superior customer service should position us well to address current and future opportunities.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detailed discussion of the major components of the results of operations for the three and six months ended December 31, 2021, follows. Discussions compare the current fiscal year's three and six months ended December 31, 2021, to the prior fiscal year's three and six months ended December 31, 2020.</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w:t>
            </w:r>
          </w:p>
        </w:tc>
        <w:tc>
          <w:tcPr>
            <w:tcW w:w="1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17"/>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296,211</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250,873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593,704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531,870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r>
      <w:tr>
        <w:trPr>
          <w:trHeight w:val="239"/>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0"/>
                <w:szCs w:val="20"/>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60 %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60 %</w:t>
            </w:r>
          </w:p>
        </w:tc>
        <w:tc>
          <w:tcPr>
            <w:tcW w:w="3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Services and support revenue increased 18% for the second quarter of fiscal 2022 compared to the same quarter a year ago. Total services and support revenue less deconversion fee revenue for the current and prior fiscal quarter of $26,903 and $2,155, respectively, results in growth of 8%, quarter over quarter. This increase was primarily driven by growth in data processing and hosting fee revenues as new customers were added and volumes continued to expand, as well as higher implementation and conversion/merger revenues when compared to the prior fiscal quarter.</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six months ended December 31, 2021, services and support revenue increased 12% compared to the same period a year ago. Total services and support revenue less deconversion fee revenue for the current and prior fiscal periods of $30,627 and $8,037, respectively, and for revenue from acquisitions and divestitures of $1,181 from the prior fiscal year period, results in growth of 8% period over period. This increase was primarily driven by growth in data processing and hosting fee revenues, as new customers were added and volumes continued to expand, as well as higher implementation fee and software usage fee revenues when compared to the prior fiscal period.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1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17"/>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197,685</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171,488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388,248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342,291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r>
      <w:tr>
        <w:trPr>
          <w:trHeight w:val="239"/>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0"/>
                <w:szCs w:val="20"/>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40 %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40 %</w:t>
            </w:r>
          </w:p>
        </w:tc>
        <w:tc>
          <w:tcPr>
            <w:tcW w:w="3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Processing revenue increased 15% for the second quarter of fiscal 2022 compared to the same quarter a year ago. The increase was driven by growth in card, Jack Henry digital, and remittance processing revenues, as customers were added and volumes expanded during the fiscal quarter compared to the prior fiscal quarter.</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processing revenue component also experienced customer additions and volume growth in the fiscal year-to-date period, leading to an increase in processing revenue of 13% for the six months ended December 31, 2021, compared to the six months ended December 31, 2020.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Pr>
          <w:p>
            <w:pPr>
              <w:spacing w:after="0"/>
              <w:rPr>
                <w:sz w:val="24"/>
                <w:szCs w:val="24"/>
                <w:color w:val="auto"/>
              </w:rPr>
            </w:pPr>
          </w:p>
        </w:tc>
        <w:tc>
          <w:tcPr>
            <w:tcW w:w="282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17"/>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60" w:type="dxa"/>
            <w:vAlign w:val="bottom"/>
            <w:gridSpan w:val="9"/>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282,825</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257,782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559,460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520,711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r>
      <w:tr>
        <w:trPr>
          <w:trHeight w:val="239"/>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0"/>
                <w:szCs w:val="20"/>
                <w:color w:val="auto"/>
              </w:rPr>
            </w:pPr>
          </w:p>
        </w:tc>
        <w:tc>
          <w:tcPr>
            <w:tcW w:w="16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57 %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57 %</w:t>
            </w:r>
          </w:p>
        </w:tc>
        <w:tc>
          <w:tcPr>
            <w:tcW w:w="3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revenue for the second quarter of fiscal 2022 increased 10% over the prior fiscal year second quarter. Total cost of revenue less the effects of deconversion fees, which were $1,601 for the current fiscal quarter and $213 for the prior fiscal quarter, and the effects of acquisitions and divestitures of $67 for the current fiscal quarter, results in a 9% increase quarter over quarter. This increase was primarily due to higher direct costs associated with our card processing platform, higher personnel costs, and increased operating licenses and fees. Cost of revenue decreased 4% compared to the prior fiscal quarter as a percentage of total revenue.</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current fiscal year-to-date period, cost of revenue increased 7% over the prior fiscal year-to-date period. This increase in costs was primarily due to higher costs associated with our card processing platform and operating licenses and fees. Cost of revenue decreased 3% compared to the prior fiscal year-to-date period as a percentage of total revenue.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tcPr>
          <w:p>
            <w:pPr>
              <w:spacing w:after="0"/>
              <w:rPr>
                <w:sz w:val="17"/>
                <w:szCs w:val="17"/>
                <w:color w:val="auto"/>
              </w:rPr>
            </w:pPr>
          </w:p>
        </w:tc>
        <w:tc>
          <w:tcPr>
            <w:tcW w:w="2800" w:type="dxa"/>
            <w:vAlign w:val="bottom"/>
            <w:gridSpan w:val="7"/>
          </w:tcPr>
          <w:p>
            <w:pPr>
              <w:spacing w:after="0"/>
              <w:rPr>
                <w:sz w:val="20"/>
                <w:szCs w:val="20"/>
                <w:color w:val="auto"/>
              </w:rPr>
            </w:pPr>
            <w:r>
              <w:rPr>
                <w:rFonts w:ascii="Arial" w:cs="Arial" w:eastAsia="Arial" w:hAnsi="Arial"/>
                <w:sz w:val="18"/>
                <w:szCs w:val="18"/>
                <w:color w:val="auto"/>
              </w:rPr>
              <w:t>Three Months Ended December</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17"/>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rPr>
              <w:t>Change</w:t>
            </w:r>
          </w:p>
        </w:tc>
        <w:tc>
          <w:tcPr>
            <w:tcW w:w="2920" w:type="dxa"/>
            <w:vAlign w:val="bottom"/>
            <w:gridSpan w:val="8"/>
          </w:tcPr>
          <w:p>
            <w:pPr>
              <w:ind w:left="8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3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2021</w:t>
            </w:r>
          </w:p>
        </w:tc>
        <w:tc>
          <w:tcPr>
            <w:tcW w:w="7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29,916</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26,780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56,670</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r>
      <w:tr>
        <w:trPr>
          <w:trHeight w:val="239"/>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0"/>
                <w:szCs w:val="20"/>
                <w:color w:val="auto"/>
              </w:rPr>
            </w:pPr>
          </w:p>
        </w:tc>
        <w:tc>
          <w:tcPr>
            <w:tcW w:w="18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6 %</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6 %</w:t>
            </w:r>
          </w:p>
        </w:tc>
        <w:tc>
          <w:tcPr>
            <w:tcW w:w="5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increased 12% for the second quarter of fiscal 2022 over the prior fiscal second quarter. The increase was primarily due to higher personnel costs, net of capitalization, quarter over quarter. Research and development expense remained consistent compared to the prior fiscal second quarter as a percentage of total revenue.</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current fiscal year-to-date period, research and development expense increased 7% over the prior fiscal year-to-date period. The increase was primarily due to higher personnel costs, net of capitalization, period over period. Research and development expense remained consistent compared to the prior fiscal year-to-date period as a percentage of total revenue.</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growth of this expense category in both the second quarter and year-to-date fiscal periods reflects our continuing commitment to the development of strategic products.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120" w:type="dxa"/>
            <w:vAlign w:val="bottom"/>
          </w:tcPr>
          <w:p>
            <w:pPr>
              <w:spacing w:after="0"/>
              <w:rPr>
                <w:sz w:val="18"/>
                <w:szCs w:val="18"/>
                <w:color w:val="auto"/>
              </w:rPr>
            </w:pPr>
          </w:p>
        </w:tc>
        <w:tc>
          <w:tcPr>
            <w:tcW w:w="278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Administrative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Change</w:t>
            </w:r>
          </w:p>
        </w:tc>
        <w:tc>
          <w:tcPr>
            <w:tcW w:w="2940" w:type="dxa"/>
            <w:vAlign w:val="bottom"/>
            <w:gridSpan w:val="8"/>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3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20"/>
              <w:spacing w:after="0" w:line="182"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55,493</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44,167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106,565</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89,393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r>
      <w:tr>
        <w:trPr>
          <w:trHeight w:val="239"/>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0"/>
                <w:szCs w:val="20"/>
                <w:color w:val="auto"/>
              </w:rPr>
            </w:pPr>
          </w:p>
        </w:tc>
        <w:tc>
          <w:tcPr>
            <w:tcW w:w="16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11 %</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11 %</w:t>
            </w:r>
          </w:p>
        </w:tc>
        <w:tc>
          <w:tcPr>
            <w:tcW w:w="5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increased 26% in the second quarter of fiscal 2022 over the same quarter a year ago. Total selling, general, and administrative expenses less deconversion-related expenses, which were $946 for the current fiscal quarter and $24 for the prior fiscal quarter, and the effects of acquisitions and divestitures of $10 in the current fiscal quarter and an adjustment for gain on disposals in the prior fiscal quarter of $2,040, results in an 18% increase quarter over quarter. This increase was primarily due to higher personnel costs related to a 2% growth in headcount and salary increases in the trailing twelve months. Selling, general, and administrative expense increased 1% as a percentage of total revenue in fiscal second quarter versus the prior fiscal second quarter.</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fiscal year-to-date period, selling, general, and administrative expense increased 19% over the prior fiscal year-to-date period. Total selling, general, and administrative expenses less deconversion-related expenses from each period, which were $1,149 for the current fiscal period and $250 for the prior fiscal period, and less the effects of acquisitions and divestitures, which were $20 for the current fiscal period and $28 for the prior fiscal period, and adjusted for a gain on disposals of $2,040 in the prior fiscal period, results in a 16% increase period over period. This increase was primarily due to higher personnel costs related to a 2% growth in headcount and salary increases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trailing twelve months. Selling, general, and administrative expense increased 1% as a percentage of total revenue for the current fiscal period versus the year-ago fiscal period.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720" w:type="dxa"/>
            <w:vAlign w:val="bottom"/>
            <w:gridSpan w:val="8"/>
          </w:tcPr>
          <w:p>
            <w:pPr>
              <w:ind w:left="20"/>
              <w:spacing w:after="0"/>
              <w:rPr>
                <w:sz w:val="20"/>
                <w:szCs w:val="20"/>
                <w:color w:val="auto"/>
              </w:rPr>
            </w:pPr>
            <w:r>
              <w:rPr>
                <w:rFonts w:ascii="Arial" w:cs="Arial" w:eastAsia="Arial" w:hAnsi="Arial"/>
                <w:sz w:val="18"/>
                <w:szCs w:val="18"/>
                <w:color w:val="auto"/>
              </w:rPr>
              <w:t>Three Months Ended December</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7"/>
          </w:tcPr>
          <w:p>
            <w:pPr>
              <w:ind w:left="20"/>
              <w:spacing w:after="0"/>
              <w:rPr>
                <w:sz w:val="20"/>
                <w:szCs w:val="20"/>
                <w:color w:val="auto"/>
              </w:rPr>
            </w:pPr>
            <w:r>
              <w:rPr>
                <w:rFonts w:ascii="Arial" w:cs="Arial" w:eastAsia="Arial" w:hAnsi="Arial"/>
                <w:sz w:val="18"/>
                <w:szCs w:val="18"/>
                <w:color w:val="auto"/>
              </w:rPr>
              <w:t>Six Months Ended December</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17"/>
        </w:trPr>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4"/>
          </w:tcPr>
          <w:p>
            <w:pPr>
              <w:jc w:val="right"/>
              <w:ind w:right="27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8"/>
                <w:szCs w:val="18"/>
                <w:color w:val="auto"/>
              </w:rPr>
            </w:pPr>
          </w:p>
        </w:tc>
        <w:tc>
          <w:tcPr>
            <w:tcW w:w="1660" w:type="dxa"/>
            <w:vAlign w:val="bottom"/>
            <w:gridSpan w:val="4"/>
          </w:tcPr>
          <w:p>
            <w:pPr>
              <w:jc w:val="right"/>
              <w:ind w:right="27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Change</w:t>
            </w:r>
          </w:p>
        </w:tc>
      </w:tr>
      <w:tr>
        <w:trPr>
          <w:trHeight w:val="183"/>
        </w:trPr>
        <w:tc>
          <w:tcPr>
            <w:tcW w:w="34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370"/>
              <w:spacing w:after="0" w:line="182" w:lineRule="exact"/>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ind w:right="330"/>
              <w:spacing w:after="0" w:line="182" w:lineRule="exact"/>
              <w:rPr>
                <w:sz w:val="20"/>
                <w:szCs w:val="20"/>
                <w:color w:val="auto"/>
              </w:rPr>
            </w:pPr>
            <w:r>
              <w:rPr>
                <w:rFonts w:ascii="Arial" w:cs="Arial" w:eastAsia="Arial" w:hAnsi="Arial"/>
                <w:sz w:val="18"/>
                <w:szCs w:val="18"/>
                <w:color w:val="auto"/>
                <w:w w:val="94"/>
              </w:rPr>
              <w:t>2020</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35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50"/>
        </w:trPr>
        <w:tc>
          <w:tcPr>
            <w:tcW w:w="34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income fluctuated due to changes in invested balances and yields on invested balances during the second quarter of fiscal 2022 compared to the second quarter a year ago. Interest expense increased when compared to the prior fiscal quarter due to interest rate fluctuations, length of borrowing time, and amounts borrowed. There was a $240,000 outstanding balance under the credit facility at December 31, 2021, and no outstanding balance at December 31, 2020. The credit facility balance increase was primarily due to the increase in the Company's repurchases of common stock for the treasury during the trailing twelve months.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20" w:type="dxa"/>
            <w:vAlign w:val="bottom"/>
          </w:tcPr>
          <w:p>
            <w:pPr>
              <w:spacing w:after="0"/>
              <w:rPr>
                <w:sz w:val="17"/>
                <w:szCs w:val="17"/>
                <w:color w:val="auto"/>
              </w:rPr>
            </w:pPr>
          </w:p>
        </w:tc>
        <w:tc>
          <w:tcPr>
            <w:tcW w:w="2800" w:type="dxa"/>
            <w:vAlign w:val="bottom"/>
            <w:gridSpan w:val="8"/>
          </w:tcPr>
          <w:p>
            <w:pPr>
              <w:spacing w:after="0"/>
              <w:rPr>
                <w:sz w:val="20"/>
                <w:szCs w:val="20"/>
                <w:color w:val="auto"/>
              </w:rPr>
            </w:pPr>
            <w:r>
              <w:rPr>
                <w:rFonts w:ascii="Arial" w:cs="Arial" w:eastAsia="Arial" w:hAnsi="Arial"/>
                <w:sz w:val="18"/>
                <w:szCs w:val="18"/>
                <w:color w:val="auto"/>
              </w:rPr>
              <w:t>Three Months Ended December</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17"/>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Change</w:t>
            </w:r>
          </w:p>
        </w:tc>
        <w:tc>
          <w:tcPr>
            <w:tcW w:w="2940" w:type="dxa"/>
            <w:vAlign w:val="bottom"/>
            <w:gridSpan w:val="8"/>
          </w:tcPr>
          <w:p>
            <w:pPr>
              <w:ind w:left="100"/>
              <w:spacing w:after="0"/>
              <w:rPr>
                <w:sz w:val="20"/>
                <w:szCs w:val="20"/>
                <w:color w:val="auto"/>
              </w:rPr>
            </w:pPr>
            <w:r>
              <w:rPr>
                <w:rFonts w:ascii="Arial" w:cs="Arial" w:eastAsia="Arial" w:hAnsi="Arial"/>
                <w:sz w:val="18"/>
                <w:szCs w:val="18"/>
                <w:color w:val="auto"/>
              </w:rPr>
              <w:t>Six Months Ended December 31,</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r>
      <w:tr>
        <w:trPr>
          <w:trHeight w:val="183"/>
        </w:trPr>
        <w:tc>
          <w:tcPr>
            <w:tcW w:w="3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29,551</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21,585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60,791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47,907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27 %</w:t>
            </w: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2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23.6 %</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23.5 %</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increase in the effective tax rate for the second quarter of fiscal 2022 compared to the same quarter a year ago was primarily due to the relative impact of the increase in operating income, quarter over quarter.</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increase in effective tax rate for the current fiscal year-to-date period compared to the prior fiscal year-to-date period was primarily due to the relative impact of the increase in operating income in the current fiscal period and a larger excess tax benefit received from share-based compensation in the prior fiscal period.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20" w:type="dxa"/>
            <w:vAlign w:val="bottom"/>
            <w:gridSpan w:val="8"/>
          </w:tcPr>
          <w:p>
            <w:pPr>
              <w:ind w:left="40"/>
              <w:spacing w:after="0"/>
              <w:rPr>
                <w:sz w:val="20"/>
                <w:szCs w:val="20"/>
                <w:color w:val="auto"/>
              </w:rPr>
            </w:pPr>
            <w:r>
              <w:rPr>
                <w:rFonts w:ascii="Arial" w:cs="Arial" w:eastAsia="Arial" w:hAnsi="Arial"/>
                <w:sz w:val="18"/>
                <w:szCs w:val="18"/>
                <w:color w:val="auto"/>
                <w:w w:val="99"/>
              </w:rPr>
              <w:t>Three Months Ended December</w:t>
            </w:r>
          </w:p>
        </w:tc>
        <w:tc>
          <w:tcPr>
            <w:tcW w:w="12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8"/>
          </w:tcPr>
          <w:p>
            <w:pPr>
              <w:jc w:val="right"/>
              <w:ind w:right="160"/>
              <w:spacing w:after="0"/>
              <w:rPr>
                <w:sz w:val="20"/>
                <w:szCs w:val="20"/>
                <w:color w:val="auto"/>
              </w:rPr>
            </w:pPr>
            <w:r>
              <w:rPr>
                <w:rFonts w:ascii="Arial" w:cs="Arial" w:eastAsia="Arial" w:hAnsi="Arial"/>
                <w:sz w:val="18"/>
                <w:szCs w:val="18"/>
                <w:color w:val="auto"/>
                <w:w w:val="99"/>
              </w:rPr>
              <w:t>Six Months Ended December</w:t>
            </w:r>
          </w:p>
        </w:tc>
        <w:tc>
          <w:tcPr>
            <w:tcW w:w="12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3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95,670</w:t>
            </w: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33 %</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71,982</w:t>
            </w:r>
          </w:p>
        </w:tc>
        <w:tc>
          <w:tcPr>
            <w:tcW w:w="12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197,783</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163,198</w:t>
            </w: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0.94</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income increased 33% to $95,670, or $1.30 per diluted share, for the second quarter of fiscal 2022 compared to $71,982, or $0.94 per diluted share in the prior fiscal second quarter, resulting in a 38% increase in diluted earnings per share.</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income increased 21% to $197,783, or $2.68 per diluted share, for the current fiscal year-to-date period, compared to $163,198, or $2.13 per diluted share in the prior fiscal year-to-date period, resulting in a 25% increase in diluted earnings per share.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leading provider of technology solutions and payment processing services primarily for financial services organizations.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 center support, and network security management, consulting, and monitoring, that can be integrated with our core solutions, and many can be used independently. The Corporate and Other segment includes revenue and costs from hardware and other products not attributed to any of the other three segments, as well as operating costs not directly attributable to the other three segments.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Core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3360" w:type="dxa"/>
            <w:vAlign w:val="bottom"/>
          </w:tcPr>
          <w:p>
            <w:pPr>
              <w:spacing w:after="0"/>
              <w:rPr>
                <w:sz w:val="16"/>
                <w:szCs w:val="16"/>
                <w:color w:val="auto"/>
              </w:rPr>
            </w:pPr>
          </w:p>
        </w:tc>
        <w:tc>
          <w:tcPr>
            <w:tcW w:w="2760" w:type="dxa"/>
            <w:vAlign w:val="bottom"/>
            <w:gridSpan w:val="9"/>
          </w:tcPr>
          <w:p>
            <w:pPr>
              <w:ind w:left="60"/>
              <w:spacing w:after="0" w:line="189" w:lineRule="exact"/>
              <w:rPr>
                <w:sz w:val="20"/>
                <w:szCs w:val="20"/>
                <w:color w:val="auto"/>
              </w:rPr>
            </w:pPr>
            <w:r>
              <w:rPr>
                <w:rFonts w:ascii="Arial" w:cs="Arial" w:eastAsia="Arial" w:hAnsi="Arial"/>
                <w:sz w:val="18"/>
                <w:szCs w:val="18"/>
                <w:color w:val="auto"/>
              </w:rPr>
              <w:t>Three Months Ended December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7"/>
          </w:tcPr>
          <w:p>
            <w:pPr>
              <w:ind w:left="20"/>
              <w:spacing w:after="0" w:line="189" w:lineRule="exact"/>
              <w:rPr>
                <w:sz w:val="20"/>
                <w:szCs w:val="20"/>
                <w:color w:val="auto"/>
              </w:rPr>
            </w:pPr>
            <w:r>
              <w:rPr>
                <w:rFonts w:ascii="Arial" w:cs="Arial" w:eastAsia="Arial" w:hAnsi="Arial"/>
                <w:sz w:val="18"/>
                <w:szCs w:val="18"/>
                <w:color w:val="auto"/>
              </w:rPr>
              <w:t>Six Months Ended December</w:t>
            </w:r>
          </w:p>
        </w:tc>
        <w:tc>
          <w:tcPr>
            <w:tcW w:w="1140" w:type="dxa"/>
            <w:vAlign w:val="bottom"/>
          </w:tcPr>
          <w:p>
            <w:pPr>
              <w:spacing w:after="0"/>
              <w:rPr>
                <w:sz w:val="16"/>
                <w:szCs w:val="16"/>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154,878</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134,948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320,163</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288,103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64,554</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58,485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131,456</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122,347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bl>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 the Core segment increased 15% and cost of revenue increased 10% for the three months ended December 31, 2021, compared to the three months ended December 31, 2020. Core revenue less deconversion fee revenue for the second quarter of $10,853 and less deconversion fee revenue of $882 for the prior fiscal second quarter, results in a 7% increase, quarter over quarter. This increase was primarily driven by growth in data processing and hosting fee revenue. Cost of revenue decreased 2% as a percentage of revenue for the second quarter of fiscal 2022 compared to the prior fiscal second quarter.</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six months ended December 31, 2021, revenue in the Core segment increased 11% compared to the prior fiscal year-to-date period. Core revenue less deconversion fee revenue in both periods, which totaled $13,021 for the current fiscal period and $2,934 for the prior fiscal period and revenue from acquisitions and divestitures of $1,182 from the prior fiscal period, results in an 8% increase, period over period. This increase was primarily driven by the growth in data processing and hosting fee revenue. Cost of revenue decreased 1% as a percentage of revenue for year-to-date fiscal 2022 compared to the year-ago period.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Payments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3360" w:type="dxa"/>
            <w:vAlign w:val="bottom"/>
          </w:tcPr>
          <w:p>
            <w:pPr>
              <w:spacing w:after="0"/>
              <w:rPr>
                <w:sz w:val="16"/>
                <w:szCs w:val="16"/>
                <w:color w:val="auto"/>
              </w:rPr>
            </w:pPr>
          </w:p>
        </w:tc>
        <w:tc>
          <w:tcPr>
            <w:tcW w:w="2760" w:type="dxa"/>
            <w:vAlign w:val="bottom"/>
            <w:gridSpan w:val="9"/>
          </w:tcPr>
          <w:p>
            <w:pPr>
              <w:ind w:left="60"/>
              <w:spacing w:after="0" w:line="189" w:lineRule="exact"/>
              <w:rPr>
                <w:sz w:val="20"/>
                <w:szCs w:val="20"/>
                <w:color w:val="auto"/>
              </w:rPr>
            </w:pPr>
            <w:r>
              <w:rPr>
                <w:rFonts w:ascii="Arial" w:cs="Arial" w:eastAsia="Arial" w:hAnsi="Arial"/>
                <w:sz w:val="18"/>
                <w:szCs w:val="18"/>
                <w:color w:val="auto"/>
              </w:rPr>
              <w:t>Three Months Ended December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7"/>
          </w:tcPr>
          <w:p>
            <w:pPr>
              <w:ind w:left="20"/>
              <w:spacing w:after="0" w:line="189" w:lineRule="exact"/>
              <w:rPr>
                <w:sz w:val="20"/>
                <w:szCs w:val="20"/>
                <w:color w:val="auto"/>
              </w:rPr>
            </w:pPr>
            <w:r>
              <w:rPr>
                <w:rFonts w:ascii="Arial" w:cs="Arial" w:eastAsia="Arial" w:hAnsi="Arial"/>
                <w:sz w:val="18"/>
                <w:szCs w:val="18"/>
                <w:color w:val="auto"/>
              </w:rPr>
              <w:t>Six Months Ended December</w:t>
            </w:r>
          </w:p>
        </w:tc>
        <w:tc>
          <w:tcPr>
            <w:tcW w:w="1140" w:type="dxa"/>
            <w:vAlign w:val="bottom"/>
          </w:tcPr>
          <w:p>
            <w:pPr>
              <w:spacing w:after="0"/>
              <w:rPr>
                <w:sz w:val="16"/>
                <w:szCs w:val="16"/>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182,528</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155,182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352,150</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311,915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95,570</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86,455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188,795</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172,783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 the Payments segment increased 18% for the second quarter of fiscal 2022 compared to the prior fiscal quarter. Payments revenue less deconversion fee revenue in both periods, which totaled $7,933 for the second quarter of fiscal 2022 and $674 for the prior fiscal second quarter, results in a 13% increase, quarter over quarter. This growth was primarily due to increased card and remittance fee revenue within processing. Cost of revenue decreased 3% as a percentage of revenue for the second quarter of fiscal 2022 compared to the same quarter of fiscal 2021.</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six months ended December 31, 2021, revenue in the Payments segment increased 13% compared to the same period a year ago. Payments revenue less deconversion fee revenue in both periods, which totaled $8,381 for year-to-date fiscal 2022 and $2,521 for year-to-date fiscal 2021, results in an 11% increase period over period. This Payments revenue growth was primarily due to increased card and remittance revenue within processing. Cost of revenue as a percentage of revenue decreased 2% for year-to-date fiscal 2022 compared to the same period of fiscal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Complementary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3360" w:type="dxa"/>
            <w:vAlign w:val="bottom"/>
          </w:tcPr>
          <w:p>
            <w:pPr>
              <w:spacing w:after="0"/>
              <w:rPr>
                <w:sz w:val="16"/>
                <w:szCs w:val="16"/>
                <w:color w:val="auto"/>
              </w:rPr>
            </w:pPr>
          </w:p>
        </w:tc>
        <w:tc>
          <w:tcPr>
            <w:tcW w:w="2760" w:type="dxa"/>
            <w:vAlign w:val="bottom"/>
            <w:gridSpan w:val="9"/>
          </w:tcPr>
          <w:p>
            <w:pPr>
              <w:ind w:left="60"/>
              <w:spacing w:after="0" w:line="189" w:lineRule="exact"/>
              <w:rPr>
                <w:sz w:val="20"/>
                <w:szCs w:val="20"/>
                <w:color w:val="auto"/>
              </w:rPr>
            </w:pPr>
            <w:r>
              <w:rPr>
                <w:rFonts w:ascii="Arial" w:cs="Arial" w:eastAsia="Arial" w:hAnsi="Arial"/>
                <w:sz w:val="18"/>
                <w:szCs w:val="18"/>
                <w:color w:val="auto"/>
              </w:rPr>
              <w:t>Three Months Ended December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7"/>
          </w:tcPr>
          <w:p>
            <w:pPr>
              <w:ind w:left="20"/>
              <w:spacing w:after="0" w:line="189" w:lineRule="exact"/>
              <w:rPr>
                <w:sz w:val="20"/>
                <w:szCs w:val="20"/>
                <w:color w:val="auto"/>
              </w:rPr>
            </w:pPr>
            <w:r>
              <w:rPr>
                <w:rFonts w:ascii="Arial" w:cs="Arial" w:eastAsia="Arial" w:hAnsi="Arial"/>
                <w:sz w:val="18"/>
                <w:szCs w:val="18"/>
                <w:color w:val="auto"/>
              </w:rPr>
              <w:t>Six Months Ended December</w:t>
            </w:r>
          </w:p>
        </w:tc>
        <w:tc>
          <w:tcPr>
            <w:tcW w:w="1140" w:type="dxa"/>
            <w:vAlign w:val="bottom"/>
          </w:tcPr>
          <w:p>
            <w:pPr>
              <w:spacing w:after="0"/>
              <w:rPr>
                <w:sz w:val="16"/>
                <w:szCs w:val="16"/>
                <w:color w:val="auto"/>
              </w:rPr>
            </w:pPr>
          </w:p>
        </w:tc>
      </w:tr>
      <w:tr>
        <w:trPr>
          <w:trHeight w:val="217"/>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141,724</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121,408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283,205</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251,762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58,151</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52,407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113,635</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104,431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bl>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 the Complementary segment increased 17% for the second quarter of fiscal 2022 compared to the same quarter of the prior fiscal year. Complementary revenue less deconversion fee revenue in both periods, which totaled $7,917 for the second quarter of fiscal 2022 and $509 for the prior fiscal second quarter, and less acquisitions and divestitures revenue in the current quarter of $96, results in an 11% increase, quarter over quarter. This growth was primarily driven by growth in Jack Henry digital and hosting fee revenues. Cost of revenue as a percentage of revenue decreased 2% for the second quarter of fiscal 2022 compared to the same quarter of fiscal 2021.</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six months ended December 31, 2021, revenue in the Complementary segment increased 12% compared to the same period last fiscal year. Complementary revenue less deconversion fee revenue in both periods, which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totaled $9,014 for year-to-date fiscal 2022 and $2,509 for year-to-date fiscal 2021, and less acquisitions and divestitures revenue in the current fiscal year-to-date period of $202, results in a 10% increase period over period. This increase in Complementary revenue was primarily driven by growth in Jack Henry digital and hosting fee revenues. Cost of revenue decreased 1% as a percentage of revenue for year-to-date fiscal 2022 compared to the same period of fiscal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3380" w:type="dxa"/>
            <w:vAlign w:val="bottom"/>
          </w:tcPr>
          <w:p>
            <w:pPr>
              <w:spacing w:after="0"/>
              <w:rPr>
                <w:sz w:val="16"/>
                <w:szCs w:val="16"/>
                <w:color w:val="auto"/>
              </w:rPr>
            </w:pPr>
          </w:p>
        </w:tc>
        <w:tc>
          <w:tcPr>
            <w:tcW w:w="2720" w:type="dxa"/>
            <w:vAlign w:val="bottom"/>
            <w:gridSpan w:val="8"/>
          </w:tcPr>
          <w:p>
            <w:pPr>
              <w:ind w:left="40"/>
              <w:spacing w:after="0" w:line="189" w:lineRule="exact"/>
              <w:rPr>
                <w:sz w:val="20"/>
                <w:szCs w:val="20"/>
                <w:color w:val="auto"/>
              </w:rPr>
            </w:pPr>
            <w:r>
              <w:rPr>
                <w:rFonts w:ascii="Arial" w:cs="Arial" w:eastAsia="Arial" w:hAnsi="Arial"/>
                <w:sz w:val="18"/>
                <w:szCs w:val="18"/>
                <w:color w:val="auto"/>
              </w:rPr>
              <w:t>Three Months Ended December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7"/>
          </w:tcPr>
          <w:p>
            <w:pPr>
              <w:ind w:left="20"/>
              <w:spacing w:after="0" w:line="189" w:lineRule="exact"/>
              <w:rPr>
                <w:sz w:val="20"/>
                <w:szCs w:val="20"/>
                <w:color w:val="auto"/>
              </w:rPr>
            </w:pPr>
            <w:r>
              <w:rPr>
                <w:rFonts w:ascii="Arial" w:cs="Arial" w:eastAsia="Arial" w:hAnsi="Arial"/>
                <w:sz w:val="18"/>
                <w:szCs w:val="18"/>
                <w:color w:val="auto"/>
              </w:rPr>
              <w:t>Six Months Ended December</w:t>
            </w:r>
          </w:p>
        </w:tc>
        <w:tc>
          <w:tcPr>
            <w:tcW w:w="1140" w:type="dxa"/>
            <w:vAlign w:val="bottom"/>
          </w:tcPr>
          <w:p>
            <w:pPr>
              <w:spacing w:after="0"/>
              <w:rPr>
                <w:sz w:val="16"/>
                <w:szCs w:val="16"/>
                <w:color w:val="auto"/>
              </w:rPr>
            </w:pPr>
          </w:p>
        </w:tc>
      </w:tr>
      <w:tr>
        <w:trPr>
          <w:trHeight w:val="217"/>
        </w:trPr>
        <w:tc>
          <w:tcPr>
            <w:tcW w:w="3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 Change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w w:val="95"/>
              </w:rPr>
              <w:t>31,</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 Change</w:t>
            </w: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2021</w:t>
            </w: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60"/>
              <w:spacing w:after="0" w:line="182" w:lineRule="exact"/>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14,766</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10,823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26,434</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22,381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64,550</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60,435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125,574</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 the Corporate and Other segment increased 36% for the second quarter of fiscal 2022 compared to the same quarter of the prior fiscal year and increased 18% for the fiscal year-to-date period compared to the prior fiscal year-to-date period. The quarter-over-quarter increase was primarily due to higher services and support revenue, including an increase in hardware revenue. Revenue classified in the Corporate and Other segment includes revenue from other products and services and hardware not specifically attributed to any of the other three segments.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increased cost of revenue for the fiscal 2022 second quarter and year-to-date periods of 7% and 4%, respectively, when compared to the prior respective fiscal periods, was primarily due to higher operating licenses and fees for both comparisons.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decreased to $29,120 at December 31, 2021, from $50,992 at June 30,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4"/>
          </w:tcPr>
          <w:p>
            <w:pPr>
              <w:jc w:val="right"/>
              <w:ind w:right="610"/>
              <w:spacing w:after="0"/>
              <w:rPr>
                <w:sz w:val="20"/>
                <w:szCs w:val="20"/>
                <w:color w:val="auto"/>
              </w:rPr>
            </w:pPr>
            <w:r>
              <w:rPr>
                <w:rFonts w:ascii="Arial" w:cs="Arial" w:eastAsia="Arial" w:hAnsi="Arial"/>
                <w:sz w:val="18"/>
                <w:szCs w:val="18"/>
                <w:color w:val="auto"/>
              </w:rPr>
              <w:t>Six Months Ended</w:t>
            </w:r>
          </w:p>
        </w:tc>
      </w:tr>
      <w:tr>
        <w:trPr>
          <w:trHeight w:val="229"/>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December 31,</w:t>
            </w: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197,783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163,198</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113,293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104,200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87,518</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(119,822)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(126,134)</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(34,798)</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197,351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193,984</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provided by operating activities for the first six months of fiscal 2022 increased 2% compared to the same period last year. Cash from operations is primarily used to repay debt, pay dividends, repurchase stock, and for capital expenditures.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used in investing activities for the first six months of fiscal 2022 totaled $101,052 and included: $71,353 for the ongoing enhancements and development of existing and new product and service offerings; capital expenditures on facilities and equipment of $22,373; and $ 7,364 for the purchase and development of internal use software. Uses of cash were partially offset by proceeds from dispositions of $38. Cash used in investing activities for the first six months of fiscal 2021 totaled $82,544 and included: $62,804 for the development of software; $12,100 for purchase of investments; capital expenditures of $9,543; and $4,254 for the purchase and development of internal use software. Uses of cash were partially offset by proceeds from dispositions of $6,157.</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Financing activities used cash of $118,171 for the first six months of fiscal 2022 and included $193,917 for purchases of treasury stock; $80,065 repayment on the revolving credit facility and payments on financing leases, and $67,696 for the payment of dividends to stockholders. Uses of cash were partially offset by borrowings on credit facilities of $220,000 and $3,507 net cash inflow from the issuance of stock and tax withholding related to stock-based compensation. Financing activities used cash of $177,023 in the first six months of fiscal 2021 and included: $109,899 for the purchase of treasury shares; $65,516 for the payment of dividends to stockholders; $1,551 from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ind w:right="1480"/>
        <w:spacing w:after="0" w:line="352" w:lineRule="auto"/>
        <w:rPr>
          <w:sz w:val="20"/>
          <w:szCs w:val="20"/>
          <w:color w:val="auto"/>
        </w:rPr>
      </w:pPr>
      <w:r>
        <w:rPr>
          <w:rFonts w:ascii="Arial" w:cs="Arial" w:eastAsia="Arial" w:hAnsi="Arial"/>
          <w:sz w:val="18"/>
          <w:szCs w:val="18"/>
          <w:color w:val="auto"/>
        </w:rPr>
        <w:t xml:space="preserve">the issuance of stock and tax withholding related to stock-based compensation; and $57 for payments on financing leases. </w:t>
      </w:r>
      <w:r>
        <w:rPr>
          <w:rFonts w:ascii="Arial" w:cs="Arial" w:eastAsia="Arial" w:hAnsi="Arial"/>
          <w:sz w:val="18"/>
          <w:szCs w:val="18"/>
          <w:b w:val="1"/>
          <w:bCs w:val="1"/>
          <w:color w:val="auto"/>
        </w:rPr>
        <w:t>Capital Requirements and Resources</w:t>
      </w:r>
    </w:p>
    <w:p>
      <w:pPr>
        <w:jc w:val="both"/>
        <w:spacing w:after="0" w:line="253"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$22,373 and $9,543 for the six months ended December 31, 2021, and December 31, 2020, respectively, were made primarily for additional equipment and the improvement of existing facilities. These additions were primarily funded from cash generated by operations. Total consolidated capital expenditures on facilities and equipment for the Company for fiscal year 2022 are not expected to exceed $52,000 and will be primarily funded from cash generated by operations.</w:t>
      </w:r>
    </w:p>
    <w:p>
      <w:pPr>
        <w:spacing w:after="0" w:line="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December 31, 2021, there were 31,043 shares of treasury stock, and the Company had the remaining authority to repurchase up to 3,948 additional shares. The total cost of treasury shares at December 31, 2021, was $1,807,119. During the first six months of fiscal 2022, the Company repurchased 1,250 shares for the treasury. At June 30, 2021, there were 29,793 shares in treasury stock and the Company had the remaining authority to repurchase up to 5,198 additional shares. The total cost of treasury shares at June 30, 2021, was $1,613,202. During the first six months of fiscal 2021, the Company repurchased 675 shares for the treasury and, the Company repurchased 2,800 shares for the treasury during all of fiscal 2021.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10, 2020, the Company entered into a five-year senior, unsecured revolving credit facility. The credit facility allows for borrowings of up to $300,000, which may be increased by the Company at any time until maturity to $700,000. The credit facility bears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plus 1.0%), plus an applicable percentage in each case determined by the Company's leverage ratio. The credit facility is guaranteed by certain subsidiaries of the Company and is subject to various financial covenants that require the Company to maintain certain financial ratios as defined in the credit facility agreement. As of December 31, 2021, the Company was in compliance with all such covenants. The revolving credit facility terminates February 10, 2025. There was a $240,000 outstanding balance under the credit facility at December 31, 2021, and $ 100,000 outstanding balance at June 30, 2021. The increase in the outstanding credit facility balance was primarily due to the increase in the Company's repurchases of common stock during the current fiscal year-to-date period compared to repurchases during the prior fiscal year-to-date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2023. There was no balance outstanding at December 31, 2021, and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ind w:right="4240"/>
        <w:spacing w:after="0" w:line="364"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at times are exposed to interest rate risk on outstanding debt. We do not currently use any derivative financial instruments. We actively monitor these risks through a variety of controlled procedures involving senior management.</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$240,000 outstanding debt with variable interest rates as of December 31, 2021, and a 1% increase in our borrowing rate would increase our annual interest expense by $2,400.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fiscal quarter ended December 31, 2021, there were no changes in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2" w:lineRule="exact"/>
        <w:rPr>
          <w:sz w:val="20"/>
          <w:szCs w:val="20"/>
          <w:color w:val="auto"/>
        </w:rPr>
      </w:pPr>
    </w:p>
    <w:p>
      <w:pPr>
        <w:spacing w:after="0"/>
        <w:tabs>
          <w:tab w:leader="none" w:pos="520" w:val="left"/>
          <w:tab w:leader="none" w:pos="1440" w:val="left"/>
          <w:tab w:leader="none" w:pos="2200" w:val="left"/>
          <w:tab w:leader="none" w:pos="2580" w:val="left"/>
          <w:tab w:leader="none" w:pos="3060" w:val="left"/>
          <w:tab w:leader="none" w:pos="4060" w:val="left"/>
          <w:tab w:leader="none" w:pos="4660" w:val="left"/>
          <w:tab w:leader="none" w:pos="5880" w:val="left"/>
          <w:tab w:leader="none" w:pos="6620" w:val="left"/>
          <w:tab w:leader="none" w:pos="7080" w:val="left"/>
          <w:tab w:leader="none" w:pos="7720" w:val="left"/>
          <w:tab w:leader="none" w:pos="8520" w:val="left"/>
          <w:tab w:leader="none" w:pos="9240" w:val="left"/>
          <w:tab w:leader="none" w:pos="10300" w:val="left"/>
          <w:tab w:leader="none" w:pos="10760" w:val="left"/>
        </w:tabs>
        <w:rPr>
          <w:sz w:val="20"/>
          <w:szCs w:val="20"/>
          <w:color w:val="auto"/>
        </w:rPr>
      </w:pPr>
      <w:r>
        <w:rPr>
          <w:rFonts w:ascii="Arial" w:cs="Arial" w:eastAsia="Arial" w:hAnsi="Arial"/>
          <w:sz w:val="18"/>
          <w:szCs w:val="18"/>
          <w:color w:val="auto"/>
        </w:rPr>
        <w:t>The</w:t>
        <w:tab/>
        <w:t>following</w:t>
        <w:tab/>
        <w:t>shares</w:t>
        <w:tab/>
        <w:t>of</w:t>
        <w:tab/>
        <w:t>the</w:t>
        <w:tab/>
        <w:t>Company</w:t>
        <w:tab/>
        <w:t>were</w:t>
        <w:tab/>
        <w:t>repurchased</w:t>
        <w:tab/>
        <w:t>during</w:t>
        <w:tab/>
        <w:t>the</w:t>
        <w:tab/>
        <w:t>fiscal</w:t>
        <w:tab/>
        <w:t>quarter</w:t>
        <w:tab/>
        <w:t>ended</w:t>
        <w:tab/>
        <w:t>December</w:t>
        <w:tab/>
        <w:t>31,</w:t>
        <w:tab/>
        <w:t>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62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8"/>
              </w:rPr>
              <w:t>Total Number</w:t>
            </w: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Average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100" w:type="dxa"/>
            <w:vAlign w:val="bottom"/>
          </w:tcPr>
          <w:p>
            <w:pPr>
              <w:spacing w:after="0"/>
              <w:rPr>
                <w:sz w:val="17"/>
                <w:szCs w:val="17"/>
                <w:color w:val="auto"/>
              </w:rPr>
            </w:pP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as Part of</w:t>
            </w:r>
          </w:p>
        </w:tc>
        <w:tc>
          <w:tcPr>
            <w:tcW w:w="10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62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of Shares</w:t>
            </w:r>
          </w:p>
        </w:tc>
        <w:tc>
          <w:tcPr>
            <w:tcW w:w="10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Price of</w:t>
            </w:r>
          </w:p>
        </w:tc>
        <w:tc>
          <w:tcPr>
            <w:tcW w:w="2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Publicly Announced</w:t>
            </w:r>
          </w:p>
        </w:tc>
        <w:tc>
          <w:tcPr>
            <w:tcW w:w="100" w:type="dxa"/>
            <w:vAlign w:val="bottom"/>
          </w:tcPr>
          <w:p>
            <w:pPr>
              <w:spacing w:after="0"/>
              <w:rPr>
                <w:sz w:val="15"/>
                <w:szCs w:val="15"/>
                <w:color w:val="auto"/>
              </w:rPr>
            </w:pPr>
          </w:p>
        </w:tc>
        <w:tc>
          <w:tcPr>
            <w:tcW w:w="2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10"/>
        </w:trPr>
        <w:tc>
          <w:tcPr>
            <w:tcW w:w="37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Share</w:t>
            </w:r>
          </w:p>
        </w:tc>
        <w:tc>
          <w:tcPr>
            <w:tcW w:w="120" w:type="dxa"/>
            <w:vAlign w:val="bottom"/>
            <w:tcBorders>
              <w:bottom w:val="single" w:sz="8" w:color="CCEEFF"/>
            </w:tcBorders>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Plans</w:t>
            </w:r>
          </w:p>
        </w:tc>
        <w:tc>
          <w:tcPr>
            <w:tcW w:w="10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October 1 - October 31, 2021</w:t>
            </w: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5,197,713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November 1 - November 30, 2021</w:t>
            </w:r>
          </w:p>
        </w:tc>
        <w:tc>
          <w:tcPr>
            <w:tcW w:w="1340" w:type="dxa"/>
            <w:vAlign w:val="bottom"/>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154.44</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800,000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4,397,713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 December 31,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2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155.13</w:t>
            </w:r>
          </w:p>
        </w:tc>
        <w:tc>
          <w:tcPr>
            <w:tcW w:w="120" w:type="dxa"/>
            <w:vAlign w:val="bottom"/>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1,250,000</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3,947,713</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firstLine="8"/>
        <w:spacing w:after="0" w:line="216" w:lineRule="auto"/>
        <w:tabs>
          <w:tab w:leader="none" w:pos="184"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17, 2021 were for 35 million shares. The Company has repurchased 31,042,903 shares under these authorizations. The authorizations have no specific dollar or share price targets and no expiration dates.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61"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33">
        <w:r>
          <w:rPr>
            <w:rFonts w:ascii="Arial" w:cs="Arial" w:eastAsia="Arial" w:hAnsi="Arial"/>
            <w:sz w:val="17"/>
            <w:szCs w:val="17"/>
            <w:u w:val="single" w:color="auto"/>
            <w:color w:val="0000FF"/>
          </w:rPr>
          <w:t>Certification of the Chief Executive Officer.</w:t>
        </w:r>
      </w:hyperlink>
    </w:p>
    <w:p>
      <w:pPr>
        <w:spacing w:after="0" w:line="239"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34">
        <w:r>
          <w:rPr>
            <w:rFonts w:ascii="Arial" w:cs="Arial" w:eastAsia="Arial" w:hAnsi="Arial"/>
            <w:sz w:val="17"/>
            <w:szCs w:val="17"/>
            <w:u w:val="single" w:color="auto"/>
            <w:color w:val="0000FF"/>
          </w:rPr>
          <w:t>Certification of the Chief Financial Officer.</w:t>
        </w:r>
      </w:hyperlink>
    </w:p>
    <w:p>
      <w:pPr>
        <w:spacing w:after="0" w:line="252"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hyperlink w:anchor="page35">
        <w:r>
          <w:rPr>
            <w:rFonts w:ascii="Arial" w:cs="Arial" w:eastAsia="Arial" w:hAnsi="Arial"/>
            <w:sz w:val="17"/>
            <w:szCs w:val="17"/>
            <w:u w:val="single" w:color="auto"/>
            <w:color w:val="0000FF"/>
          </w:rPr>
          <w:t>Certification of the Chief Executive Officer Pursuant to 18 U.S.C. Section 1350.</w:t>
        </w:r>
      </w:hyperlink>
    </w:p>
    <w:p>
      <w:pPr>
        <w:spacing w:after="0" w:line="252" w:lineRule="exact"/>
        <w:rPr>
          <w:sz w:val="20"/>
          <w:szCs w:val="20"/>
          <w:color w:val="auto"/>
        </w:rPr>
      </w:pPr>
    </w:p>
    <w:p>
      <w:pPr>
        <w:spacing w:after="0"/>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hyperlink w:anchor="page36">
        <w:r>
          <w:rPr>
            <w:rFonts w:ascii="Arial" w:cs="Arial" w:eastAsia="Arial" w:hAnsi="Arial"/>
            <w:sz w:val="17"/>
            <w:szCs w:val="17"/>
            <w:u w:val="single" w:color="auto"/>
            <w:color w:val="0000FF"/>
          </w:rPr>
          <w:t>Certification of the Chief Financial Officer Pursuant to 18 U.S.C. Section 1350.</w:t>
        </w:r>
      </w:hyperlink>
    </w:p>
    <w:p>
      <w:pPr>
        <w:sectPr>
          <w:pgSz w:w="11900" w:h="16838" w:orient="portrait"/>
          <w:cols w:equalWidth="0" w:num="1">
            <w:col w:w="11240"/>
          </w:cols>
          <w:pgMar w:left="320" w:top="141"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61"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200" w:lineRule="exact"/>
        <w:rPr>
          <w:sz w:val="20"/>
          <w:szCs w:val="20"/>
          <w:color w:val="auto"/>
        </w:rPr>
      </w:pPr>
    </w:p>
    <w:p>
      <w:pPr>
        <w:sectPr>
          <w:pgSz w:w="11900" w:h="16838" w:orient="portrait"/>
          <w:cols w:equalWidth="0" w:num="2">
            <w:col w:w="720" w:space="580"/>
            <w:col w:w="9940"/>
          </w:cols>
          <w:pgMar w:left="320" w:top="14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141"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141"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141"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141"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141"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39" w:lineRule="exact"/>
        <w:rPr>
          <w:sz w:val="20"/>
          <w:szCs w:val="20"/>
          <w:color w:val="auto"/>
        </w:rPr>
      </w:pPr>
    </w:p>
    <w:p>
      <w:pPr>
        <w:jc w:val="both"/>
        <w:ind w:firstLine="8"/>
        <w:spacing w:after="0" w:line="252" w:lineRule="auto"/>
        <w:tabs>
          <w:tab w:leader="none" w:pos="165"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December 31, 2021, and June 30, 2021, (ii) the Condensed Consolidated Statements of Income for the three and six months ended December 31, 2021, and 2020, (iii) the Condensed Consolidated Statements of Changes in Shareholders' Equity for the three and six months ended December 31, 2021, and 2020, (iv) the Condensed Consolidated Statements of Cash Flows for the six months ended December 31, 2021, and 2020, and (v)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6240" w:type="dxa"/>
            <w:vAlign w:val="bottom"/>
          </w:tcPr>
          <w:p>
            <w:pPr>
              <w:spacing w:after="0"/>
              <w:rPr>
                <w:sz w:val="18"/>
                <w:szCs w:val="18"/>
                <w:color w:val="auto"/>
              </w:rPr>
            </w:pPr>
          </w:p>
        </w:tc>
        <w:tc>
          <w:tcPr>
            <w:tcW w:w="3180" w:type="dxa"/>
            <w:vAlign w:val="bottom"/>
            <w:gridSpan w:val="3"/>
          </w:tcPr>
          <w:p>
            <w:pPr>
              <w:ind w:left="120"/>
              <w:spacing w:after="0"/>
              <w:rPr>
                <w:sz w:val="20"/>
                <w:szCs w:val="20"/>
                <w:color w:val="auto"/>
              </w:rPr>
            </w:pPr>
            <w:r>
              <w:rPr>
                <w:rFonts w:ascii="Arial" w:cs="Arial" w:eastAsia="Arial" w:hAnsi="Arial"/>
                <w:sz w:val="18"/>
                <w:szCs w:val="18"/>
                <w:color w:val="auto"/>
              </w:rPr>
              <w:t>JACK HENRY &amp; ASSOCIATES, INC.</w:t>
            </w:r>
          </w:p>
        </w:tc>
      </w:tr>
      <w:tr>
        <w:trPr>
          <w:trHeight w:val="445"/>
        </w:trPr>
        <w:tc>
          <w:tcPr>
            <w:tcW w:w="6240" w:type="dxa"/>
            <w:vAlign w:val="bottom"/>
          </w:tcPr>
          <w:p>
            <w:pPr>
              <w:spacing w:after="0"/>
              <w:rPr>
                <w:sz w:val="20"/>
                <w:szCs w:val="20"/>
                <w:color w:val="auto"/>
              </w:rPr>
            </w:pPr>
            <w:r>
              <w:rPr>
                <w:rFonts w:ascii="Arial" w:cs="Arial" w:eastAsia="Arial" w:hAnsi="Arial"/>
                <w:sz w:val="18"/>
                <w:szCs w:val="18"/>
                <w:color w:val="auto"/>
              </w:rPr>
              <w:t>Date: February 9, 2022</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David B. Foss</w:t>
            </w:r>
          </w:p>
        </w:tc>
        <w:tc>
          <w:tcPr>
            <w:tcW w:w="1820" w:type="dxa"/>
            <w:vAlign w:val="bottom"/>
            <w:gridSpan w:val="2"/>
          </w:tcPr>
          <w:p>
            <w:pPr>
              <w:spacing w:after="0"/>
              <w:rPr>
                <w:sz w:val="24"/>
                <w:szCs w:val="24"/>
                <w:color w:val="auto"/>
              </w:rPr>
            </w:pPr>
          </w:p>
        </w:tc>
      </w:tr>
      <w:tr>
        <w:trPr>
          <w:trHeight w:val="250"/>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David B. Foss</w:t>
            </w:r>
          </w:p>
        </w:tc>
      </w:tr>
      <w:tr>
        <w:trPr>
          <w:trHeight w:val="229"/>
        </w:trPr>
        <w:tc>
          <w:tcPr>
            <w:tcW w:w="624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Board Chair and Chief Executive Officer</w:t>
            </w:r>
          </w:p>
        </w:tc>
      </w:tr>
      <w:tr>
        <w:trPr>
          <w:trHeight w:val="445"/>
        </w:trPr>
        <w:tc>
          <w:tcPr>
            <w:tcW w:w="6240" w:type="dxa"/>
            <w:vAlign w:val="bottom"/>
          </w:tcPr>
          <w:p>
            <w:pPr>
              <w:spacing w:after="0"/>
              <w:rPr>
                <w:sz w:val="20"/>
                <w:szCs w:val="20"/>
                <w:color w:val="auto"/>
              </w:rPr>
            </w:pPr>
            <w:r>
              <w:rPr>
                <w:rFonts w:ascii="Arial" w:cs="Arial" w:eastAsia="Arial" w:hAnsi="Arial"/>
                <w:sz w:val="18"/>
                <w:szCs w:val="18"/>
                <w:color w:val="auto"/>
              </w:rPr>
              <w:t>Date: February 9, 2022</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Kevin D. Williams</w:t>
            </w:r>
          </w:p>
        </w:tc>
        <w:tc>
          <w:tcPr>
            <w:tcW w:w="1540" w:type="dxa"/>
            <w:vAlign w:val="bottom"/>
          </w:tcPr>
          <w:p>
            <w:pPr>
              <w:spacing w:after="0"/>
              <w:rPr>
                <w:sz w:val="24"/>
                <w:szCs w:val="24"/>
                <w:color w:val="auto"/>
              </w:rPr>
            </w:pPr>
          </w:p>
        </w:tc>
      </w:tr>
      <w:tr>
        <w:trPr>
          <w:trHeight w:val="250"/>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Kevin D. Williams</w:t>
            </w:r>
          </w:p>
        </w:tc>
      </w:tr>
      <w:tr>
        <w:trPr>
          <w:trHeight w:val="229"/>
        </w:trPr>
        <w:tc>
          <w:tcPr>
            <w:tcW w:w="624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EXHIBIT 31.1</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56" w:lineRule="auto"/>
        <w:tabs>
          <w:tab w:leader="none" w:pos="20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Arial" w:cs="Arial" w:eastAsia="Arial" w:hAnsi="Arial"/>
          <w:sz w:val="18"/>
          <w:szCs w:val="18"/>
          <w:color w:val="auto"/>
        </w:rPr>
      </w:pPr>
    </w:p>
    <w:p>
      <w:pPr>
        <w:ind w:firstLine="8"/>
        <w:spacing w:after="0" w:line="261" w:lineRule="auto"/>
        <w:tabs>
          <w:tab w:leader="none" w:pos="22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jc w:val="both"/>
        <w:ind w:right="20" w:firstLine="8"/>
        <w:spacing w:after="0" w:line="256" w:lineRule="auto"/>
        <w:tabs>
          <w:tab w:leader="none" w:pos="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firstLine="8"/>
        <w:spacing w:after="0" w:line="256"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right="20" w:firstLine="8"/>
        <w:spacing w:after="0" w:line="261" w:lineRule="auto"/>
        <w:tabs>
          <w:tab w:leader="none" w:pos="211"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56" w:lineRule="auto"/>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sz w:val="20"/>
          <w:szCs w:val="20"/>
          <w:color w:val="auto"/>
        </w:rPr>
      </w:pPr>
    </w:p>
    <w:p>
      <w:pPr>
        <w:jc w:val="both"/>
        <w:ind w:firstLine="8"/>
        <w:spacing w:after="0" w:line="256"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sz w:val="20"/>
          <w:szCs w:val="20"/>
          <w:color w:val="auto"/>
        </w:rPr>
      </w:pPr>
    </w:p>
    <w:p>
      <w:pPr>
        <w:ind w:right="20" w:firstLine="8"/>
        <w:spacing w:after="0" w:line="261" w:lineRule="auto"/>
        <w:tabs>
          <w:tab w:leader="none" w:pos="2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0" w:firstLine="8"/>
        <w:spacing w:after="0" w:line="261"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EXHIBIT 31.2</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Kevin D. Williams, certify that:</w:t>
      </w:r>
    </w:p>
    <w:p>
      <w:pPr>
        <w:spacing w:after="0" w:line="7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56" w:lineRule="auto"/>
        <w:tabs>
          <w:tab w:leader="none" w:pos="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Arial" w:cs="Arial" w:eastAsia="Arial" w:hAnsi="Arial"/>
          <w:sz w:val="18"/>
          <w:szCs w:val="18"/>
          <w:color w:val="auto"/>
        </w:rPr>
      </w:pPr>
    </w:p>
    <w:p>
      <w:pPr>
        <w:ind w:firstLine="8"/>
        <w:spacing w:after="0" w:line="261" w:lineRule="auto"/>
        <w:tabs>
          <w:tab w:leader="none" w:pos="2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jc w:val="both"/>
        <w:ind w:right="20" w:firstLine="8"/>
        <w:spacing w:after="0" w:line="256" w:lineRule="auto"/>
        <w:tabs>
          <w:tab w:leader="none" w:pos="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firstLine="8"/>
        <w:spacing w:after="0" w:line="256"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right="20" w:firstLine="8"/>
        <w:spacing w:after="0" w:line="261" w:lineRule="auto"/>
        <w:tabs>
          <w:tab w:leader="none" w:pos="2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56" w:lineRule="auto"/>
        <w:tabs>
          <w:tab w:leader="none" w:pos="2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sz w:val="20"/>
          <w:szCs w:val="20"/>
          <w:color w:val="auto"/>
        </w:rPr>
      </w:pPr>
    </w:p>
    <w:p>
      <w:pPr>
        <w:jc w:val="both"/>
        <w:ind w:firstLine="8"/>
        <w:spacing w:after="0" w:line="256"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sz w:val="20"/>
          <w:szCs w:val="20"/>
          <w:color w:val="auto"/>
        </w:rPr>
      </w:pPr>
    </w:p>
    <w:p>
      <w:pPr>
        <w:ind w:right="20" w:firstLine="8"/>
        <w:spacing w:after="0" w:line="261" w:lineRule="auto"/>
        <w:tabs>
          <w:tab w:leader="none" w:pos="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0" w:firstLine="8"/>
        <w:spacing w:after="0" w:line="261" w:lineRule="auto"/>
        <w:tabs>
          <w:tab w:leader="none" w:pos="2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Kevin D. Williams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7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10-Q of the Company for the six month period ended December 31, 2021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9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six month period ended December 31, 2021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6350</wp:posOffset>
            </wp:positionV>
            <wp:extent cx="1637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Kevin D. Williams</w:t>
      </w:r>
    </w:p>
    <w:p>
      <w:pPr>
        <w:spacing w:after="0" w:line="2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2022-02-09T14:55:37Z</dcterms:created>
  <dcterms:modified xsi:type="dcterms:W3CDTF">2022-02-09T14:55:37Z</dcterms:modified>
</cp:coreProperties>
</file>