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7"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8"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September 30, 2023</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68"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1"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0"/>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1"/>
                <w:szCs w:val="21"/>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2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bl>
    <w:p>
      <w:pPr>
        <w:spacing w:after="0" w:line="162"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27, 2023, the Registrant had 72,828,202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4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September 30, 2023, and June 30, 2023 (Unaudited)</w:t>
            </w:r>
          </w:p>
        </w:tc>
        <w:tc>
          <w:tcPr>
            <w:tcW w:w="184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Months Ended September 30, 2023</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2022 (Unaudited)</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7"/>
                <w:szCs w:val="17"/>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Months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Ended September 30, 2023 and 2022 (Unaudited)</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0000FF"/>
              </w:rPr>
              <w:t>6</w:t>
            </w:r>
          </w:p>
        </w:tc>
        <w:tc>
          <w:tcPr>
            <w:tcW w:w="20" w:type="dxa"/>
            <w:vAlign w:val="bottom"/>
          </w:tcPr>
          <w:p>
            <w:pPr>
              <w:spacing w:after="0"/>
              <w:rPr>
                <w:sz w:val="17"/>
                <w:szCs w:val="17"/>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Three Months Ended September 30,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2023 and 2022 (Unaudited)</w:t>
            </w:r>
          </w:p>
        </w:tc>
        <w:tc>
          <w:tcPr>
            <w:tcW w:w="17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2" w:lineRule="exact"/>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17"/>
                <w:szCs w:val="17"/>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27</w:t>
            </w:r>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24"/>
                <w:szCs w:val="24"/>
                <w:color w:val="auto"/>
              </w:rPr>
            </w:pPr>
          </w:p>
        </w:tc>
      </w:tr>
    </w:tbl>
    <w:p>
      <w:pPr>
        <w:spacing w:after="0" w:line="3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2023,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ectPr>
          <w:pgSz w:w="11900" w:h="16838" w:orient="portrait"/>
          <w:cols w:equalWidth="0" w:num="1">
            <w:col w:w="10139"/>
          </w:cols>
          <w:pgMar w:left="320" w:top="1305" w:right="1440" w:bottom="6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622"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00" w:type="dxa"/>
            <w:vAlign w:val="bottom"/>
          </w:tcPr>
          <w:p>
            <w:pPr>
              <w:spacing w:after="0"/>
              <w:rPr>
                <w:sz w:val="19"/>
                <w:szCs w:val="19"/>
                <w:color w:val="auto"/>
              </w:rPr>
            </w:pPr>
          </w:p>
        </w:tc>
        <w:tc>
          <w:tcPr>
            <w:tcW w:w="1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288,733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361,252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163,670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169,178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77,766</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563,496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627,962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574,143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565,714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322,698</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63,335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65,528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1,967,880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1,940,200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2,734,223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157,945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172,629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261,656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331,974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523,759</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234,254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244,431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603,710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641,557</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1,074,275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1,165,316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2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rPr>
              <w:t>104,144,549 shares issued at September 30, 2023;</w:t>
            </w:r>
          </w:p>
        </w:tc>
        <w:tc>
          <w:tcPr>
            <w:tcW w:w="2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104,088,784 shares issued at June 30, 2023</w:t>
            </w:r>
          </w:p>
        </w:tc>
        <w:tc>
          <w:tcPr>
            <w:tcW w:w="20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591,458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583,836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2,919,567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2,855,751</w:t>
            </w:r>
          </w:p>
        </w:tc>
        <w:tc>
          <w:tcPr>
            <w:tcW w:w="0" w:type="dxa"/>
            <w:vAlign w:val="bottom"/>
          </w:tcPr>
          <w:p>
            <w:pPr>
              <w:spacing w:after="0"/>
              <w:rPr>
                <w:sz w:val="1"/>
                <w:szCs w:val="1"/>
                <w:color w:val="auto"/>
              </w:rPr>
            </w:pPr>
          </w:p>
        </w:tc>
      </w:tr>
      <w:tr>
        <w:trPr>
          <w:trHeight w:val="176"/>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400"/>
              <w:spacing w:after="0" w:line="189" w:lineRule="exact"/>
              <w:rPr>
                <w:sz w:val="20"/>
                <w:szCs w:val="20"/>
                <w:color w:val="auto"/>
              </w:rPr>
            </w:pPr>
            <w:r>
              <w:rPr>
                <w:rFonts w:ascii="Arial" w:cs="Arial" w:eastAsia="Arial" w:hAnsi="Arial"/>
                <w:sz w:val="18"/>
                <w:szCs w:val="18"/>
                <w:color w:val="auto"/>
              </w:rPr>
              <w:t>31,323,119 shares at September 30, 2023;</w:t>
            </w: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31,194,351 shares at June 30, 2023</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(1,832,118)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1,659,948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1,608,510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2,734,223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gridSpan w:val="3"/>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58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380" w:type="dxa"/>
            <w:vAlign w:val="bottom"/>
            <w:gridSpan w:val="2"/>
          </w:tcPr>
          <w:p>
            <w:pPr>
              <w:jc w:val="center"/>
              <w:ind w:right="730"/>
              <w:spacing w:after="0"/>
              <w:rPr>
                <w:sz w:val="20"/>
                <w:szCs w:val="20"/>
                <w:color w:val="auto"/>
              </w:rPr>
            </w:pPr>
            <w:r>
              <w:rPr>
                <w:rFonts w:ascii="Arial" w:cs="Arial" w:eastAsia="Arial" w:hAnsi="Arial"/>
                <w:sz w:val="18"/>
                <w:szCs w:val="18"/>
                <w:color w:val="auto"/>
              </w:rPr>
              <w:t>(In Thousands, Except Per Share Data)</w:t>
            </w:r>
          </w:p>
        </w:tc>
        <w:tc>
          <w:tcPr>
            <w:tcW w:w="302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571,368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529,202</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323,002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298,261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32,993</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78,774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57,225</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9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438,668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388,479</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140,723</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133,248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139,299</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31,569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9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101,679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106,549</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43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72,869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72,896</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1"/>
        </w:trPr>
        <w:tc>
          <w:tcPr>
            <w:tcW w:w="38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 xml:space="preserve">JACK HENRY &amp; ASSOCIATES, INC. AND SUBSIDIARIES CONDENSED CONSOLIDATED STATEMENTS OF CHANGES IN STOCKHOLDERS' EQUITY (Unaudited) </w:t>
      </w:r>
      <w:r>
        <w:rPr>
          <w:rFonts w:ascii="Arial" w:cs="Arial" w:eastAsia="Arial" w:hAnsi="Arial"/>
          <w:sz w:val="18"/>
          <w:szCs w:val="18"/>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9"/>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104,088,784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103,921,724</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w:t>
            </w:r>
          </w:p>
        </w:tc>
      </w:tr>
      <w:tr>
        <w:trPr>
          <w:trHeight w:val="22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r>
      <w:tr>
        <w:trPr>
          <w:trHeight w:val="248"/>
        </w:trPr>
        <w:tc>
          <w:tcPr>
            <w:tcW w:w="8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104,144,549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103,953,128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r>
      <w:tr>
        <w:trPr>
          <w:trHeight w:val="250"/>
        </w:trPr>
        <w:tc>
          <w:tcPr>
            <w:tcW w:w="8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583,836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551,360</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r>
      <w:tr>
        <w:trPr>
          <w:trHeight w:val="223"/>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591,458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560,034</w:t>
            </w:r>
          </w:p>
        </w:tc>
      </w:tr>
      <w:tr>
        <w:trPr>
          <w:trHeight w:val="250"/>
        </w:trPr>
        <w:tc>
          <w:tcPr>
            <w:tcW w:w="8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2,855,751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2,636,342</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106,549</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(35,709)</w:t>
            </w:r>
          </w:p>
        </w:tc>
      </w:tr>
      <w:tr>
        <w:trPr>
          <w:trHeight w:val="223"/>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2,919,567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2,707,182</w:t>
            </w:r>
          </w:p>
        </w:tc>
      </w:tr>
      <w:tr>
        <w:trPr>
          <w:trHeight w:val="250"/>
        </w:trPr>
        <w:tc>
          <w:tcPr>
            <w:tcW w:w="8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(1,832,118)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(1,807,118)</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(1,852,118)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(1,807,118)</w:t>
            </w:r>
          </w:p>
        </w:tc>
      </w:tr>
      <w:tr>
        <w:trPr>
          <w:trHeight w:val="250"/>
        </w:trPr>
        <w:tc>
          <w:tcPr>
            <w:tcW w:w="82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1,659,948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1,461,138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1"/>
        </w:trPr>
        <w:tc>
          <w:tcPr>
            <w:tcW w:w="82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19"/>
                <w:szCs w:val="19"/>
                <w:color w:val="auto"/>
              </w:rPr>
            </w:pPr>
          </w:p>
        </w:tc>
        <w:tc>
          <w:tcPr>
            <w:tcW w:w="302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426"/>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101,679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106,549</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(10,178)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72,519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101,509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(45,265)</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39,044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(66,322)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(65,130)</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157,139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136,831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(228,986)</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(7,612)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26,252</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(41,486)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(38,715)</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(50,526)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(249,594)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(165,000)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(150,022)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(37,863)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(35,709)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(87,389)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95,946</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19,224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(16,817)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20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58"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7,500 financial institutions and diverse corporate entities.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1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condensed consolidated financial statements include the accounts of Jack Henry and all of its subsidiaries, which are wholly owned, and all intercompany accounts and transactions have been eliminated.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months ended September 30, 2023 and 2022, equals the Company’s net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60" w:type="dxa"/>
            <w:vAlign w:val="bottom"/>
            <w:gridSpan w:val="6"/>
          </w:tcPr>
          <w:p>
            <w:pPr>
              <w:spacing w:after="0"/>
              <w:rPr>
                <w:sz w:val="20"/>
                <w:szCs w:val="20"/>
                <w:color w:val="auto"/>
              </w:rPr>
            </w:pPr>
            <w:r>
              <w:rPr>
                <w:rFonts w:ascii="Arial" w:cs="Arial" w:eastAsia="Arial" w:hAnsi="Arial"/>
                <w:sz w:val="18"/>
                <w:szCs w:val="18"/>
                <w:color w:val="auto"/>
              </w:rPr>
              <w:t>The following table summarizes allowance for credit losses activity for the fiscal quarter ended September 30, 2023:</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7"/>
        </w:trPr>
        <w:tc>
          <w:tcPr>
            <w:tcW w:w="7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8"/>
                <w:szCs w:val="18"/>
                <w:color w:val="auto"/>
              </w:rPr>
              <w:t>Three Months Ended September 30,</w:t>
            </w:r>
          </w:p>
        </w:tc>
      </w:tr>
      <w:tr>
        <w:trPr>
          <w:trHeight w:val="183"/>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ind w:right="61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2"/>
          </w:tcPr>
          <w:p>
            <w:pPr>
              <w:jc w:val="right"/>
              <w:ind w:right="720"/>
              <w:spacing w:after="0" w:line="182" w:lineRule="exact"/>
              <w:rPr>
                <w:sz w:val="20"/>
                <w:szCs w:val="20"/>
                <w:color w:val="auto"/>
              </w:rPr>
            </w:pPr>
            <w:r>
              <w:rPr>
                <w:rFonts w:ascii="Arial" w:cs="Arial" w:eastAsia="Arial" w:hAnsi="Arial"/>
                <w:sz w:val="18"/>
                <w:szCs w:val="18"/>
                <w:color w:val="auto"/>
                <w:w w:val="94"/>
              </w:rPr>
              <w:t>2022</w:t>
            </w:r>
          </w:p>
        </w:tc>
      </w:tr>
      <w:tr>
        <w:trPr>
          <w:trHeight w:val="20"/>
        </w:trPr>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2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480</w:t>
            </w: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2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8,204</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8,030</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 Accumulated depreciation at September 30, 2023, totaled $476,923 and at June 30, 2023, totaled $466,711.</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$1,187,086 and $1,149,913 at September 30, 2023, and June 30, 2023,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2023, and June 30, 2023, the Company had an investment in the preferred stock of Autobooks, Inc. ("Autobooks") of $18,250, which represented a non-controlling share of the voting equity as of that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2023, there were 31,323 shares in treasury stock and the Company had the remaining authority to repurchase up to 3,667 additional shares. The total cost of treasury shares at September 30, 2023, was $1,852,118. During the first three months of fiscal 2024, the Company repurchased 129 shares. At June 30, 2023, there were 31,194 shares in treasury stock and the Company had the remaining authority to repurchase up to 3,796 additional shares. The total cost of treasury shares at June 30, 2023, was $1,832,118 and the Company repurchased no shares during the first three months of fiscal 2023.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2023.</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September 30, 2023, the results of its operations for the three months ended September 30, 2023 and 2022, changes in stockholders' equity for the three months ended September 30, 2023 and 2022, and its cash flows for the three months ended September 30, 2023 and 2022. The condensed consolidated balance sheet at June 30, 2023, was derived from audited annual financial statements, but does not contain all of the footnote disclosures from the annual financial statements.</w:t>
      </w:r>
    </w:p>
    <w:p>
      <w:pPr>
        <w:spacing w:after="0" w:line="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results of operations for the three months ended September 30, 2023, are not necessarily indicative of the results to be expected for the entire fiscal year.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accounting policies followed by the Company are set forth in Note 1 to the Company's consolidated financial statements included in its Form 10-K for the fiscal year ended June 30, 2023. For the three months ended September 30, 2023, there have been no new or material changes to the significant accounting policies discussed in the Company’s Form 10-K for the fiscal year ended June 30, 2023, that are of significance, or potential significance, to the Company.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adopted the ASU effective July 1, 2023, and will apply it prospectively to business combinations occurring after that date.</w:t>
      </w:r>
    </w:p>
    <w:p>
      <w:pPr>
        <w:spacing w:after="0" w:line="1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generates revenue from data processing and hosting, transaction processing, software licensing and related services, professional services, and hardware sales.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tables below present the Company's revenue disaggregated by type of revenue. Refer to Note 11,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382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color w:val="auto"/>
              </w:rPr>
              <w:t>Three Months Ended September 30,</w:t>
            </w:r>
          </w:p>
        </w:tc>
      </w:tr>
      <w:tr>
        <w:trPr>
          <w:trHeight w:val="183"/>
        </w:trPr>
        <w:tc>
          <w:tcPr>
            <w:tcW w:w="7420" w:type="dxa"/>
            <w:vAlign w:val="bottom"/>
          </w:tcPr>
          <w:p>
            <w:pPr>
              <w:spacing w:after="0"/>
              <w:rPr>
                <w:sz w:val="15"/>
                <w:szCs w:val="15"/>
                <w:color w:val="auto"/>
              </w:rPr>
            </w:pPr>
          </w:p>
        </w:tc>
        <w:tc>
          <w:tcPr>
            <w:tcW w:w="1200" w:type="dxa"/>
            <w:vAlign w:val="bottom"/>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2023</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jc w:val="right"/>
              <w:ind w:right="700"/>
              <w:spacing w:after="0" w:line="182" w:lineRule="exact"/>
              <w:rPr>
                <w:sz w:val="20"/>
                <w:szCs w:val="20"/>
                <w:color w:val="auto"/>
              </w:rPr>
            </w:pPr>
            <w:r>
              <w:rPr>
                <w:rFonts w:ascii="Arial" w:cs="Arial" w:eastAsia="Arial" w:hAnsi="Arial"/>
                <w:sz w:val="18"/>
                <w:szCs w:val="18"/>
                <w:color w:val="auto"/>
                <w:w w:val="94"/>
              </w:rPr>
              <w:t>2022</w:t>
            </w:r>
          </w:p>
        </w:tc>
      </w:tr>
      <w:tr>
        <w:trPr>
          <w:trHeight w:val="21"/>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148,999</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60,839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57,523</w:t>
            </w: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117,877</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113,627</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342,205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320,149</w:t>
            </w:r>
          </w:p>
        </w:tc>
      </w:tr>
      <w:tr>
        <w:trPr>
          <w:trHeight w:val="216"/>
        </w:trPr>
        <w:tc>
          <w:tcPr>
            <w:tcW w:w="7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229,163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209,053</w:t>
            </w:r>
          </w:p>
        </w:tc>
      </w:tr>
      <w:tr>
        <w:trPr>
          <w:trHeight w:val="216"/>
        </w:trPr>
        <w:tc>
          <w:tcPr>
            <w:tcW w:w="7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571,368</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529,202</w:t>
            </w:r>
          </w:p>
        </w:tc>
      </w:tr>
      <w:tr>
        <w:trPr>
          <w:trHeight w:val="21"/>
        </w:trPr>
        <w:tc>
          <w:tcPr>
            <w:tcW w:w="7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361,252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27,926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26,711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261,656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331,974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r>
    </w:tbl>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months ended September 30, 2023, and 2022, the Company recognized revenue of $99,220 and $97,990, respectively, that was included in the corresponding deferred revenue balance at the beginning of the periods.</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estimated revenue expected to be recognized in the future related to performance obligations that are unsatisfied (or partially unsatisfied) at the end of the reporting period totaled $3,563,944. The Company expects to recognize approximately 25% over the next 12 months, 19% in 13-24 months, and the balance thereafter.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$450,294 and $442,012, at September 30, 2023, and June 30, 2023, respectively.</w:t>
      </w:r>
    </w:p>
    <w:p>
      <w:pPr>
        <w:spacing w:after="0" w:line="9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For the three months ended September 30, 2023, and 2022, amortization of deferred contract costs totaled $50,537 and $41,980, respectively. There were no impairment losses in relation to capitalized costs for the periods presented.</w:t>
      </w: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75"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Total Fair</w:t>
            </w:r>
          </w:p>
        </w:tc>
      </w:tr>
      <w:tr>
        <w:trPr>
          <w:trHeight w:val="223"/>
        </w:trPr>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2,255</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2,255</w:t>
            </w: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245,000</w:t>
            </w: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60" w:type="dxa"/>
            <w:vAlign w:val="bottom"/>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tcPr>
          <w:p>
            <w:pPr>
              <w:spacing w:after="0"/>
              <w:rPr>
                <w:sz w:val="19"/>
                <w:szCs w:val="19"/>
                <w:color w:val="auto"/>
              </w:rPr>
            </w:pPr>
          </w:p>
        </w:tc>
      </w:tr>
      <w:tr>
        <w:trPr>
          <w:trHeight w:val="864"/>
        </w:trPr>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leases certain office space, data centers, and equipment with remaining terms of 3 months to 10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September 30, 2023, and June 30, 2023, the Company had operating lease assets of $41,564 and $43,662, respectively. At September 30, 2023, total operating lease liabilities of $ 47,555 were comprised of current operating lease liabilities of $9,571 and noncurrent operating lease liabilities of $37,984. At June 30, 2023, total operating lease liabilities of $50,269 were comprised of current operating lease liabilities of $9,776 and noncurrent operating lease liabilities of $40,493.</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$28,077 and $34,973 as of September 30, 2023, and June 30, 2023, respectively.</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lease costs for the three months ended September 30, 2023, and 2022, were $2,468 and $3,059, respectively. Total operating lease costs for the respective quarters included variable lease costs of $544 and $923, respectively. Operating lease expense are included within cost of services, research and development, and selling, general and administrative expense, dependent upon the nature and use of the ROU asset, in the Company’s condensed consolidated statements of income.</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 months ended September 30, 2023, and 2022, the Company had operating cash flows for payments on operating leases of $2,171 and $3,110, and ROU assets obtained in exchange for operating lease liabilities of $0 and $2,296, respectively.</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2023, and June 30, 2023, the weighted-average remaining lease term for the Company's operating leases was 80 months and 78 months, and the weighted-average discount rate was 2.09% and 2.14%, respectively.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19"/>
                <w:szCs w:val="19"/>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8,413</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7,157</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50,806</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Future lease payments include $5,464 related to options to extend lease terms that are reasonably certain of being exercised. At September 30, 2023, there were no legally binding lease payments for leases signed but not yet commenced.</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At September 30, 2023, there were $3,852 of legally binding lease payments due from the third party for the lease signed but not yet commenced. The commencement date of the sublease is October 1, 2023, and has a term of 57 months.</w:t>
      </w:r>
    </w:p>
    <w:p>
      <w:pPr>
        <w:spacing w:after="0" w:line="1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2023, the Company was in compliance with all such covenants. The amended and restated credit facility terminates August 31, 2027. There was $65,000 and $95,000 outstanding under the amended and restated credit facility at September 30, 2023 and June 30, 2023,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 May 16, 2023, the Company entered into a term loan credit agreement with a syndicate of financial institutions, with an original principal balance of $180,000. Borrowings under the term loan facility bear interest at a variable rate equal to (a) a rate based on an adjusted SOFR</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September 30, 2023, the Company was in compliance with all such covenants. The term loan credit agreement has a maturity date of May 16, 2025. There was $180,000 outstanding under the term loan at September 30, 2023 and June 30,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expires on April 30, 2025. There was no balance outstanding at September 30, 2023, or June 30,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$3,509 and $1,333 during the three months ended September 30, 2023, and 2022, respectively.</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9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effective tax rate increased for the three months ended September 30, 2023, compared to the three months ended September 30, 2022, with an effective tax rate of 23.7% of income before income taxes, compared to 23.5% in the prior fiscal year quarter.</w:t>
      </w:r>
    </w:p>
    <w:p>
      <w:pPr>
        <w:spacing w:after="0" w:line="52"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The Company paid income taxes, net of refunds, of $2,569 and $2,828 in the three months ended September 30, 2023, and 2022, respectively.</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Company had $12,676 of gross unrecognized tax benefits before interest and penalties, $11,051 of which, if recognized, would affect our effective tax rate. The Company had accrued interest and penalties of $2,046 and $1,360 related to uncertain tax positions at September 30, 2023, and 2022, respectively.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federal income tax returns for fiscal 2020 and all subsequent years remain subject to examination as of September 30, 2023, under statute of limitations rules. The U.S. state income tax returns that remain subject to examination as of September 30, 2023, under the statute of limitation rules varies by state jurisdiction from fiscal 2016 through 2019 and all subsequent years. The Company anticipates potential changes due to lapsing of statutes of limitations, and examination closures could reduce the unrecognized tax benefits balance by $1,500 to $4,500 within twelve months of September 30, 2023.</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operating income for the three months ended September 30, 2023, and 2022, included $7,148 and $6,998 of stock-based compensation costs, respectively.</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2015 EIP,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months ended September 30, 2023, there were no options granted, forfeited, or exercised. At September 30, 2023, 12 options were outstanding at a weighted average exercise price of $87.27 with an aggregate intrinsic value of $746.</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September 30, 2023, there was no compensation cost yet to be recognized related to outstanding options. All of the options are currently exercisable, with a weighted average remaining contractual term (remaining period of exercisability) of 2.75 years as of September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unit awards under the 2015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restricted stock unit awards and performance awards as of September 30,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80" w:type="dxa"/>
            <w:vAlign w:val="bottom"/>
            <w:vMerge w:val="restart"/>
          </w:tcPr>
          <w:p>
            <w:pPr>
              <w:spacing w:after="0"/>
              <w:rPr>
                <w:sz w:val="17"/>
                <w:szCs w:val="17"/>
                <w:color w:val="auto"/>
              </w:rPr>
            </w:pP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9"/>
        </w:trPr>
        <w:tc>
          <w:tcPr>
            <w:tcW w:w="4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Date Fair Value</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190.08</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180.61</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190.80</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201.87</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September 30, 2023</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185.42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55,724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at 100% achievement.</w:t>
      </w:r>
    </w:p>
    <w:p>
      <w:pPr>
        <w:jc w:val="both"/>
        <w:spacing w:after="0" w:line="278"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Of the 142 unit awards granted in fiscal 2024, 84 were restricted stock unit awards and 58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23 of the performance unit awards granted in fiscal 2024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35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made up of participants approved by the Compensation Committee of the Company's Board of Directors for fiscal year 2024. The Monte Carlo inputs used in the model to estimate fair value at the measurement date and resulting values for these performance unit awards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2024</w:t>
            </w:r>
          </w:p>
        </w:tc>
      </w:tr>
      <w:tr>
        <w:trPr>
          <w:trHeight w:val="230"/>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25.6 %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4.48 %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74.0 %</w:t>
            </w:r>
          </w:p>
        </w:tc>
      </w:tr>
    </w:tbl>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September 30, 2023, there was $ 38,164 of compensation expense that has yet to be recognized related to non-vested restricted stock unit awards, which will be recognized over a weighted average period of 1.46 years.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60" w:type="dxa"/>
            <w:vAlign w:val="bottom"/>
          </w:tcPr>
          <w:p>
            <w:pPr>
              <w:spacing w:after="0"/>
              <w:rPr>
                <w:sz w:val="20"/>
                <w:szCs w:val="20"/>
                <w:color w:val="auto"/>
              </w:rPr>
            </w:pPr>
            <w:r>
              <w:rPr>
                <w:rFonts w:ascii="Arial" w:cs="Arial" w:eastAsia="Arial" w:hAnsi="Arial"/>
                <w:sz w:val="18"/>
                <w:szCs w:val="18"/>
                <w:color w:val="auto"/>
              </w:rPr>
              <w:t>NOTE 9.  EARNINGS PER SHARE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97"/>
        </w:trPr>
        <w:tc>
          <w:tcPr>
            <w:tcW w:w="8460" w:type="dxa"/>
            <w:vAlign w:val="bottom"/>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8"/>
        </w:trPr>
        <w:tc>
          <w:tcPr>
            <w:tcW w:w="8460" w:type="dxa"/>
            <w:vAlign w:val="bottom"/>
          </w:tcPr>
          <w:p>
            <w:pPr>
              <w:spacing w:after="0"/>
              <w:rPr>
                <w:sz w:val="24"/>
                <w:szCs w:val="24"/>
                <w:color w:val="auto"/>
              </w:rPr>
            </w:pPr>
          </w:p>
        </w:tc>
        <w:tc>
          <w:tcPr>
            <w:tcW w:w="2780" w:type="dxa"/>
            <w:vAlign w:val="bottom"/>
            <w:gridSpan w:val="9"/>
          </w:tcPr>
          <w:p>
            <w:pPr>
              <w:jc w:val="right"/>
              <w:ind w:right="80"/>
              <w:spacing w:after="0"/>
              <w:rPr>
                <w:sz w:val="20"/>
                <w:szCs w:val="20"/>
                <w:color w:val="auto"/>
              </w:rPr>
            </w:pPr>
            <w:r>
              <w:rPr>
                <w:rFonts w:ascii="Arial" w:cs="Arial" w:eastAsia="Arial" w:hAnsi="Arial"/>
                <w:sz w:val="18"/>
                <w:szCs w:val="18"/>
                <w:color w:val="auto"/>
              </w:rPr>
              <w:t>Three Months Ended September</w:t>
            </w:r>
          </w:p>
        </w:tc>
      </w:tr>
      <w:tr>
        <w:trPr>
          <w:trHeight w:val="236"/>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r>
      <w:tr>
        <w:trPr>
          <w:trHeight w:val="189"/>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w w:val="94"/>
              </w:rPr>
              <w:t>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4"/>
              </w:rPr>
              <w:t>2022</w:t>
            </w:r>
          </w:p>
        </w:tc>
        <w:tc>
          <w:tcPr>
            <w:tcW w:w="460" w:type="dxa"/>
            <w:vAlign w:val="bottom"/>
          </w:tcPr>
          <w:p>
            <w:pPr>
              <w:spacing w:after="0"/>
              <w:rPr>
                <w:sz w:val="16"/>
                <w:szCs w:val="16"/>
                <w:color w:val="auto"/>
              </w:rPr>
            </w:pPr>
          </w:p>
        </w:tc>
      </w:tr>
      <w:tr>
        <w:trPr>
          <w:trHeight w:val="250"/>
        </w:trPr>
        <w:tc>
          <w:tcPr>
            <w:tcW w:w="8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101,679</w:t>
            </w: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106,549</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3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72,869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72,896</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restricted stock units, and performance units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73,014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73,138</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r>
      <w:tr>
        <w:trPr>
          <w:trHeight w:val="251"/>
        </w:trPr>
        <w:tc>
          <w:tcPr>
            <w:tcW w:w="84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1.39</w:t>
            </w: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r>
    </w:tbl>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months ended September 30, 2023, and 2022. Stock options, restricted stock units, and performance units have been included in the calculation of earnings per share to the extent they are dilutive. There were nominal and 11 anti-dilutive stock options, restricted stock units, or performance units excluded for the three months ended September 30, 2023 and 2022, respectively.</w:t>
      </w:r>
    </w:p>
    <w:p>
      <w:pPr>
        <w:spacing w:after="0" w:line="12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tab/>
        <w:t>BUSINESS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August 31, 2022, the Company acquired all of the equity interest in Payrailz, LLC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adjustments, and $46,000 for</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indemnification matters under the merger agreement, which amount was released to the sellers during the three months ended September 30, 2023.</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(Note 6) and cash generated from operations. Payrailz provides cloud-native, API-first, AI-enabled consumer and commercial digital payment solutions and experiences that enable money to be moved in the moment of need.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completed a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expected to be deductible for income tax purposes.</w:t>
      </w:r>
    </w:p>
    <w:p>
      <w:pPr>
        <w:spacing w:after="0" w:line="5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3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Company's condensed consolidated statements of income for the three months ended September 30, 2023 and 2022, included revenue of $2,896 and $738, respectively, and after-tax net loss of $5,059 and $1,870, respectively, resulting from Payrailz's operations.</w:t>
      </w:r>
    </w:p>
    <w:p>
      <w:pPr>
        <w:spacing w:after="0" w:line="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condensed consolidated statements of income for the three months ended September 30, 2023, and 2022, do not include any revenues and expenses related to this acquisition prior to the acquisition date. The following unaudited pro forma consolidated financial information for the three months ended September 30, 2023 and 2022, is presented as if this acquisition had occurred at the beginning of the prior period presented. The pro forma net income includes estimated incremental amortization expense of $1,957 for the three months ended September 30, 2022. In addition, this unaudited pro forma financial information is provided for illustrative purposes only and should not be relied upon as necessarily being indicative of the historical results that would have been obtained if the acquisition had actually occurred during this period, or the results that may be obtained in the future as a result of the acquisition.</w:t>
      </w:r>
    </w:p>
    <w:p>
      <w:pPr>
        <w:spacing w:after="0" w:line="94"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Three Months Ended</w:t>
      </w:r>
    </w:p>
    <w:p>
      <w:pPr>
        <w:jc w:val="center"/>
        <w:ind w:left="862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8"/>
                <w:szCs w:val="18"/>
                <w:b w:val="1"/>
                <w:bCs w:val="1"/>
                <w:color w:val="auto"/>
                <w:w w:val="94"/>
              </w:rPr>
              <w:t>2023</w:t>
            </w:r>
          </w:p>
        </w:tc>
        <w:tc>
          <w:tcPr>
            <w:tcW w:w="4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ind w:right="420"/>
              <w:spacing w:after="0" w:line="184" w:lineRule="exact"/>
              <w:rPr>
                <w:sz w:val="20"/>
                <w:szCs w:val="20"/>
                <w:color w:val="auto"/>
              </w:rPr>
            </w:pPr>
            <w:r>
              <w:rPr>
                <w:rFonts w:ascii="Arial" w:cs="Arial" w:eastAsia="Arial" w:hAnsi="Arial"/>
                <w:sz w:val="18"/>
                <w:szCs w:val="18"/>
                <w:color w:val="auto"/>
              </w:rPr>
              <w:t>2022</w:t>
            </w:r>
          </w:p>
        </w:tc>
      </w:tr>
      <w:tr>
        <w:trPr>
          <w:trHeight w:val="20"/>
        </w:trPr>
        <w:tc>
          <w:tcPr>
            <w:tcW w:w="9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1"/>
        </w:trPr>
        <w:tc>
          <w:tcPr>
            <w:tcW w:w="9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Actual</w:t>
            </w:r>
          </w:p>
        </w:tc>
        <w:tc>
          <w:tcPr>
            <w:tcW w:w="26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Pro forma</w:t>
            </w:r>
          </w:p>
        </w:tc>
      </w:tr>
      <w:tr>
        <w:trPr>
          <w:trHeight w:val="239"/>
        </w:trPr>
        <w:tc>
          <w:tcPr>
            <w:tcW w:w="980" w:type="dxa"/>
            <w:vAlign w:val="bottom"/>
          </w:tcPr>
          <w:p>
            <w:pPr>
              <w:ind w:left="20"/>
              <w:spacing w:after="0"/>
              <w:rPr>
                <w:sz w:val="20"/>
                <w:szCs w:val="20"/>
                <w:color w:val="auto"/>
              </w:rPr>
            </w:pPr>
            <w:r>
              <w:rPr>
                <w:rFonts w:ascii="Arial" w:cs="Arial" w:eastAsia="Arial" w:hAnsi="Arial"/>
                <w:sz w:val="18"/>
                <w:szCs w:val="18"/>
                <w:color w:val="auto"/>
              </w:rPr>
              <w:t>Revenue</w:t>
            </w:r>
          </w:p>
        </w:tc>
        <w:tc>
          <w:tcPr>
            <w:tcW w:w="7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571,368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530,829</w:t>
            </w:r>
          </w:p>
        </w:tc>
      </w:tr>
      <w:tr>
        <w:trPr>
          <w:trHeight w:val="230"/>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101,679</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102,012</w:t>
            </w:r>
          </w:p>
        </w:tc>
      </w:tr>
      <w:tr>
        <w:trPr>
          <w:trHeight w:val="445"/>
        </w:trPr>
        <w:tc>
          <w:tcPr>
            <w:tcW w:w="980" w:type="dxa"/>
            <w:vAlign w:val="bottom"/>
          </w:tcPr>
          <w:p>
            <w:pPr>
              <w:spacing w:after="0"/>
              <w:rPr>
                <w:sz w:val="20"/>
                <w:szCs w:val="20"/>
                <w:color w:val="auto"/>
              </w:rPr>
            </w:pPr>
            <w:r>
              <w:rPr>
                <w:rFonts w:ascii="Arial" w:cs="Arial" w:eastAsia="Arial" w:hAnsi="Arial"/>
                <w:sz w:val="18"/>
                <w:szCs w:val="18"/>
                <w:color w:val="auto"/>
              </w:rPr>
              <w:t>NOTE 11.</w:t>
            </w:r>
          </w:p>
        </w:tc>
        <w:tc>
          <w:tcPr>
            <w:tcW w:w="7900" w:type="dxa"/>
            <w:vAlign w:val="bottom"/>
            <w:gridSpan w:val="2"/>
          </w:tcPr>
          <w:p>
            <w:pPr>
              <w:jc w:val="right"/>
              <w:ind w:right="4460"/>
              <w:spacing w:after="0"/>
              <w:rPr>
                <w:sz w:val="20"/>
                <w:szCs w:val="20"/>
                <w:color w:val="auto"/>
              </w:rPr>
            </w:pPr>
            <w:r>
              <w:rPr>
                <w:rFonts w:ascii="Arial" w:cs="Arial" w:eastAsia="Arial" w:hAnsi="Arial"/>
                <w:sz w:val="18"/>
                <w:szCs w:val="18"/>
                <w:color w:val="auto"/>
                <w:w w:val="98"/>
              </w:rPr>
              <w:t>REPORTABLE SEGMENT INFORMATION</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3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is a leading provider of technology solutions and payment processing services primarily to community and regional financial institutions.</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call center support, network security management, consulting, and monitoring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Immaterial adjustments have been made between segments to reclassify revenue and cost of revenue that was recognized for the three months ended September 30, 2022. These reclasses were made to be consistent with the current allocation of revenue and cost of revenue by segment. Revenue reclassed for the three months ended September 30, 2022, from Core to Complementary and Corporate and Other was $351 and $1,457, respectively, from Payments to Complementary and Corporate and Other was $ 6 and $1, respectively, from Complementary to Corporate and Other was $293, and from Corporate and Other to Complementary was $2. Cost of revenue reclassed for the three months ended September 30, 2022, from Core to Corporate and Other was $ 1,636, from Payments to Complementary and Corporate and Other was $91 and $511, respectively, and from Complementary to Corporate and Other was $423.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2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0"/>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175,744</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19,903</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124,270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22,288</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342,205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179,455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229,163</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199,358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161,366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571,368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75,927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108,826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62,275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75,974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323,002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4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78,774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438,668</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110,512</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90,532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163,216</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18,652</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118,214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20,067</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320,149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186,533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148,417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529,202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70,604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100,553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58,105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68,999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298,261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4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102,712</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85,980</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September 30,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Jack Henry &amp; Associates, Inc. is a well-rounded financial technology company and is a leading provider of technology solutions and payment processing services primarily to community and regional financial institutions. Our solutions consist of integrated data processing systems solutions to U.S.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 which predominantly includes contracts with terms of seven years or longer at inception; "product delivery and services" revenue, which includes revenue from the sales of licenses, implementation services, deconversions, consulting, and hardware; and "on-premise support" revenue, composed of maintenance contracts primarily with annual terms. Processing revenue includes: "remittance" revenue from payment processing, remote capture, and ACH transactions; "card" revenue, including card transaction processing and monthly fees; and "transaction and digital" revenue, which includes transaction and mobile processing. We continually seek opportunities to increase revenue while at the same time containing costs to expand margins.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quarter of fiscal 2024, total revenue increased 8%, or $42,166, compared to the same quarter in fiscal 2023. Total revenue less deconversion and acquisition revenues of $4,136 and $1,945, respectively, for the current fiscal quarter and less deconversion revenues of $4,518 for the prior fiscal year first quarter also results in an increase of 8%, or $40,603, quarter over quarter. This increase was primarily driven by growth in data processing and hosting, card, Jack Henry digital, including Banno, payment processing, hardware, and software usage/subscription revenues.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13%, or $ 50,189, for the first quarter of fiscal 2024 compared to the first quarter of fiscal 2023. Total operating expenses less deconversion expenses of $381, acquisition-related expenses of $4,182, and voluntary employee departure incentive payment (VEDIP) program expenses of $16,443 for the current fiscal quarter, and less deconversion expenses of $653 and removing the effects of the gain on disposal of assets, net, of $ 6,176 for the prior fiscal year first quarter, results in an increase of 6%, or $23,661, quarter over quarter. This increase was primarily driven by higher personnel costs, including commissions expenses, and higher direct costs as revenues increased.</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income decreased 6% for the first quarter of fiscal 2024 compared to the first quarter of fiscal 2023. Total operating income less deconversion operating income of $3,755 plus an acquisition operating loss of $2,237 and VEDIP program expenses of $ 16,443 for the current fiscal quarter, and less deconversion operating income of $ 3,865 and removing the effects of the gain on disposal of assets, net, of $6,176 for the prior fiscal year first quarter, results in an increase of 13%, or $16,943, quarter over quarter. This increase was primarily driven by revenue growth partially offset by increased operating expenses detailed above.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move into the second quarter of fiscal 2024 with significant portions of our business continuing to come from recurring revenues and our sales pipeline remaining encouraging. Our customers continue to face regulatory and operational challenges which our products and services address, and we believe they have a great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detailed discussion of the major components of the results of operations for the three months ended September 30, 2023, follows. On August 31, 2022, the Company acquired all of the equity interest in Payrailz, LLC ("Payrailz"). Payrailz ("acquisition") related revenue and operating expenses mentioned in the discussion below are for the first two months of the quarter ended September 30, 2023.</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Discussions compare the current fiscal year's three months ended September 30, 2023, to the prior fiscal year's three months ended September 30,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4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42"/>
        </w:trPr>
        <w:tc>
          <w:tcPr>
            <w:tcW w:w="7000" w:type="dxa"/>
            <w:vAlign w:val="bottom"/>
          </w:tcPr>
          <w:p>
            <w:pPr>
              <w:spacing w:after="0"/>
              <w:rPr>
                <w:sz w:val="21"/>
                <w:szCs w:val="21"/>
                <w:color w:val="auto"/>
              </w:rPr>
            </w:pPr>
          </w:p>
        </w:tc>
        <w:tc>
          <w:tcPr>
            <w:tcW w:w="3100" w:type="dxa"/>
            <w:vAlign w:val="bottom"/>
            <w:gridSpan w:val="8"/>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342,205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320,149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r>
      <w:tr>
        <w:trPr>
          <w:trHeight w:val="251"/>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60 %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Services and support revenue increased 7% for the first quarter of fiscal 2024 compared to the same quarter a year ago. Reducing services and support revenue for deconversion revenue from each quarter, which was $4,136 for the current fiscal quarter and $4,518 for the prior fiscal year quarter and acquisition revenue of $2 for the current fiscal quarter also results in growth of 7% quarter over quarter. This increase was primarily driven by growth in data processing and hosting revenues, as new customers are added and existing customers migrate from on-premise to outsourcing, and increased hardware and software usage/subscription revenues.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spacing w:after="0"/>
              <w:rPr>
                <w:sz w:val="19"/>
                <w:szCs w:val="19"/>
                <w:color w:val="auto"/>
              </w:rPr>
            </w:pPr>
          </w:p>
        </w:tc>
        <w:tc>
          <w:tcPr>
            <w:tcW w:w="3100" w:type="dxa"/>
            <w:vAlign w:val="bottom"/>
            <w:gridSpan w:val="8"/>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229,163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209,053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r>
      <w:tr>
        <w:trPr>
          <w:trHeight w:val="251"/>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Processing revenue increased 10% for the first quarter of fiscal 2024 compared to the same quarter last fiscal year. Reducing processing revenue for acquisition revenue of $1,943 for the current fiscal quarter results in growth of 9% quarter over quarter. This increase was primarily driven by growth in card revenue from expanding transaction volumes, Jack Henry digital, including Banno, as active users increased and volumes expanded, other processing revenues, and remote capture and ACH revenue.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677"/>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spacing w:after="0"/>
              <w:rPr>
                <w:sz w:val="19"/>
                <w:szCs w:val="19"/>
                <w:color w:val="auto"/>
              </w:rPr>
            </w:pPr>
          </w:p>
        </w:tc>
        <w:tc>
          <w:tcPr>
            <w:tcW w:w="3100" w:type="dxa"/>
            <w:vAlign w:val="bottom"/>
            <w:gridSpan w:val="8"/>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323,002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298,261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r>
      <w:tr>
        <w:trPr>
          <w:trHeight w:val="251"/>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57 %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the first quarter of fiscal 2024 increased 8% over the prior fiscal year first quarter. Reducing cost of revenue for deconversion costs from each quarter, which were $270 for the current fiscal year quarter and $411 for the prior fiscal year quarter, and for acquisition costs of $3,334 from the current fiscal year quarter, results in a 7% increase quarter over quarter. This increase was primarily due to higher direct costs, consistent with increases in the related revenue, higher personnel costs, including benefits expenses, and increased internal licenses and fees. Cost of revenue increased 1% compared to the prior fiscal year quarter as a percentage of total revenue.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42"/>
        </w:trPr>
        <w:tc>
          <w:tcPr>
            <w:tcW w:w="7020" w:type="dxa"/>
            <w:vAlign w:val="bottom"/>
          </w:tcPr>
          <w:p>
            <w:pPr>
              <w:spacing w:after="0"/>
              <w:rPr>
                <w:sz w:val="21"/>
                <w:szCs w:val="21"/>
                <w:color w:val="auto"/>
              </w:rPr>
            </w:pPr>
          </w:p>
        </w:tc>
        <w:tc>
          <w:tcPr>
            <w:tcW w:w="308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w w:val="94"/>
              </w:rPr>
              <w:t>2023</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36,892</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r>
      <w:tr>
        <w:trPr>
          <w:trHeight w:val="251"/>
        </w:trPr>
        <w:tc>
          <w:tcPr>
            <w:tcW w:w="70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6 %</w:t>
            </w:r>
          </w:p>
        </w:tc>
        <w:tc>
          <w:tcPr>
            <w:tcW w:w="5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increased 12% for the first quarter of fiscal 2024 over the prior fiscal year first quarter. Reducing research and development expense for acquisition costs of $656 for the current fiscal quarter, results in a 10% increase quarter over quarter. This increase was primarily due to an increase in personnel costs, net of capitalization, including benefits expenses primarily resulting from a 2% headcount increase in the trailing twelve months, partially related to Jack Henry Platform. Research and development expense for the quarter remained consistent compared to the prior fiscal year quarter as a percentage of total revenue.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spacing w:after="0"/>
              <w:rPr>
                <w:sz w:val="19"/>
                <w:szCs w:val="19"/>
                <w:color w:val="auto"/>
              </w:rPr>
            </w:pPr>
          </w:p>
        </w:tc>
        <w:tc>
          <w:tcPr>
            <w:tcW w:w="308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2"/>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w w:val="94"/>
              </w:rPr>
              <w:t>2023</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78,774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38 %</w:t>
            </w:r>
          </w:p>
        </w:tc>
      </w:tr>
      <w:tr>
        <w:trPr>
          <w:trHeight w:val="251"/>
        </w:trPr>
        <w:tc>
          <w:tcPr>
            <w:tcW w:w="70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14 %</w:t>
            </w:r>
          </w:p>
        </w:tc>
        <w:tc>
          <w:tcPr>
            <w:tcW w:w="5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 increased 38% in the first quarter of fiscal 2024 over the same quarter in the prior fiscal year. Reducing selling, general, and administrative expense for deconversion costs from each quarter, which were $ 111 for the current fiscal year quarter and $243 for the prior fiscal year quarter, for acquisition costs of $192 and VEDIP program expenses of $16,443 for the current fiscal year quarter, and removing the effect of the gain on disposal of assets, net, of $6,176 in the prior fiscal year quarter, results in a 2% decrease quarter over quarter. This decrease was primarily due to a continued focus on controlling costs. Selling, general, and administrative expense increased 3% as a percentage of total revenue this fiscal quarter versus the prior fiscal year quarter.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36"/>
        </w:trPr>
        <w:tc>
          <w:tcPr>
            <w:tcW w:w="7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r>
      <w:tr>
        <w:trPr>
          <w:trHeight w:val="189"/>
        </w:trPr>
        <w:tc>
          <w:tcPr>
            <w:tcW w:w="7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w w:val="94"/>
              </w:rPr>
              <w:t>2023</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4"/>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4,745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3,022 %</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(4,197)</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r>
    </w:tbl>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Interest income fluctuated due to changes in interest earned on balances during the first quarter of fiscal 2024 compared to the same quarter a year ago. Interest expense increased when compared to the prior fiscal year quarter due to recent increases in prevailing interest rates and amounts borrowed. There was a $ 245,000 outstanding balance under the credit and term loan facilities at September 30, 2023, and $245,000 outstanding balance under the credit facility at September 30, 2022.</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42"/>
        </w:trPr>
        <w:tc>
          <w:tcPr>
            <w:tcW w:w="7020" w:type="dxa"/>
            <w:vAlign w:val="bottom"/>
          </w:tcPr>
          <w:p>
            <w:pPr>
              <w:spacing w:after="0"/>
              <w:rPr>
                <w:sz w:val="21"/>
                <w:szCs w:val="21"/>
                <w:color w:val="auto"/>
              </w:rPr>
            </w:pPr>
          </w:p>
        </w:tc>
        <w:tc>
          <w:tcPr>
            <w:tcW w:w="308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5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31,569</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32,750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23.7 %</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20" w:type="dxa"/>
            <w:vAlign w:val="bottom"/>
            <w:gridSpan w:val="9"/>
          </w:tcPr>
          <w:p>
            <w:pPr>
              <w:ind w:left="40"/>
              <w:spacing w:after="0"/>
              <w:rPr>
                <w:sz w:val="20"/>
                <w:szCs w:val="20"/>
                <w:color w:val="auto"/>
              </w:rPr>
            </w:pPr>
            <w:r>
              <w:rPr>
                <w:rFonts w:ascii="Arial" w:cs="Arial" w:eastAsia="Arial" w:hAnsi="Arial"/>
                <w:sz w:val="18"/>
                <w:szCs w:val="18"/>
                <w:color w:val="auto"/>
              </w:rPr>
              <w:t>Three Months Ended September</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r>
      <w:tr>
        <w:trPr>
          <w:trHeight w:val="188"/>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95"/>
              </w:rPr>
              <w:t>30,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center"/>
              <w:ind w:right="320"/>
              <w:spacing w:after="0" w:line="189" w:lineRule="exact"/>
              <w:rPr>
                <w:sz w:val="20"/>
                <w:szCs w:val="20"/>
                <w:color w:val="auto"/>
              </w:rPr>
            </w:pPr>
            <w:r>
              <w:rPr>
                <w:rFonts w:ascii="Arial" w:cs="Arial" w:eastAsia="Arial" w:hAnsi="Arial"/>
                <w:sz w:val="18"/>
                <w:szCs w:val="18"/>
                <w:color w:val="auto"/>
                <w:w w:val="98"/>
              </w:rPr>
              <w:t>Change</w:t>
            </w:r>
          </w:p>
        </w:tc>
      </w:tr>
      <w:tr>
        <w:trPr>
          <w:trHeight w:val="34"/>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83"/>
        </w:trPr>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3"/>
          </w:tcPr>
          <w:p>
            <w:pPr>
              <w:jc w:val="right"/>
              <w:ind w:right="44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101,679</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106,549</w:t>
            </w:r>
          </w:p>
        </w:tc>
        <w:tc>
          <w:tcPr>
            <w:tcW w:w="12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r>
    </w:tbl>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income decreased 5% to $101,679, or $1.39 per diluted share, for the first quarter of fiscal 2024 compared to $ 106,549, or $1.46 per diluted share, in the same quarter of fiscal 2023. Net income decreased primarily due to VEDIP program expenses partially offset by the organic growth in our lines of revenue and a decrease in the provision for income taxes in the first quarter of fiscal 2024 compared to the same quarter last fiscal year.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is a leading provider of technology solutions and payment processing services primarily to community and regional financial institutions.</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the other three segments, as well as operating expenses not directly attributable to the other three segments, except for items that are deemed unassigned and excluded from any segment.</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Immaterial adjustments have been made between segments to reclassify revenue and cost of revenue that was recognized for the three months ended September 30, 2022. These reclasses were made to be consistent with the current allocation of revenue and cost of revenue by segment. Revenue reclassed for the three months ended September 30, 2022, from Core to Complementary and Corporate and Other was $351 and $1,457, respectively, from Payments to Complementary and Corporate and Other was $ 6 and $1, respectively, from Complementary to Corporate and Other was $293, and from Corporate and Other to Complementary was $2. Cost of revenue reclassed for the three months ended September 30, 2022, from Core to Corporate and Other was $ 1,636, from Payments to Complementary and Corporate and Other was $91 and $511, respectively, and from Complementary to Corporate and Other was $423.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Core</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186,439</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173,316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75,927</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70,604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in the Core segment increased 8% and cost of revenue increased 8% for the three months ended September 30, 2023, compared to the three months ended September 30, 2022. This increase was primarily driven by growth in data processing and hosting revenues. The cost of revenue increase was primarily driven by higher direct costs consistent with increases in revenue. Core segment deconversion costs did not significantly affect Core revenue or cost of revenue increases quarter over quarter. Cost of revenue remained consistent as a percentage of revenue for the first quarter of fiscal 2024 compared to the same quarter of fiscal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Payments</w:t>
            </w:r>
          </w:p>
        </w:tc>
        <w:tc>
          <w:tcPr>
            <w:tcW w:w="3820" w:type="dxa"/>
            <w:vAlign w:val="bottom"/>
          </w:tcPr>
          <w:p>
            <w:pPr>
              <w:spacing w:after="0"/>
              <w:rPr>
                <w:sz w:val="18"/>
                <w:szCs w:val="18"/>
                <w:color w:val="auto"/>
              </w:rPr>
            </w:pP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vMerge w:val="continue"/>
          </w:tcPr>
          <w:p>
            <w:pPr>
              <w:spacing w:after="0"/>
              <w:rPr>
                <w:sz w:val="19"/>
                <w:szCs w:val="19"/>
                <w:color w:val="auto"/>
              </w:rPr>
            </w:pPr>
          </w:p>
        </w:tc>
        <w:tc>
          <w:tcPr>
            <w:tcW w:w="38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20"/>
              <w:spacing w:after="0"/>
              <w:rPr>
                <w:sz w:val="20"/>
                <w:szCs w:val="20"/>
                <w:color w:val="auto"/>
              </w:rPr>
            </w:pPr>
            <w:r>
              <w:rPr>
                <w:rFonts w:ascii="Arial" w:cs="Arial" w:eastAsia="Arial" w:hAnsi="Arial"/>
                <w:sz w:val="18"/>
                <w:szCs w:val="18"/>
                <w:color w:val="auto"/>
              </w:rPr>
              <w:t>Revenue</w:t>
            </w:r>
          </w:p>
        </w:tc>
        <w:tc>
          <w:tcPr>
            <w:tcW w:w="42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199,358</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186,533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108,826</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100,553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864"/>
        </w:trPr>
        <w:tc>
          <w:tcPr>
            <w:tcW w:w="3460" w:type="dxa"/>
            <w:vAlign w:val="bottom"/>
          </w:tcPr>
          <w:p>
            <w:pPr>
              <w:spacing w:after="0"/>
              <w:rPr>
                <w:sz w:val="24"/>
                <w:szCs w:val="24"/>
                <w:color w:val="auto"/>
              </w:rPr>
            </w:pPr>
          </w:p>
        </w:tc>
        <w:tc>
          <w:tcPr>
            <w:tcW w:w="3820" w:type="dxa"/>
            <w:vAlign w:val="bottom"/>
          </w:tcPr>
          <w:p>
            <w:pPr>
              <w:jc w:val="right"/>
              <w:ind w:right="147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the Payments segment increased 7% and cost of revenue increased 8% for the first quarter of fiscal 2024 compared to the equivalent quarter of the prior fiscal year. Reducing Payments revenue for deconversion revenue in both quarters, which totaled $1,006 for the first quarter of fiscal 2024 and $1,435 for the first quarter of fiscal 2023 and for revenue from the acquisition of $1,945 from the current fiscal year first quarter, results in a 6% increase quarter over quarter. This increase was primarily due to higher card revenue, primarily from expanding transaction volumes, and higher remote capture and ACH revenue, primarily from expanding volumes and new customer revenue. Reducing Payments cost of revenue for deconversion costs in both quarters, which totaled $ 47 for the first quarter of fiscal 2024 and $ 64 for the first quarter of fiscal 2023, and for cost of revenue from acquisition of $3,314 from the current fiscal year first quarter, results in a 5% increase quarter over quarter. This increase was primarily due to higher direct costs, consistent with associated revenues, and higher personnel costs, including benefits expenses. Cost of revenue as a percentage of revenue increased 1% for the first quarter of fiscal 2024 compared to the same quarter of fiscal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Complementary</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80" w:type="dxa"/>
            <w:vAlign w:val="bottom"/>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161,366</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148,417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62,275</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58,105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9% and cost of revenue increased 7% for the first quarter of fiscal 2024 compared to the equivalent quarter of the prior fiscal year. The revenue increase was primarily driven by higher Jack Henry digital revenue, as active users increased and volumes expanded, and hosting revenues, as new customers were added, and existing customers continued to migrate from on-premise to outsourcing. The cost of revenue increase was primarily due to increased direct costs consistent with associated revenues and higher personnel costs, including benefits expenses. Complementary segment deconversion costs did not significantly affect Complementary revenue or cost of revenue increases quarter over quarter. Cost of revenue as a percentage of revenue decreased 1% for the first quarter of fiscal 2024 compared to the same quarter of fiscal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80" w:type="dxa"/>
            <w:vAlign w:val="bottom"/>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24,205</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20,936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75,974</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68,999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the other three segments. Revenue in the Corporate and Other segment increased 16% for the first quarter of fiscal 2024 compared to the equivalent quarter of the prior fiscal year. This increase was primarily due to higher hardware revenues quarter over quarter. Corporate and Other segment deconversion revenue did not significantly affect Corporate and Other revenue increase quarter over quarter.</w:t>
      </w:r>
    </w:p>
    <w:p>
      <w:pPr>
        <w:spacing w:after="0" w:line="5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Cost of revenue for the Corporate and Other segment includes operating expenses not directly attributable to the other three segments. The cost of revenue in the first quarter of fiscal 2024 increased 10% when compared to the prior fiscal year quarter. Corporate and Other segment deconversion and acquisition costs did not significantly affect the Corporate and Other cost of revenue increase quarter over quarter.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increased to $31,467 at September 30, 2023, from $12,243 at June 30,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8"/>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color w:val="auto"/>
              </w:rPr>
              <w:t>Three Months Ended</w:t>
            </w:r>
          </w:p>
        </w:tc>
      </w:tr>
      <w:tr>
        <w:trPr>
          <w:trHeight w:val="229"/>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106,549</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34,139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(66,322)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(65,130)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(40,236)</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157,139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136,831</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Cash provided by operating activities for the first three months of fiscal 2024 increased 15% compared to the same period last year primarily due to a lower decrease in accrued expenses and a lower increase in prepaid expenses partially offset by a lower decrease in trade receivables quarter over quarter. Cash from operations is primarily used to repay debt, pay dividends, repurchase stock, for capital expenditures, and acquisitions.</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for the first three months of fiscal 2024 totaled $50,526 and included: $41,486 for the ongoing enhancement and development of existing and new product and service offerings; capital expenditures on facilities and equipment of $7,612; and $2,280 for the purchase and development of internal use software. Cash uses were partially offset by proceeds from the sale of assets of $852. Cash used in investing activities for the first three months of fiscal 2023 totaled $249,594 and included: $228,986 for an acquisition; $38,715 for the development of software; $7,737 for capital expenditures; and $408 for the purchase and development of internal use software. Cash uses were partially offset by proceeds from the sale of assets of $26,252.</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used cash of $87,389 for the first three months of fiscal 2024 and included payments on credit facilities of $165,000, dividends paid to stockholders of $37,863, and purchases of treasury stock of $20,000. Cash uses were partially offset by borrowings on credit facilities of $ 135,000 and $474 net cash inflow from the issuance of stock and tax withholding related to stock-based compensation. Financing activities used cash of $95,946 in the first three months of fiscal 2023 including repayments on credit facilities and financing leases of $150,022, and $35,709 for the payment of dividends. These uses of cash were partially offset by borrowings on credit facilities of $280,000 and $1,677 net cash inflow from the issuance of stock and tax withholding related to stock-based compensation.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$7,612 and $ 7,737 for the three months ended September 30, 2023, and September 30, 2022, respectively, were made primarily for additional equipment and the improvement of existing facilities. These additions were funded from cash generated by operations. Total consolidated capital expenditures on facilities and equipment for the Company for fiscal year 2024 are expected to be approximately $77,000 and have been or will be funded from our credit facilities and cash generated by operations.</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July 2023, the Company conducted a voluntary separation program for certain eligible employees that includes a voluntary employee departure incentive payment (VEDIP) for the eligible employees who chose to participate in the program. The Company incurred related expenses of $16,443 in the first quarter of 2024 and will make payments associated with the program from July 2023 through December 2023.</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8, 2023, the Company entered into a contract to purchase fixed assets that added contractual spend obligations of $34,191 for the period of December 15, 2023, through June 30, 2025. This commitment is in addition to the commitments discussed in our Annual Report on Form 10-K for the year ended June 30, 2023.</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2023, there were 31,323 shares in treasury stock and the Company had the remaining authority to repurchase up to 3,667 additional shares. The total cost of treasury shares at September 30, 2023, was $1,852,118, and the Company repurchased 129 shares during the first three months of fiscal 2024. At June 30, 2023, there were 31,194 shares in treasury stock and the Company had the remaining authority to repurchase up to 3,796 additional shares. The total cost of treasury shares at June 30, 2023, was $1,832,118 and the Company repurchased no shares during the first three months of fiscal 2023.</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Credit facilities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2023, the Company was in compliance with all such covenants. The amended and restated credit facility terminates August 31, 2027. There was $65,000 and $95,000 outstanding under the amended and restated credit facility at September 30, 2023 and June 30, 2023,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 May 16, 2023, the Company entered into a term loan credit agreement with a syndicate of financial institutions, with an original principal balance of $180,000. Borrowings under the term loan facility bear interest at a variable rate equal to (a) a rate based on an adjusted SOFR</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September 30, 2023, the Company was in compliance with all such covenants. The term loan credit agreement has a maturity date of May 16, 2025. There was $180,000 outstanding under the term loan at September 30, 2023 and June 30,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2025. There was no balance outstanding at September 30, 2023, or June 30, 2023.</w:t>
      </w:r>
    </w:p>
    <w:p>
      <w:pPr>
        <w:spacing w:after="0" w:line="366" w:lineRule="exact"/>
        <w:rPr>
          <w:sz w:val="20"/>
          <w:szCs w:val="20"/>
          <w:color w:val="auto"/>
        </w:rPr>
      </w:pPr>
    </w:p>
    <w:p>
      <w:pPr>
        <w:ind w:right="4240"/>
        <w:spacing w:after="0" w:line="35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interest risk on outstanding debt. We do not currently use any derivative financial instruments. We actively monitor these risks through a variety of controlled procedures involving senior management.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5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had $245,000 outstanding debt with variable interest rates as of September 30, 2023, and a 1% increase in our borrowing rate would increase our annual interest expense by $2,450.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fiscal quarter ended September 30, 2023,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September 30,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Total Number of</w:t>
            </w:r>
          </w:p>
        </w:tc>
        <w:tc>
          <w:tcPr>
            <w:tcW w:w="16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6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3"/>
        </w:trPr>
        <w:tc>
          <w:tcPr>
            <w:tcW w:w="356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Share</w:t>
            </w:r>
          </w:p>
        </w:tc>
        <w:tc>
          <w:tcPr>
            <w:tcW w:w="100" w:type="dxa"/>
            <w:vAlign w:val="bottom"/>
            <w:tcBorders>
              <w:bottom w:val="single" w:sz="8" w:color="CCEEFF"/>
            </w:tcBorders>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w:t>
            </w:r>
          </w:p>
        </w:tc>
        <w:tc>
          <w:tcPr>
            <w:tcW w:w="10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July 1 - July 31, 2023</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3,796,265</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August 1 - August 31, 2023</w:t>
            </w:r>
          </w:p>
        </w:tc>
        <w:tc>
          <w:tcPr>
            <w:tcW w:w="1520" w:type="dxa"/>
            <w:vAlign w:val="bottom"/>
          </w:tcPr>
          <w:p>
            <w:pPr>
              <w:jc w:val="right"/>
              <w:spacing w:after="0"/>
              <w:rPr>
                <w:sz w:val="20"/>
                <w:szCs w:val="20"/>
                <w:color w:val="auto"/>
              </w:rPr>
            </w:pPr>
            <w:r>
              <w:rPr>
                <w:rFonts w:ascii="Arial" w:cs="Arial" w:eastAsia="Arial" w:hAnsi="Arial"/>
                <w:sz w:val="18"/>
                <w:szCs w:val="18"/>
                <w:color w:val="auto"/>
              </w:rPr>
              <w:t>107,227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155.59</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107,227</w:t>
            </w:r>
          </w:p>
        </w:tc>
        <w:tc>
          <w:tcPr>
            <w:tcW w:w="1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3,689,038</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 September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3,667,497</w:t>
            </w:r>
          </w:p>
        </w:tc>
        <w:tc>
          <w:tcPr>
            <w:tcW w:w="0" w:type="dxa"/>
            <w:vAlign w:val="bottom"/>
          </w:tcPr>
          <w:p>
            <w:pPr>
              <w:spacing w:after="0"/>
              <w:rPr>
                <w:sz w:val="1"/>
                <w:szCs w:val="1"/>
                <w:color w:val="auto"/>
              </w:rPr>
            </w:pPr>
          </w:p>
        </w:tc>
      </w:tr>
      <w:tr>
        <w:trPr>
          <w:trHeight w:val="251"/>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128,768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155.32</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128,768</w:t>
            </w:r>
          </w:p>
        </w:tc>
        <w:tc>
          <w:tcPr>
            <w:tcW w:w="1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3,667,497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5" w:lineRule="auto"/>
        <w:tabs>
          <w:tab w:leader="none" w:pos="19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31,323,119 shares and has repurchased and re-issued 9,384 shares. These authorizations have no specific dollar or share price targets and no expiration dates.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9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9"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75"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200" w:lineRule="exact"/>
        <w:rPr>
          <w:sz w:val="20"/>
          <w:szCs w:val="20"/>
          <w:color w:val="auto"/>
        </w:rPr>
      </w:pPr>
    </w:p>
    <w:p>
      <w:pPr>
        <w:sectPr>
          <w:pgSz w:w="11900" w:h="16838" w:orient="portrait"/>
          <w:cols w:equalWidth="0" w:num="2">
            <w:col w:w="720" w:space="580"/>
            <w:col w:w="9940"/>
          </w:cols>
          <w:pgMar w:left="320" w:top="129"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29"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29"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29"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29"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29"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52" w:lineRule="exact"/>
        <w:rPr>
          <w:sz w:val="20"/>
          <w:szCs w:val="20"/>
          <w:color w:val="auto"/>
        </w:rPr>
      </w:pPr>
    </w:p>
    <w:p>
      <w:pPr>
        <w:jc w:val="both"/>
        <w:ind w:firstLine="8"/>
        <w:spacing w:after="0" w:line="256"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September 30, 2023, and June 30, 2023, (ii) the Condensed Consolidated Statements of Income for the three months ended September 30, 2023, and 2022, (iii) the Condensed Consolidated Statements of Changes in Shareholders' Equity for the three months ended September 30, 2023, and 2022, (iv) the Condensed Consolidated Statements of Cash Flows for the three months ended September 30, 2023, and 2022, and (v) Notes to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6240" w:type="dxa"/>
            <w:vAlign w:val="bottom"/>
          </w:tcPr>
          <w:p>
            <w:pPr>
              <w:spacing w:after="0"/>
              <w:rPr>
                <w:sz w:val="19"/>
                <w:szCs w:val="19"/>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5"/>
        </w:trPr>
        <w:tc>
          <w:tcPr>
            <w:tcW w:w="6240" w:type="dxa"/>
            <w:vAlign w:val="bottom"/>
          </w:tcPr>
          <w:p>
            <w:pPr>
              <w:spacing w:after="0"/>
              <w:rPr>
                <w:sz w:val="20"/>
                <w:szCs w:val="20"/>
                <w:color w:val="auto"/>
              </w:rPr>
            </w:pPr>
            <w:r>
              <w:rPr>
                <w:rFonts w:ascii="Arial" w:cs="Arial" w:eastAsia="Arial" w:hAnsi="Arial"/>
                <w:sz w:val="18"/>
                <w:szCs w:val="18"/>
                <w:color w:val="auto"/>
              </w:rPr>
              <w:t>Date: November 9, 2023</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50"/>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0"/>
        </w:trPr>
        <w:tc>
          <w:tcPr>
            <w:tcW w:w="624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Chief Executive Officer and Board Chair</w:t>
            </w:r>
          </w:p>
        </w:tc>
      </w:tr>
      <w:tr>
        <w:trPr>
          <w:trHeight w:val="445"/>
        </w:trPr>
        <w:tc>
          <w:tcPr>
            <w:tcW w:w="6240" w:type="dxa"/>
            <w:vAlign w:val="bottom"/>
          </w:tcPr>
          <w:p>
            <w:pPr>
              <w:spacing w:after="0"/>
              <w:rPr>
                <w:sz w:val="20"/>
                <w:szCs w:val="20"/>
                <w:color w:val="auto"/>
              </w:rPr>
            </w:pPr>
            <w:r>
              <w:rPr>
                <w:rFonts w:ascii="Arial" w:cs="Arial" w:eastAsia="Arial" w:hAnsi="Arial"/>
                <w:sz w:val="18"/>
                <w:szCs w:val="18"/>
                <w:color w:val="auto"/>
              </w:rPr>
              <w:t>Date: November 9, 2023</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Mimi L. Carsley</w:t>
            </w:r>
          </w:p>
        </w:tc>
        <w:tc>
          <w:tcPr>
            <w:tcW w:w="1700" w:type="dxa"/>
            <w:vAlign w:val="bottom"/>
          </w:tcPr>
          <w:p>
            <w:pPr>
              <w:spacing w:after="0"/>
              <w:rPr>
                <w:sz w:val="24"/>
                <w:szCs w:val="24"/>
                <w:color w:val="auto"/>
              </w:rPr>
            </w:pPr>
          </w:p>
        </w:tc>
      </w:tr>
      <w:tr>
        <w:trPr>
          <w:trHeight w:val="250"/>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0"/>
        </w:trPr>
        <w:tc>
          <w:tcPr>
            <w:tcW w:w="624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EXHIBIT 31.1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3"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firstLine="8"/>
        <w:spacing w:after="0" w:line="275"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8"/>
          <w:szCs w:val="18"/>
          <w:color w:val="auto"/>
        </w:rPr>
      </w:pPr>
    </w:p>
    <w:p>
      <w:pPr>
        <w:jc w:val="both"/>
        <w:ind w:firstLine="8"/>
        <w:spacing w:after="0" w:line="263"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20" w:firstLine="8"/>
        <w:spacing w:after="0" w:line="263"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firstLine="8"/>
        <w:spacing w:after="0" w:line="263"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right="20" w:firstLine="8"/>
        <w:spacing w:after="0" w:line="275"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jc w:val="both"/>
        <w:ind w:firstLine="8"/>
        <w:spacing w:after="0" w:line="263"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firstLine="8"/>
        <w:spacing w:after="0" w:line="263"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right="20" w:firstLine="8"/>
        <w:spacing w:after="0" w:line="275" w:lineRule="auto"/>
        <w:tabs>
          <w:tab w:leader="none" w:pos="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right="20" w:firstLine="8"/>
        <w:spacing w:after="0" w:line="275"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EXHIBIT 31.2</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3"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firstLine="8"/>
        <w:spacing w:after="0" w:line="275"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8"/>
          <w:szCs w:val="18"/>
          <w:color w:val="auto"/>
        </w:rPr>
      </w:pPr>
    </w:p>
    <w:p>
      <w:pPr>
        <w:jc w:val="both"/>
        <w:ind w:firstLine="8"/>
        <w:spacing w:after="0" w:line="263"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20" w:firstLine="8"/>
        <w:spacing w:after="0" w:line="263" w:lineRule="auto"/>
        <w:tabs>
          <w:tab w:leader="none" w:pos="2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firstLine="8"/>
        <w:spacing w:after="0" w:line="263"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right="20" w:firstLine="8"/>
        <w:spacing w:after="0" w:line="275"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jc w:val="both"/>
        <w:ind w:firstLine="8"/>
        <w:spacing w:after="0" w:line="263"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firstLine="8"/>
        <w:spacing w:after="0" w:line="263"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right="20" w:firstLine="8"/>
        <w:spacing w:after="0" w:line="275"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right="20" w:firstLine="8"/>
        <w:spacing w:after="0" w:line="275"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three month period ended September 30,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three month period ended September 30,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2023-11-09T13:59:08Z</dcterms:created>
  <dcterms:modified xsi:type="dcterms:W3CDTF">2023-11-09T13:59:08Z</dcterms:modified>
</cp:coreProperties>
</file>