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2"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March 31, 2024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00" w:right="1180" w:hanging="591"/>
        <w:spacing w:after="0" w:line="279" w:lineRule="auto"/>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40" w:type="dxa"/>
            <w:vAlign w:val="bottom"/>
            <w:gridSpan w:val="2"/>
          </w:tcPr>
          <w:p>
            <w:pPr>
              <w:jc w:val="center"/>
              <w:ind w:right="2680"/>
              <w:spacing w:after="0"/>
              <w:rPr>
                <w:sz w:val="20"/>
                <w:szCs w:val="20"/>
                <w:color w:val="auto"/>
              </w:rPr>
            </w:pPr>
            <w:r>
              <w:rPr>
                <w:rFonts w:ascii="Arial" w:cs="Arial" w:eastAsia="Arial" w:hAnsi="Arial"/>
                <w:sz w:val="18"/>
                <w:szCs w:val="18"/>
                <w:color w:val="auto"/>
                <w:w w:val="99"/>
              </w:rPr>
              <w:t>Delaware</w:t>
            </w:r>
          </w:p>
        </w:tc>
        <w:tc>
          <w:tcPr>
            <w:tcW w:w="4080" w:type="dxa"/>
            <w:vAlign w:val="bottom"/>
            <w:gridSpan w:val="3"/>
          </w:tcPr>
          <w:p>
            <w:pPr>
              <w:jc w:val="right"/>
              <w:ind w:right="92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4800" w:type="dxa"/>
            <w:vAlign w:val="bottom"/>
            <w:gridSpan w:val="3"/>
          </w:tcPr>
          <w:p>
            <w:pPr>
              <w:jc w:val="center"/>
              <w:ind w:right="1300"/>
              <w:spacing w:after="0"/>
              <w:rPr>
                <w:sz w:val="20"/>
                <w:szCs w:val="20"/>
                <w:color w:val="auto"/>
              </w:rPr>
            </w:pPr>
            <w:r>
              <w:rPr>
                <w:rFonts w:ascii="Arial" w:cs="Arial" w:eastAsia="Arial" w:hAnsi="Arial"/>
                <w:sz w:val="18"/>
                <w:szCs w:val="18"/>
                <w:color w:val="auto"/>
                <w:w w:val="99"/>
              </w:rPr>
              <w:t>(State or Other Jurisdiction of Incorporation)</w:t>
            </w:r>
          </w:p>
        </w:tc>
        <w:tc>
          <w:tcPr>
            <w:tcW w:w="4080" w:type="dxa"/>
            <w:vAlign w:val="bottom"/>
            <w:gridSpan w:val="3"/>
          </w:tcPr>
          <w:p>
            <w:pPr>
              <w:jc w:val="center"/>
              <w:ind w:left="1210"/>
              <w:spacing w:after="0"/>
              <w:rPr>
                <w:sz w:val="20"/>
                <w:szCs w:val="20"/>
                <w:color w:val="auto"/>
              </w:rPr>
            </w:pPr>
            <w:r>
              <w:rPr>
                <w:rFonts w:ascii="Arial" w:cs="Arial" w:eastAsia="Arial" w:hAnsi="Arial"/>
                <w:sz w:val="18"/>
                <w:szCs w:val="18"/>
                <w:color w:val="auto"/>
              </w:rPr>
              <w:t>(I.R.S. Employer 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1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7"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180" w:type="dxa"/>
            <w:vAlign w:val="bottom"/>
          </w:tcPr>
          <w:p>
            <w:pPr>
              <w:spacing w:after="0"/>
              <w:rPr>
                <w:sz w:val="17"/>
                <w:szCs w:val="17"/>
                <w:color w:val="auto"/>
              </w:rPr>
            </w:pPr>
          </w:p>
        </w:tc>
        <w:tc>
          <w:tcPr>
            <w:tcW w:w="2800" w:type="dxa"/>
            <w:vAlign w:val="bottom"/>
            <w:gridSpan w:val="3"/>
          </w:tcPr>
          <w:p>
            <w:pPr>
              <w:jc w:val="center"/>
              <w:ind w:right="360"/>
              <w:spacing w:after="0"/>
              <w:rPr>
                <w:sz w:val="20"/>
                <w:szCs w:val="20"/>
                <w:color w:val="auto"/>
              </w:rPr>
            </w:pPr>
            <w:r>
              <w:rPr>
                <w:rFonts w:ascii="Arial" w:cs="Arial" w:eastAsia="Arial" w:hAnsi="Arial"/>
                <w:sz w:val="18"/>
                <w:szCs w:val="18"/>
                <w:color w:val="auto"/>
                <w:w w:val="98"/>
              </w:rPr>
              <w:t>Trading Symbol</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4"/>
        </w:trPr>
        <w:tc>
          <w:tcPr>
            <w:tcW w:w="322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Common Stock ($0.01 par value)</w:t>
            </w:r>
          </w:p>
        </w:tc>
        <w:tc>
          <w:tcPr>
            <w:tcW w:w="600" w:type="dxa"/>
            <w:vAlign w:val="bottom"/>
          </w:tcPr>
          <w:p>
            <w:pPr>
              <w:spacing w:after="0"/>
              <w:rPr>
                <w:sz w:val="22"/>
                <w:szCs w:val="22"/>
                <w:color w:val="auto"/>
              </w:rPr>
            </w:pPr>
          </w:p>
        </w:tc>
        <w:tc>
          <w:tcPr>
            <w:tcW w:w="2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JKHY</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1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r>
    </w:tbl>
    <w:p>
      <w:pPr>
        <w:spacing w:after="0" w:line="156" w:lineRule="exact"/>
        <w:rPr>
          <w:sz w:val="24"/>
          <w:szCs w:val="24"/>
          <w:color w:val="auto"/>
        </w:rPr>
      </w:pPr>
    </w:p>
    <w:p>
      <w:pPr>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As of April 26, 2024, the Registrant had 72,900,026 shares of Common Stock outstanding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9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w w:val="99"/>
              </w:rPr>
              <w:t>Page Reference</w:t>
            </w:r>
          </w:p>
        </w:tc>
        <w:tc>
          <w:tcPr>
            <w:tcW w:w="0" w:type="dxa"/>
            <w:vAlign w:val="bottom"/>
          </w:tcPr>
          <w:p>
            <w:pPr>
              <w:spacing w:after="0"/>
              <w:rPr>
                <w:sz w:val="1"/>
                <w:szCs w:val="1"/>
                <w:color w:val="auto"/>
              </w:rPr>
            </w:pPr>
          </w:p>
        </w:tc>
      </w:tr>
      <w:tr>
        <w:trPr>
          <w:trHeight w:val="370"/>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380" w:type="dxa"/>
            <w:vAlign w:val="bottom"/>
          </w:tcPr>
          <w:p>
            <w:pPr>
              <w:ind w:left="320"/>
              <w:spacing w:after="0"/>
              <w:rPr>
                <w:sz w:val="20"/>
                <w:szCs w:val="20"/>
                <w:color w:val="auto"/>
              </w:rPr>
            </w:pPr>
            <w:r>
              <w:rPr>
                <w:rFonts w:ascii="Arial" w:cs="Arial" w:eastAsia="Arial" w:hAnsi="Arial"/>
                <w:sz w:val="18"/>
                <w:szCs w:val="18"/>
                <w:color w:val="0000FF"/>
              </w:rPr>
              <w:t>FINANCIAL INFORMATION</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Balance Sheets as of March 31, 2024, and June 30, 2023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Income for the Three and Nine Months Ended March 31,</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2024 and 2023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Changes in Stockholders' Equity for the Three and Nine</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Months Ended March 31, 2024 and 2023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Cash Flows for the Nine Months Ended March 31, 2024 and</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2023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Notes to Condensed Consolidated Financial Statements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320"/>
              <w:spacing w:after="0"/>
              <w:rPr>
                <w:sz w:val="20"/>
                <w:szCs w:val="20"/>
                <w:color w:val="auto"/>
              </w:rPr>
            </w:pPr>
            <w:r>
              <w:rPr>
                <w:rFonts w:ascii="Arial" w:cs="Arial" w:eastAsia="Arial" w:hAnsi="Arial"/>
                <w:sz w:val="18"/>
                <w:szCs w:val="18"/>
                <w:color w:val="0000FF"/>
              </w:rPr>
              <w:t>Quantitative and Qualitative Disclosures about Market Risk</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320"/>
              <w:spacing w:after="0"/>
              <w:rPr>
                <w:sz w:val="20"/>
                <w:szCs w:val="20"/>
                <w:color w:val="auto"/>
              </w:rPr>
            </w:pPr>
            <w:r>
              <w:rPr>
                <w:rFonts w:ascii="Arial" w:cs="Arial" w:eastAsia="Arial" w:hAnsi="Arial"/>
                <w:sz w:val="18"/>
                <w:szCs w:val="18"/>
                <w:color w:val="0000FF"/>
              </w:rPr>
              <w:t>Controls and Procedures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Legal Proceedings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Unregistered Sales of Equity Securities and Use of Proceeds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320"/>
              <w:spacing w:after="0"/>
              <w:rPr>
                <w:sz w:val="20"/>
                <w:szCs w:val="20"/>
                <w:color w:val="auto"/>
              </w:rPr>
            </w:pPr>
            <w:r>
              <w:rPr>
                <w:rFonts w:ascii="Arial" w:cs="Arial" w:eastAsia="Arial" w:hAnsi="Arial"/>
                <w:sz w:val="18"/>
                <w:szCs w:val="18"/>
                <w:color w:val="0000FF"/>
              </w:rPr>
              <w:t>Exhibits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Signatures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this report, all references to “Jack Henry,” the “Company,” “we,” “us,” and “our,” refer to Jack Henry &amp; Associates, Inc., and its wholly owned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fiscal year ended June 30, 2023,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ectPr>
          <w:pgSz w:w="11900" w:h="16838" w:orient="portrait"/>
          <w:cols w:equalWidth="0" w:num="1">
            <w:col w:w="10139"/>
          </w:cols>
          <w:pgMar w:left="320" w:top="890" w:right="1440"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0" w:right="1440" w:bottom="101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rPr>
              <w:t>(In Thousands, Except Share and Per Share Data)</w:t>
            </w:r>
          </w:p>
        </w:tc>
        <w:tc>
          <w:tcPr>
            <w:tcW w:w="300" w:type="dxa"/>
            <w:vAlign w:val="bottom"/>
          </w:tcPr>
          <w:p>
            <w:pPr>
              <w:spacing w:after="0"/>
              <w:rPr>
                <w:sz w:val="20"/>
                <w:szCs w:val="20"/>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20"/>
                <w:szCs w:val="20"/>
                <w:color w:val="auto"/>
              </w:rPr>
            </w:pPr>
          </w:p>
        </w:tc>
        <w:tc>
          <w:tcPr>
            <w:tcW w:w="1360" w:type="dxa"/>
            <w:vAlign w:val="bottom"/>
            <w:vMerge w:val="restart"/>
          </w:tcPr>
          <w:p>
            <w:pPr>
              <w:jc w:val="right"/>
              <w:ind w:right="3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172"/>
        </w:trPr>
        <w:tc>
          <w:tcPr>
            <w:tcW w:w="7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75"/>
        </w:trPr>
        <w:tc>
          <w:tcPr>
            <w:tcW w:w="7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263,416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361,252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158,725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169,178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73,167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77,766</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522,562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627,962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215,733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205,664</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costs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Computer software, net of amortization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588,426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565,714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322,698</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58,949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65,528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804,797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804,797</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2,032,203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1,940,200</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2,770,498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2,773,826</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19,156</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180,319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172,629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income taxes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revenues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147,328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331,974</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375,043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523,759</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revenues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Deferred income tax liability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229,106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244,431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net of current maturities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69,801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54,371</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615,524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641,557</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990,567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1,165,316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3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 $0.01 par value; 250,000,000 shares authorized;</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shd w:val="clear" w:color="auto" w:fill="CCEEFF"/>
          </w:tcPr>
          <w:p>
            <w:pPr>
              <w:ind w:left="400"/>
              <w:spacing w:after="0" w:line="183" w:lineRule="exact"/>
              <w:rPr>
                <w:sz w:val="20"/>
                <w:szCs w:val="20"/>
                <w:color w:val="auto"/>
              </w:rPr>
            </w:pPr>
            <w:r>
              <w:rPr>
                <w:rFonts w:ascii="Arial" w:cs="Arial" w:eastAsia="Arial" w:hAnsi="Arial"/>
                <w:sz w:val="18"/>
                <w:szCs w:val="18"/>
                <w:color w:val="auto"/>
              </w:rPr>
              <w:t>104,222,732 shares issued at March 31, 2024;</w:t>
            </w: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1,042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35"/>
        </w:trPr>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104,088,784 shares issued at June 30, 2023</w:t>
            </w:r>
          </w:p>
        </w:tc>
        <w:tc>
          <w:tcPr>
            <w:tcW w:w="30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610,305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583,836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3,020,702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2,855,751</w:t>
            </w:r>
          </w:p>
        </w:tc>
        <w:tc>
          <w:tcPr>
            <w:tcW w:w="0" w:type="dxa"/>
            <w:vAlign w:val="bottom"/>
          </w:tcPr>
          <w:p>
            <w:pPr>
              <w:spacing w:after="0"/>
              <w:rPr>
                <w:sz w:val="1"/>
                <w:szCs w:val="1"/>
                <w:color w:val="auto"/>
              </w:rPr>
            </w:pPr>
          </w:p>
        </w:tc>
      </w:tr>
      <w:tr>
        <w:trPr>
          <w:trHeight w:val="176"/>
        </w:trPr>
        <w:tc>
          <w:tcPr>
            <w:tcW w:w="7820" w:type="dxa"/>
            <w:vAlign w:val="bottom"/>
          </w:tcPr>
          <w:p>
            <w:pPr>
              <w:ind w:left="140"/>
              <w:spacing w:after="0" w:line="176" w:lineRule="exact"/>
              <w:rPr>
                <w:sz w:val="20"/>
                <w:szCs w:val="20"/>
                <w:color w:val="auto"/>
              </w:rPr>
            </w:pPr>
            <w:r>
              <w:rPr>
                <w:rFonts w:ascii="Arial" w:cs="Arial" w:eastAsia="Arial" w:hAnsi="Arial"/>
                <w:sz w:val="18"/>
                <w:szCs w:val="18"/>
                <w:color w:val="auto"/>
              </w:rPr>
              <w:t>Less treasury stock at cost</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tcPr>
          <w:p>
            <w:pPr>
              <w:ind w:left="400"/>
              <w:spacing w:after="0" w:line="183" w:lineRule="exact"/>
              <w:rPr>
                <w:sz w:val="20"/>
                <w:szCs w:val="20"/>
                <w:color w:val="auto"/>
              </w:rPr>
            </w:pPr>
            <w:r>
              <w:rPr>
                <w:rFonts w:ascii="Arial" w:cs="Arial" w:eastAsia="Arial" w:hAnsi="Arial"/>
                <w:sz w:val="18"/>
                <w:szCs w:val="18"/>
                <w:color w:val="auto"/>
              </w:rPr>
              <w:t>31,323,119 shares at March 31, 2024;</w:t>
            </w: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(1,852,118)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(1,832,118)</w:t>
            </w:r>
          </w:p>
        </w:tc>
        <w:tc>
          <w:tcPr>
            <w:tcW w:w="0" w:type="dxa"/>
            <w:vAlign w:val="bottom"/>
          </w:tcPr>
          <w:p>
            <w:pPr>
              <w:spacing w:after="0"/>
              <w:rPr>
                <w:sz w:val="1"/>
                <w:szCs w:val="1"/>
                <w:color w:val="auto"/>
              </w:rPr>
            </w:pPr>
          </w:p>
        </w:tc>
      </w:tr>
      <w:tr>
        <w:trPr>
          <w:trHeight w:val="235"/>
        </w:trPr>
        <w:tc>
          <w:tcPr>
            <w:tcW w:w="78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31,194,351 shares at June 30, 2023</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1,779,931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1,608,510</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2,770,498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2,773,826</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8"/>
          </w:tcPr>
          <w:p>
            <w:pPr>
              <w:jc w:val="center"/>
              <w:ind w:left="30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9540" w:type="dxa"/>
            <w:vAlign w:val="bottom"/>
            <w:gridSpan w:val="11"/>
          </w:tcPr>
          <w:p>
            <w:pPr>
              <w:jc w:val="center"/>
              <w:ind w:left="1410"/>
              <w:spacing w:after="0"/>
              <w:rPr>
                <w:sz w:val="20"/>
                <w:szCs w:val="20"/>
                <w:color w:val="auto"/>
              </w:rPr>
            </w:pPr>
            <w:r>
              <w:rPr>
                <w:rFonts w:ascii="Arial" w:cs="Arial" w:eastAsia="Arial" w:hAnsi="Arial"/>
                <w:sz w:val="18"/>
                <w:szCs w:val="18"/>
                <w:b w:val="1"/>
                <w:bCs w:val="1"/>
                <w:color w:val="auto"/>
                <w:w w:val="99"/>
              </w:rPr>
              <w:t>CONDENSED CONSOLIDATED STATEMENTS OF INCOME (Unaudited)</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780" w:type="dxa"/>
            <w:vAlign w:val="bottom"/>
          </w:tcPr>
          <w:p>
            <w:pPr>
              <w:spacing w:after="0"/>
              <w:rPr>
                <w:sz w:val="19"/>
                <w:szCs w:val="19"/>
                <w:color w:val="auto"/>
              </w:rPr>
            </w:pPr>
          </w:p>
        </w:tc>
        <w:tc>
          <w:tcPr>
            <w:tcW w:w="4160" w:type="dxa"/>
            <w:vAlign w:val="bottom"/>
            <w:gridSpan w:val="7"/>
          </w:tcPr>
          <w:p>
            <w:pPr>
              <w:jc w:val="center"/>
              <w:ind w:right="680"/>
              <w:spacing w:after="0"/>
              <w:rPr>
                <w:sz w:val="20"/>
                <w:szCs w:val="20"/>
                <w:color w:val="auto"/>
              </w:rPr>
            </w:pPr>
            <w:r>
              <w:rPr>
                <w:rFonts w:ascii="Arial" w:cs="Arial" w:eastAsia="Arial" w:hAnsi="Arial"/>
                <w:sz w:val="18"/>
                <w:szCs w:val="18"/>
                <w:color w:val="auto"/>
              </w:rPr>
              <w:t>(In Thousands, Except Per Share Data)</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3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r>
      <w:tr>
        <w:trPr>
          <w:trHeight w:val="250"/>
        </w:trPr>
        <w:tc>
          <w:tcPr>
            <w:tcW w:w="3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538,562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1,655,631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1,543,069</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328,224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307,345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972,205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910,195</w:t>
            </w: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104,179</w:t>
            </w:r>
          </w:p>
        </w:tc>
      </w:tr>
      <w:tr>
        <w:trPr>
          <w:trHeight w:val="229"/>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62,246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211,298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172,205</w:t>
            </w:r>
          </w:p>
        </w:tc>
      </w:tr>
      <w:tr>
        <w:trPr>
          <w:trHeight w:val="223"/>
        </w:trPr>
        <w:tc>
          <w:tcPr>
            <w:tcW w:w="3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426,463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400,162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1,291,866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1,186,579</w:t>
            </w:r>
          </w:p>
        </w:tc>
      </w:tr>
      <w:tr>
        <w:trPr>
          <w:trHeight w:val="250"/>
        </w:trPr>
        <w:tc>
          <w:tcPr>
            <w:tcW w:w="3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112,099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363,765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356,490</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6,499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16,365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3,783</w:t>
            </w: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(12,495)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w:t>
            </w:r>
          </w:p>
        </w:tc>
      </w:tr>
      <w:tr>
        <w:trPr>
          <w:trHeight w:val="223"/>
        </w:trPr>
        <w:tc>
          <w:tcPr>
            <w:tcW w:w="3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w:t>
            </w:r>
          </w:p>
        </w:tc>
      </w:tr>
      <w:tr>
        <w:trPr>
          <w:trHeight w:val="250"/>
        </w:trPr>
        <w:tc>
          <w:tcPr>
            <w:tcW w:w="37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114,165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106,115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367,635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350,624</w:t>
            </w:r>
          </w:p>
        </w:tc>
      </w:tr>
      <w:tr>
        <w:trPr>
          <w:trHeight w:val="270"/>
        </w:trPr>
        <w:tc>
          <w:tcPr>
            <w:tcW w:w="3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27,066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86,892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81,751</w:t>
            </w:r>
          </w:p>
        </w:tc>
      </w:tr>
      <w:tr>
        <w:trPr>
          <w:trHeight w:val="270"/>
        </w:trPr>
        <w:tc>
          <w:tcPr>
            <w:tcW w:w="3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6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87,099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280,743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268,873</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72,931</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73,031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73,074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73,010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73,119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040"/>
          </w:cols>
          <w:pgMar w:left="320" w:top="125" w:right="5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7"/>
          </w:tcPr>
          <w:p>
            <w:pPr>
              <w:jc w:val="center"/>
              <w:ind w:left="28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0080" w:type="dxa"/>
            <w:vAlign w:val="bottom"/>
            <w:gridSpan w:val="11"/>
          </w:tcPr>
          <w:p>
            <w:pPr>
              <w:jc w:val="center"/>
              <w:ind w:left="1070"/>
              <w:spacing w:after="0"/>
              <w:rPr>
                <w:sz w:val="20"/>
                <w:szCs w:val="20"/>
                <w:color w:val="auto"/>
              </w:rPr>
            </w:pPr>
            <w:r>
              <w:rPr>
                <w:rFonts w:ascii="Arial" w:cs="Arial" w:eastAsia="Arial" w:hAnsi="Arial"/>
                <w:sz w:val="18"/>
                <w:szCs w:val="18"/>
                <w:b w:val="1"/>
                <w:bCs w:val="1"/>
                <w:color w:val="auto"/>
                <w:w w:val="99"/>
              </w:rPr>
              <w:t>CONDENSED CONSOLIDATED STATEMENTS OF CHANGES IN STOCKHOLDERS' EQUITY (Unaudited)</w:t>
            </w:r>
          </w:p>
        </w:tc>
        <w:tc>
          <w:tcPr>
            <w:tcW w:w="1160" w:type="dxa"/>
            <w:vAlign w:val="bottom"/>
          </w:tcPr>
          <w:p>
            <w:pPr>
              <w:spacing w:after="0"/>
              <w:rPr>
                <w:sz w:val="19"/>
                <w:szCs w:val="19"/>
                <w:color w:val="auto"/>
              </w:rPr>
            </w:pPr>
          </w:p>
        </w:tc>
      </w:tr>
      <w:tr>
        <w:trPr>
          <w:trHeight w:val="229"/>
        </w:trPr>
        <w:tc>
          <w:tcPr>
            <w:tcW w:w="8340" w:type="dxa"/>
            <w:vAlign w:val="bottom"/>
            <w:gridSpan w:val="7"/>
          </w:tcPr>
          <w:p>
            <w:pPr>
              <w:jc w:val="center"/>
              <w:ind w:left="2810"/>
              <w:spacing w:after="0"/>
              <w:rPr>
                <w:sz w:val="20"/>
                <w:szCs w:val="20"/>
                <w:color w:val="auto"/>
              </w:rPr>
            </w:pPr>
            <w:r>
              <w:rPr>
                <w:rFonts w:ascii="Arial" w:cs="Arial" w:eastAsia="Arial" w:hAnsi="Arial"/>
                <w:sz w:val="18"/>
                <w:szCs w:val="18"/>
                <w:color w:val="auto"/>
              </w:rPr>
              <w:t>(In Thousands, Except Share and Per Share Data)</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19"/>
                <w:szCs w:val="19"/>
                <w:color w:val="auto"/>
              </w:rPr>
            </w:pPr>
          </w:p>
        </w:tc>
        <w:tc>
          <w:tcPr>
            <w:tcW w:w="26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5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8"/>
              </w:rPr>
              <w:t>March 31,</w:t>
            </w:r>
          </w:p>
        </w:tc>
        <w:tc>
          <w:tcPr>
            <w:tcW w:w="220" w:type="dxa"/>
            <w:vAlign w:val="bottom"/>
          </w:tcPr>
          <w:p>
            <w:pPr>
              <w:spacing w:after="0"/>
              <w:rPr>
                <w:sz w:val="20"/>
                <w:szCs w:val="20"/>
                <w:color w:val="auto"/>
              </w:rPr>
            </w:pPr>
          </w:p>
        </w:tc>
        <w:tc>
          <w:tcPr>
            <w:tcW w:w="268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5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Shares, beginning of period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104,181,060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104,027,008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104,088,784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103,921,724</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59,177</w:t>
            </w:r>
          </w:p>
        </w:tc>
      </w:tr>
      <w:tr>
        <w:trPr>
          <w:trHeight w:val="229"/>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79,744</w:t>
            </w:r>
          </w:p>
        </w:tc>
      </w:tr>
      <w:tr>
        <w:trPr>
          <w:trHeight w:val="248"/>
        </w:trPr>
        <w:tc>
          <w:tcPr>
            <w:tcW w:w="53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period</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104,222,732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104,060,645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104,222,732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104,060,645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3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50"/>
        </w:trPr>
        <w:tc>
          <w:tcPr>
            <w:tcW w:w="5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601,790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564,856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583,836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551,360</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withholding related to share-based compensation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9,005</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21,459</w:t>
            </w:r>
          </w:p>
        </w:tc>
      </w:tr>
      <w:tr>
        <w:trPr>
          <w:trHeight w:val="223"/>
        </w:trPr>
        <w:tc>
          <w:tcPr>
            <w:tcW w:w="53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610,305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610,305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573,518</w:t>
            </w:r>
          </w:p>
        </w:tc>
      </w:tr>
      <w:tr>
        <w:trPr>
          <w:trHeight w:val="250"/>
        </w:trPr>
        <w:tc>
          <w:tcPr>
            <w:tcW w:w="5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2,973,673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2,752,212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2,855,751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2,636,342</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87,099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81,549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280,743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268,873</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(109,346)</w:t>
            </w:r>
          </w:p>
        </w:tc>
      </w:tr>
      <w:tr>
        <w:trPr>
          <w:trHeight w:val="223"/>
        </w:trPr>
        <w:tc>
          <w:tcPr>
            <w:tcW w:w="53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3,020,702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2,795,869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3,020,702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2,795,869</w:t>
            </w:r>
          </w:p>
        </w:tc>
      </w:tr>
      <w:tr>
        <w:trPr>
          <w:trHeight w:val="250"/>
        </w:trPr>
        <w:tc>
          <w:tcPr>
            <w:tcW w:w="5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(1,852,118)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(1,832,118)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(1,807,118)</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Purchase of treasury shares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23"/>
        </w:trPr>
        <w:tc>
          <w:tcPr>
            <w:tcW w:w="53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(1,852,118)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(1,832,118)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(1,852,118)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(1,832,118)</w:t>
            </w:r>
          </w:p>
        </w:tc>
      </w:tr>
      <w:tr>
        <w:trPr>
          <w:trHeight w:val="250"/>
        </w:trPr>
        <w:tc>
          <w:tcPr>
            <w:tcW w:w="5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1,779,931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1,779,931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1,538,309</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w w:val="99"/>
              </w:rPr>
              <w:t>(In Thousands)</w:t>
            </w:r>
          </w:p>
        </w:tc>
        <w:tc>
          <w:tcPr>
            <w:tcW w:w="400" w:type="dxa"/>
            <w:vAlign w:val="bottom"/>
          </w:tcPr>
          <w:p>
            <w:pPr>
              <w:spacing w:after="0"/>
              <w:rPr>
                <w:sz w:val="20"/>
                <w:szCs w:val="20"/>
                <w:color w:val="auto"/>
              </w:rPr>
            </w:pPr>
          </w:p>
        </w:tc>
        <w:tc>
          <w:tcPr>
            <w:tcW w:w="3020" w:type="dxa"/>
            <w:vAlign w:val="bottom"/>
            <w:gridSpan w:val="4"/>
            <w:vMerge w:val="restart"/>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0"/>
        </w:trPr>
        <w:tc>
          <w:tcPr>
            <w:tcW w:w="7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8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474"/>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280,743</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268,873</w:t>
            </w: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income from operations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net cash from operating activities: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34,943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36,740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114,270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105,609</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deferred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(15,325)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(36,370)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for stock-based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21,459</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(Gain)/loss on disposal of assets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receivables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97,835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110,686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(68,885)</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accounts payable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(3,800)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expenses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(48,319)</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30,938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14,256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revenues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(185,784)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(184,130)</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336,242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207,031</w:t>
            </w:r>
          </w:p>
        </w:tc>
        <w:tc>
          <w:tcPr>
            <w:tcW w:w="0" w:type="dxa"/>
            <w:vAlign w:val="bottom"/>
          </w:tcPr>
          <w:p>
            <w:pPr>
              <w:spacing w:after="0"/>
              <w:rPr>
                <w:sz w:val="1"/>
                <w:szCs w:val="1"/>
                <w:color w:val="auto"/>
              </w:rPr>
            </w:pPr>
          </w:p>
        </w:tc>
      </w:tr>
      <w:tr>
        <w:trPr>
          <w:trHeight w:val="270"/>
        </w:trPr>
        <w:tc>
          <w:tcPr>
            <w:tcW w:w="7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for acquisitions, net of cash acquired</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(229,628)</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(34,347)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(27,237)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dispositions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27,885</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Purchased software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(4,561)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software developed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(125,351)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of investment</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(164,505)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(355,561)</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Borrowings on credit facilities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335,000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on credit facilities and financing leases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(290,059)</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(115,792)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(109,346)</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Tax withholding payments related to share-based compensation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(5,343)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common stock</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9,409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(156,726)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126,295</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(22,235)</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48,787</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left="340" w:right="2160"/>
        <w:spacing w:after="0" w:line="268" w:lineRule="auto"/>
        <w:rPr>
          <w:sz w:val="20"/>
          <w:szCs w:val="20"/>
          <w:color w:val="auto"/>
        </w:rPr>
      </w:pPr>
      <w:r>
        <w:rPr>
          <w:rFonts w:ascii="Arial" w:cs="Arial" w:eastAsia="Arial" w:hAnsi="Arial"/>
          <w:sz w:val="18"/>
          <w:szCs w:val="18"/>
          <w:b w:val="1"/>
          <w:bCs w:val="1"/>
          <w:color w:val="auto"/>
        </w:rPr>
        <w:t xml:space="preserve">JACK HENRY &amp; ASSOCIATES, INC. AND SUBSIDIARIES NOTES TO CONDENSED CONSOLIDATED FINANCIAL STATEMENTS (Unaudited) </w:t>
      </w:r>
      <w:r>
        <w:rPr>
          <w:rFonts w:ascii="Arial" w:cs="Arial" w:eastAsia="Arial" w:hAnsi="Arial"/>
          <w:sz w:val="18"/>
          <w:szCs w:val="18"/>
          <w:color w:val="auto"/>
        </w:rPr>
        <w:t>(In Thousands, Except Per Share Amounts)</w:t>
      </w:r>
    </w:p>
    <w:p>
      <w:pPr>
        <w:spacing w:after="0" w:line="198"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 xml:space="preserve">NOTE 1. NATURE OF OPERATIONS AND SUMMARY OF SIGNIFICANT ACCOUNTING POLICIES </w:t>
      </w:r>
      <w:r>
        <w:rPr>
          <w:rFonts w:ascii="Arial" w:cs="Arial" w:eastAsia="Arial" w:hAnsi="Arial"/>
          <w:sz w:val="18"/>
          <w:szCs w:val="18"/>
          <w:b w:val="1"/>
          <w:bCs w:val="1"/>
          <w:color w:val="auto"/>
        </w:rPr>
        <w:t>Description of the Company</w:t>
      </w:r>
    </w:p>
    <w:p>
      <w:pPr>
        <w:jc w:val="both"/>
        <w:spacing w:after="0" w:line="262" w:lineRule="auto"/>
        <w:rPr>
          <w:sz w:val="20"/>
          <w:szCs w:val="20"/>
          <w:color w:val="auto"/>
        </w:rPr>
      </w:pPr>
      <w:r>
        <w:rPr>
          <w:rFonts w:ascii="Arial" w:cs="Arial" w:eastAsia="Arial" w:hAnsi="Arial"/>
          <w:sz w:val="18"/>
          <w:szCs w:val="18"/>
          <w:color w:val="auto"/>
        </w:rPr>
        <w:t>Jack Henry &amp; Associates, Inc. and subsidiaries (“Jack Henry,” or the “Company”) is a well-rounded financial technology company. Jack Henry was founded in 1976 as a provider of core information processing solutions for banks. Today, the Company’s extensive array of products and services includes processing transactions, automating business processes, and managing information for approximately 7,500 financial institutions and diverse corporate entities.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condensed consolidated financial statements include the accounts of Jack Henry and all of its subsidiaries, which are wholly owned, and all intercompany accounts and transactions have been eliminated.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and nine months ended March 31, 2024 and 2023, equals the Company’s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allowance for credit losses activity for the three and nine months ended March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3340" w:type="dxa"/>
            <w:vAlign w:val="bottom"/>
            <w:gridSpan w:val="9"/>
          </w:tcPr>
          <w:p>
            <w:pPr>
              <w:ind w:left="360"/>
              <w:spacing w:after="0"/>
              <w:rPr>
                <w:sz w:val="20"/>
                <w:szCs w:val="20"/>
                <w:color w:val="auto"/>
              </w:rPr>
            </w:pPr>
            <w:r>
              <w:rPr>
                <w:rFonts w:ascii="Arial" w:cs="Arial" w:eastAsia="Arial" w:hAnsi="Arial"/>
                <w:sz w:val="18"/>
                <w:szCs w:val="18"/>
                <w:color w:val="auto"/>
              </w:rPr>
              <w:t>Three Months Ended March 31,</w:t>
            </w:r>
          </w:p>
        </w:tc>
        <w:tc>
          <w:tcPr>
            <w:tcW w:w="260" w:type="dxa"/>
            <w:vAlign w:val="bottom"/>
          </w:tcPr>
          <w:p>
            <w:pPr>
              <w:spacing w:after="0"/>
              <w:rPr>
                <w:sz w:val="20"/>
                <w:szCs w:val="20"/>
                <w:color w:val="auto"/>
              </w:rPr>
            </w:pPr>
          </w:p>
        </w:tc>
        <w:tc>
          <w:tcPr>
            <w:tcW w:w="2980" w:type="dxa"/>
            <w:vAlign w:val="bottom"/>
            <w:gridSpan w:val="8"/>
          </w:tcPr>
          <w:p>
            <w:pPr>
              <w:jc w:val="right"/>
              <w:ind w:right="310"/>
              <w:spacing w:after="0"/>
              <w:rPr>
                <w:sz w:val="20"/>
                <w:szCs w:val="20"/>
                <w:color w:val="auto"/>
              </w:rPr>
            </w:pPr>
            <w:r>
              <w:rPr>
                <w:rFonts w:ascii="Arial" w:cs="Arial" w:eastAsia="Arial" w:hAnsi="Arial"/>
                <w:sz w:val="18"/>
                <w:szCs w:val="18"/>
                <w:color w:val="auto"/>
              </w:rPr>
              <w:t>Nine Months Ended March 31,</w:t>
            </w:r>
          </w:p>
        </w:tc>
      </w:tr>
      <w:tr>
        <w:trPr>
          <w:trHeight w:val="183"/>
        </w:trPr>
        <w:tc>
          <w:tcPr>
            <w:tcW w:w="4660" w:type="dxa"/>
            <w:vAlign w:val="bottom"/>
          </w:tcPr>
          <w:p>
            <w:pPr>
              <w:spacing w:after="0"/>
              <w:rPr>
                <w:sz w:val="15"/>
                <w:szCs w:val="15"/>
                <w:color w:val="auto"/>
              </w:rPr>
            </w:pPr>
          </w:p>
        </w:tc>
        <w:tc>
          <w:tcPr>
            <w:tcW w:w="1060" w:type="dxa"/>
            <w:vAlign w:val="bottom"/>
            <w:tcBorders>
              <w:top w:val="single" w:sz="8" w:color="auto"/>
            </w:tcBorders>
            <w:gridSpan w:val="3"/>
          </w:tcPr>
          <w:p>
            <w:pPr>
              <w:jc w:val="right"/>
              <w:ind w:right="60"/>
              <w:spacing w:after="0" w:line="182" w:lineRule="exact"/>
              <w:rPr>
                <w:sz w:val="20"/>
                <w:szCs w:val="20"/>
                <w:color w:val="auto"/>
              </w:rPr>
            </w:pPr>
            <w:r>
              <w:rPr>
                <w:rFonts w:ascii="Arial" w:cs="Arial" w:eastAsia="Arial" w:hAnsi="Arial"/>
                <w:sz w:val="18"/>
                <w:szCs w:val="18"/>
                <w:b w:val="1"/>
                <w:bCs w:val="1"/>
                <w:color w:val="auto"/>
              </w:rPr>
              <w:t>2024</w:t>
            </w: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right"/>
              <w:ind w:right="47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530"/>
              <w:spacing w:after="0" w:line="182" w:lineRule="exact"/>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470"/>
              <w:spacing w:after="0" w:line="182" w:lineRule="exact"/>
              <w:rPr>
                <w:sz w:val="20"/>
                <w:szCs w:val="20"/>
                <w:color w:val="auto"/>
              </w:rPr>
            </w:pPr>
            <w:r>
              <w:rPr>
                <w:rFonts w:ascii="Arial" w:cs="Arial" w:eastAsia="Arial" w:hAnsi="Arial"/>
                <w:sz w:val="18"/>
                <w:szCs w:val="18"/>
                <w:color w:val="auto"/>
              </w:rPr>
              <w:t>2023</w:t>
            </w:r>
          </w:p>
        </w:tc>
      </w:tr>
      <w:tr>
        <w:trPr>
          <w:trHeight w:val="20"/>
        </w:trPr>
        <w:tc>
          <w:tcPr>
            <w:tcW w:w="4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7,616</w:t>
            </w: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1,380</w:t>
            </w:r>
          </w:p>
        </w:tc>
      </w:tr>
      <w:tr>
        <w:trPr>
          <w:trHeight w:val="23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 charged against allowance</w:t>
            </w:r>
          </w:p>
        </w:tc>
        <w:tc>
          <w:tcPr>
            <w:tcW w:w="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Recoveries of amounts previously written off</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Allowance for credit losses - ending balance</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7,690</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8,160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7,690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8,160</w:t>
            </w:r>
          </w:p>
        </w:tc>
      </w:tr>
      <w:tr>
        <w:trPr>
          <w:trHeight w:val="20"/>
        </w:trPr>
        <w:tc>
          <w:tcPr>
            <w:tcW w:w="4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Property and equipment is recorded at cost and depreciated using the straight-line method over the estimated useful lives of the assets. Accumulated depreciation at March 31, 2024, totaled $475,245 and at June 30, 2023, totaled $466,711.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3 to 20 years. Accumulated amortization of intangible assets totaled $1,240,498 and $1,149,913 at March 31, 2024, and June 30, 2023,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Investment</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2024, and June 30, 2023, the Company had an investment in the preferred stock of Autobooks, Inc. (“Autobooks”) of $18,250, which represented a non-controlling share of the voting equity as of that date. The total investment was recorded at cost and is included within other non-current assets on the Company's balance sheet. There have been no events or changes in circumstances that would indicate an impairment and no price changes resulting from observing a similar or identical investment. An impairment and/or an observable price change would be an adjustment to recorded cost. Fair value will not be estimated unless there are identified events or changes in circumstances that may have a significant adverse effect on the fair value of the investment.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March 31, 2024, there were 31,323 shares in treasury stock and the Company had the remaining authority to repurchase up to 3,667 additional shares. The total cost of treasury shares at March 31, 2024, was $ 1,852,118. During the first nine months of fiscal 2024, the Company repurchased 129 shares. At June 30, 2023, there were 31,194 shares in treasury stock and the Company had the remaining authority to repurchase up to 3,796 additional shares. The total cost of treasury shares at June 30, 2023, was $1,832,118 and the Company repurchased 151 shares during the first nine months of fiscal 2023.</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basis of assets and liabilities. A valuation allowance would be established to reduce deferred tax assets if it is more likely than not that a deferred tax asset will not be realized.</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expenses are recognized on the full amount of unrecognized benefits for uncertain tax positions. The Company's policy is to include interest and penalties related to unrecognized tax benefits in income tax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instructions to Form 10-Q of the Securities and Exchange Commission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2023.</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March 31, 2024, the results of its operations for the three and nine months ended March 31, 2024 and 2023, changes in stockholders' equity for the three and nine months ended March 31, 2024 and 2023, and its cash flows for the nine months ended March 31, 2024 and 2023. The condensed consolidated balance sheet at June 30, 2023, was derived from audited annual financial statements, but does not contain all of the footnote disclosures from the annual financial statements.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results of operations for the three and nine months ended March 31, 2024, are not necessarily indicative of the results to be expected for the entire fiscal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accounting policies followed by the Company are set forth in Note 1 to the Company's consolidated financial statements included in its Form 10-K for the fiscal year ended June 30, 2023. For the three and nine months ended March 31, 2024, there have been no new or material changes to the significant accounting policies discussed in the Company’s Form 10-K for the fiscal year ended June 30, 2023, that are of significance, or potential significance, to the Company.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7"/>
          <w:szCs w:val="17"/>
          <w:color w:val="auto"/>
        </w:rPr>
        <w:t>RECENT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The ASU is effective for fiscal years beginning after December 15, 2022, and interim periods within those fiscal years. The Company adopted the ASU effective July 1, 2023, and will apply it prospectively to business combinations occurring after that 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 in the financial statements. Early adoption is permitted. The Company is currently evaluating the impact of this ASU on its consolidated financial statements and related disclosures.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is currently evaluating the impact of this ASU on its consolidated financial statements and related disclosures.</w:t>
      </w:r>
    </w:p>
    <w:p>
      <w:pPr>
        <w:spacing w:after="0" w:line="1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tab/>
        <w:t>REVENUE AND DEFERRED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generates revenue from data processing and hosting, transaction processing, software licensing and related services, professional services, and hardware sales.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present the Company's revenue disaggregated by type of revenue. Refer to Note 11, Reportable Segment Information, for disaggregated revenue by type and reportable segment. The majority of the Company’s revenue is earned domestically, with revenue from customers outside the United States comprising less than 1% of total revenue.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60" w:type="dxa"/>
            <w:vAlign w:val="bottom"/>
          </w:tcPr>
          <w:p>
            <w:pPr>
              <w:spacing w:after="0"/>
              <w:rPr>
                <w:sz w:val="20"/>
                <w:szCs w:val="20"/>
                <w:color w:val="auto"/>
              </w:rPr>
            </w:pPr>
          </w:p>
        </w:tc>
        <w:tc>
          <w:tcPr>
            <w:tcW w:w="3880" w:type="dxa"/>
            <w:vAlign w:val="bottom"/>
            <w:gridSpan w:val="10"/>
          </w:tcPr>
          <w:p>
            <w:pPr>
              <w:ind w:left="620"/>
              <w:spacing w:after="0"/>
              <w:rPr>
                <w:sz w:val="20"/>
                <w:szCs w:val="20"/>
                <w:color w:val="auto"/>
              </w:rPr>
            </w:pPr>
            <w:r>
              <w:rPr>
                <w:rFonts w:ascii="Arial" w:cs="Arial" w:eastAsia="Arial" w:hAnsi="Arial"/>
                <w:sz w:val="18"/>
                <w:szCs w:val="18"/>
                <w:color w:val="auto"/>
              </w:rPr>
              <w:t>Three Months Ended March 31,</w:t>
            </w:r>
          </w:p>
        </w:tc>
        <w:tc>
          <w:tcPr>
            <w:tcW w:w="400" w:type="dxa"/>
            <w:vAlign w:val="bottom"/>
          </w:tcPr>
          <w:p>
            <w:pPr>
              <w:spacing w:after="0"/>
              <w:rPr>
                <w:sz w:val="20"/>
                <w:szCs w:val="20"/>
                <w:color w:val="auto"/>
              </w:rPr>
            </w:pPr>
          </w:p>
        </w:tc>
        <w:tc>
          <w:tcPr>
            <w:tcW w:w="3400" w:type="dxa"/>
            <w:vAlign w:val="bottom"/>
            <w:gridSpan w:val="8"/>
          </w:tcPr>
          <w:p>
            <w:pPr>
              <w:jc w:val="right"/>
              <w:ind w:right="680"/>
              <w:spacing w:after="0"/>
              <w:rPr>
                <w:sz w:val="20"/>
                <w:szCs w:val="20"/>
                <w:color w:val="auto"/>
              </w:rPr>
            </w:pPr>
            <w:r>
              <w:rPr>
                <w:rFonts w:ascii="Arial" w:cs="Arial" w:eastAsia="Arial" w:hAnsi="Arial"/>
                <w:sz w:val="18"/>
                <w:szCs w:val="18"/>
                <w:color w:val="auto"/>
              </w:rPr>
              <w:t>Nine Months Ended March 31,</w:t>
            </w:r>
          </w:p>
        </w:tc>
      </w:tr>
      <w:tr>
        <w:trPr>
          <w:trHeight w:val="183"/>
        </w:trPr>
        <w:tc>
          <w:tcPr>
            <w:tcW w:w="3560" w:type="dxa"/>
            <w:vAlign w:val="bottom"/>
          </w:tcPr>
          <w:p>
            <w:pPr>
              <w:spacing w:after="0"/>
              <w:rPr>
                <w:sz w:val="15"/>
                <w:szCs w:val="15"/>
                <w:color w:val="auto"/>
              </w:rPr>
            </w:pPr>
          </w:p>
        </w:tc>
        <w:tc>
          <w:tcPr>
            <w:tcW w:w="1180" w:type="dxa"/>
            <w:vAlign w:val="bottom"/>
            <w:tcBorders>
              <w:top w:val="single" w:sz="8" w:color="auto"/>
            </w:tcBorders>
            <w:gridSpan w:val="3"/>
          </w:tcPr>
          <w:p>
            <w:pPr>
              <w:jc w:val="right"/>
              <w:ind w:right="40"/>
              <w:spacing w:after="0" w:line="182" w:lineRule="exact"/>
              <w:rPr>
                <w:sz w:val="20"/>
                <w:szCs w:val="20"/>
                <w:color w:val="auto"/>
              </w:rPr>
            </w:pPr>
            <w:r>
              <w:rPr>
                <w:rFonts w:ascii="Arial" w:cs="Arial" w:eastAsia="Arial" w:hAnsi="Arial"/>
                <w:sz w:val="18"/>
                <w:szCs w:val="18"/>
                <w:b w:val="1"/>
                <w:bCs w:val="1"/>
                <w:color w:val="auto"/>
              </w:rPr>
              <w:t>2024</w:t>
            </w: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680"/>
              <w:spacing w:after="0" w:line="18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right"/>
              <w:ind w:right="720"/>
              <w:spacing w:after="0" w:line="182" w:lineRule="exact"/>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right"/>
              <w:ind w:right="720"/>
              <w:spacing w:after="0" w:line="182" w:lineRule="exact"/>
              <w:rPr>
                <w:sz w:val="20"/>
                <w:szCs w:val="20"/>
                <w:color w:val="auto"/>
              </w:rPr>
            </w:pPr>
            <w:r>
              <w:rPr>
                <w:rFonts w:ascii="Arial" w:cs="Arial" w:eastAsia="Arial" w:hAnsi="Arial"/>
                <w:sz w:val="18"/>
                <w:szCs w:val="18"/>
                <w:color w:val="auto"/>
              </w:rPr>
              <w:t>2023</w:t>
            </w:r>
          </w:p>
        </w:tc>
      </w:tr>
      <w:tr>
        <w:trPr>
          <w:trHeight w:val="21"/>
        </w:trPr>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and Public Cloud</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158,228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506,344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460,357</w:t>
            </w: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Product Delivery and Services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51,638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56,372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6"/>
                <w:szCs w:val="16"/>
                <w:color w:val="auto"/>
              </w:rPr>
              <w:t>175,490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172,489</w:t>
            </w:r>
          </w:p>
        </w:tc>
      </w:tr>
      <w:tr>
        <w:trPr>
          <w:trHeight w:val="217"/>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On-Premise Support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79,257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77,322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277,380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269,925</w:t>
            </w:r>
          </w:p>
        </w:tc>
      </w:tr>
      <w:tr>
        <w:trPr>
          <w:trHeight w:val="209"/>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Services and Support</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305,017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291,922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959,214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902,771</w:t>
            </w:r>
          </w:p>
        </w:tc>
      </w:tr>
      <w:tr>
        <w:trPr>
          <w:trHeight w:val="216"/>
        </w:trPr>
        <w:tc>
          <w:tcPr>
            <w:tcW w:w="3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233,545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6"/>
                <w:szCs w:val="16"/>
                <w:color w:val="auto"/>
              </w:rPr>
              <w:t>216,630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696,417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640,298</w:t>
            </w:r>
          </w:p>
        </w:tc>
      </w:tr>
      <w:tr>
        <w:trPr>
          <w:trHeight w:val="216"/>
        </w:trPr>
        <w:tc>
          <w:tcPr>
            <w:tcW w:w="35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538,562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508,552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1,655,631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1,543,069</w:t>
            </w:r>
          </w:p>
        </w:tc>
      </w:tr>
      <w:tr>
        <w:trPr>
          <w:trHeight w:val="20"/>
        </w:trPr>
        <w:tc>
          <w:tcPr>
            <w:tcW w:w="3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80" w:type="dxa"/>
            <w:vAlign w:val="bottom"/>
          </w:tcPr>
          <w:p>
            <w:pPr>
              <w:spacing w:after="0"/>
              <w:rPr>
                <w:sz w:val="20"/>
                <w:szCs w:val="20"/>
                <w:color w:val="auto"/>
              </w:rPr>
            </w:pPr>
            <w:r>
              <w:rPr>
                <w:rFonts w:ascii="Arial" w:cs="Arial" w:eastAsia="Arial" w:hAnsi="Arial"/>
                <w:sz w:val="18"/>
                <w:szCs w:val="18"/>
                <w:b w:val="1"/>
                <w:bCs w:val="1"/>
                <w:i w:val="1"/>
                <w:iCs w:val="1"/>
                <w:color w:val="auto"/>
              </w:rPr>
              <w:t>Contract Balances</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89"/>
        </w:trPr>
        <w:tc>
          <w:tcPr>
            <w:tcW w:w="9540" w:type="dxa"/>
            <w:vAlign w:val="bottom"/>
            <w:gridSpan w:val="4"/>
          </w:tcPr>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3"/>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43"/>
        </w:trPr>
        <w:tc>
          <w:tcPr>
            <w:tcW w:w="77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263,416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361,252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 Current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28,235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26,711</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Non-current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88,778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81,561</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 Current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147,328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331,974</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 Non-current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67,755</w:t>
            </w:r>
          </w:p>
        </w:tc>
      </w:tr>
    </w:tbl>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customer, except where invoicing is contingent upon the completion of other performance obligations or payment terms differ from the provisioning of services. The current portion of contract assets is reported within prepaid expenses and other in the condensed consolidated balance sheet, and the non-current portion is included in other non-current assets. Contract liabilities (deferred revenue) primarily relate to consideration received from customers in advance of delivery of the related goods and services to the customer. Contract balances are reported in a net contract asset or liability position on a contract-by-contract basis at the end of each reporting period.</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2024, and 2023, the Company recognized revenue of $83,083 and $83,179, respectively, that was included in the corresponding deferred revenue balance at the beginning of the periods. For the nine months ended March 31, 2024, and 2023, the Company recognized revenue of $226,419 and $215,263, respectively, that was included in the corresponding deferred revenue balance at the beginning of the periods.</w:t>
      </w:r>
    </w:p>
    <w:p>
      <w:pPr>
        <w:spacing w:after="0" w:line="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2024, estimated revenue expected to be recognized in the future related to performance obligations that are unsatisfied (or partially unsatisfied) at the end of the reporting period totaled $6,493,836. The Company expects to recognize approximately 24% over the next 12 months, 20% in 13-24 months, and the balance thereafter.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customers that are expected to be recovered. These costs consist primarily of sales commissions, which are incurred only if a contract is obtained, and customer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$464,563 and $442,012, at March 31, 2024, and June 30, 2023, respectively.</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2024, and 2023, amortization of deferred contract costs totaled $41,107 and $37,381, respectively. During the nine months ended March 31, 2024, and 2023, amortization of deferred contract costs totaled $133,195 and $114,222, respectively. There were no impairment losses in relation to capitalized costs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FAIR VALUE OF FINANCIAL INSTRUMENTS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104"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assets included in current assets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444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Total Fair</w:t>
            </w:r>
          </w:p>
        </w:tc>
      </w:tr>
      <w:tr>
        <w:trPr>
          <w:trHeight w:val="223"/>
        </w:trPr>
        <w:tc>
          <w:tcPr>
            <w:tcW w:w="47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March 31, 2024</w:t>
            </w: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3,461</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3,461</w:t>
            </w:r>
          </w:p>
        </w:tc>
      </w:tr>
      <w:tr>
        <w:trPr>
          <w:trHeight w:val="22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440"/>
              <w:spacing w:after="0"/>
              <w:rPr>
                <w:sz w:val="20"/>
                <w:szCs w:val="20"/>
                <w:color w:val="auto"/>
              </w:rPr>
            </w:pPr>
            <w:r>
              <w:rPr>
                <w:rFonts w:ascii="Arial" w:cs="Arial" w:eastAsia="Arial" w:hAnsi="Arial"/>
                <w:sz w:val="18"/>
                <w:szCs w:val="18"/>
                <w:color w:val="auto"/>
              </w:rPr>
              <w:t>Credit facilities</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250,000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250,000</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facilities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r>
    </w:tbl>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if an arrangement is a lease, or contains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certain office space, data centers, and equipment with remaining terms of 2 months to 10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2024, and June 30, 2023, the Company had operating lease assets of $56,336 and $ 43,662, respectively. At March 31, 2024, total operating lease liabilities of $62,065 were comprised of current operating lease liabilities of $9,063 and noncurrent operating lease liabilities of $53,002. At June 30, 2023, total operating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lease liabilities of $50,269 were comprised of current operating lease liabilities of $9,776 and noncurrent operating lease liabilities of $40,493.</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within accrued expenses (current portion) and other long-term liabilities (noncurrent portion) in the Company’s condensed consolidated balance sheet. Operating lease assets were recorded net of accumulated amortization of $32,167 and $34,973 as of March 31, 2024, and June 30, 2023, respectively.</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lease costs for the three months ended March 31, 2024, and 2023, were $3,190 and $2,903, respectively. Total operating lease costs for the respective quarters included variable lease costs of $1,101 and $846, respectively. Operating lease costs for the nine months ended March 31, 2024, and 2023, were $7,888 and $8,991, respectively. Total operating lease costs for the respective fiscal year-to-date periods included variable lease costs of $3,354 and $2,727, respectively. Operating lease expense is included within cost of services, research and development, and selling, general and administrative expense, dependent upon the nature and use of the ROU asset, in the Company’s condensed consolidated statements of income.</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nine months ended March 31, 2024, and 2023, the Company had operating cash flows for payments on operating leases of $6,855 and $9,230, and ROU assets obtained in exchange for operating lease liabilities of $19,222 and $2,354, respectively.</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2024, and June 30, 2023, the weighted-average remaining lease term for the Company's operating leases was 79 months and 78 months, and the weighted-average discount rate was 2.69% and 2.14%,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20"/>
                <w:szCs w:val="20"/>
                <w:color w:val="auto"/>
              </w:rPr>
            </w:pP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r>
      <w:tr>
        <w:trPr>
          <w:trHeight w:val="230"/>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2024 (remaining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10,347</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10,938</w:t>
            </w:r>
          </w:p>
        </w:tc>
      </w:tr>
      <w:tr>
        <w:trPr>
          <w:trHeight w:val="230"/>
        </w:trPr>
        <w:tc>
          <w:tcPr>
            <w:tcW w:w="3400" w:type="dxa"/>
            <w:vAlign w:val="bottom"/>
          </w:tcPr>
          <w:p>
            <w:pPr>
              <w:jc w:val="right"/>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10,422</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w:t>
            </w:r>
          </w:p>
        </w:tc>
      </w:tr>
      <w:tr>
        <w:trPr>
          <w:trHeight w:val="229"/>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25,098</w:t>
            </w:r>
          </w:p>
        </w:tc>
      </w:tr>
      <w:tr>
        <w:trPr>
          <w:trHeight w:val="223"/>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69,301</w:t>
            </w:r>
          </w:p>
        </w:tc>
      </w:tr>
      <w:tr>
        <w:trPr>
          <w:trHeight w:val="229"/>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(7,236)</w:t>
            </w:r>
          </w:p>
        </w:tc>
      </w:tr>
      <w:tr>
        <w:trPr>
          <w:trHeight w:val="248"/>
        </w:trPr>
        <w:tc>
          <w:tcPr>
            <w:tcW w:w="3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62,065</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lease payments include $5,464 related to options to extend lease terms that are reasonably certain of being exercised. At March 31, 2024, there were no legally binding lease payments for leases signed but not yet commenced.</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September 30, 2023, the Company entered into an agreement with a third party to sublease a portion of its Elizabethtown, Kentucky facility. The commencement date of the sublease was October 1, 2023, and has a term of 57 months. Sublease income for the three and nine months ended March 31, 2024 was $213 and $ 345</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respectively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is included within revenue on the Company's condensed consolidated statements of income. There have been no indications of impairment related to the underlying right-of-use asset.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Sublease Payments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2024, the future total minimum sublease payments to be received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4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40" w:type="dxa"/>
            <w:vAlign w:val="bottom"/>
          </w:tcPr>
          <w:p>
            <w:pPr>
              <w:spacing w:after="0"/>
              <w:rPr>
                <w:sz w:val="20"/>
                <w:szCs w:val="20"/>
                <w:color w:val="auto"/>
              </w:rPr>
            </w:pPr>
          </w:p>
        </w:tc>
        <w:tc>
          <w:tcPr>
            <w:tcW w:w="3360" w:type="dxa"/>
            <w:vAlign w:val="bottom"/>
          </w:tcPr>
          <w:p>
            <w:pPr>
              <w:jc w:val="right"/>
              <w:ind w:right="290"/>
              <w:spacing w:after="0"/>
              <w:rPr>
                <w:sz w:val="20"/>
                <w:szCs w:val="20"/>
                <w:color w:val="auto"/>
              </w:rPr>
            </w:pPr>
            <w:r>
              <w:rPr>
                <w:rFonts w:ascii="Arial" w:cs="Arial" w:eastAsia="Arial" w:hAnsi="Arial"/>
                <w:sz w:val="18"/>
                <w:szCs w:val="18"/>
                <w:color w:val="auto"/>
              </w:rPr>
              <w:t>Future Minimum Sublease Receipts</w:t>
            </w:r>
          </w:p>
        </w:tc>
      </w:tr>
      <w:tr>
        <w:trPr>
          <w:trHeight w:val="250"/>
        </w:trPr>
        <w:tc>
          <w:tcPr>
            <w:tcW w:w="3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tcPr>
          <w:p>
            <w:pPr>
              <w:spacing w:after="0"/>
              <w:rPr>
                <w:sz w:val="21"/>
                <w:szCs w:val="21"/>
                <w:color w:val="auto"/>
              </w:rPr>
            </w:pPr>
          </w:p>
        </w:tc>
      </w:tr>
      <w:tr>
        <w:trPr>
          <w:trHeight w:val="229"/>
        </w:trPr>
        <w:tc>
          <w:tcPr>
            <w:tcW w:w="3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2024 (remaining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3420" w:type="dxa"/>
            <w:vAlign w:val="bottom"/>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29"/>
        </w:trPr>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29"/>
        </w:trPr>
        <w:tc>
          <w:tcPr>
            <w:tcW w:w="3420" w:type="dxa"/>
            <w:vAlign w:val="bottom"/>
          </w:tcPr>
          <w:p>
            <w:pPr>
              <w:jc w:val="right"/>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23"/>
        </w:trPr>
        <w:tc>
          <w:tcPr>
            <w:tcW w:w="3640" w:type="dxa"/>
            <w:vAlign w:val="bottom"/>
            <w:gridSpan w:val="2"/>
          </w:tcPr>
          <w:p>
            <w:pPr>
              <w:jc w:val="right"/>
              <w:ind w:right="240"/>
              <w:spacing w:after="0"/>
              <w:rPr>
                <w:sz w:val="20"/>
                <w:szCs w:val="20"/>
                <w:color w:val="auto"/>
              </w:rPr>
            </w:pPr>
            <w:r>
              <w:rPr>
                <w:rFonts w:ascii="Arial" w:cs="Arial" w:eastAsia="Arial" w:hAnsi="Arial"/>
                <w:sz w:val="18"/>
                <w:szCs w:val="18"/>
                <w:color w:val="auto"/>
              </w:rPr>
              <w:t>Total sublease receipts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w:t>
            </w:r>
          </w:p>
        </w:tc>
      </w:tr>
      <w:tr>
        <w:trPr>
          <w:trHeight w:val="21"/>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DEBT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a prior credit facility that was entered into on February 10, 2020.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March 31, 2024, the Company was in compliance with all such covenants. The amended and restated credit facility terminates August 31, 2027. There was $70,000 and $95,000 outstanding under the amended and restated credit facility at March 31, 2024 and June 30, 2023,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bear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plus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March 31, 2024, the Company was in compliance with all such covenants. The term loan credit agreement has a maturity date of May 16, 2025. There was $180,000 outstanding under the term loan at March 31, 2024 and June 30, 2023.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credit line expires on April 30, 2025. There was no balance outstanding at March 31, 2024, or June 30, 2023.</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$11,176 and $6,871 during the nine months ended March 31, 2024, and 2023, respectively.</w:t>
      </w:r>
    </w:p>
    <w:p>
      <w:pPr>
        <w:spacing w:after="0" w:line="1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INCOME TAXES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effective tax rate increased for the three months ended March 31, 2024, compared to the three months ended March 31, 2023, with an effective tax rate of 23.7% of income before income taxes, compared to 23.2% in the prior fiscal year quarter. The increase in the Company's tax rate was primarily due to certain discrete period benefits recognized during the prior fiscal year quarter.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nine months ended March 31, 2024, the effective tax rate increased compared to the nine months ended March 31, 2023, with an effective tax rate of 23.6% of income before taxes, compared to 23.3% for the same period last fiscal year. The increase in the effective tax rate for the nine months ended March 31, 2024, was primarily due to the difference in impact of share-based compensation that vested during each of the periods.</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paid income taxes, net of refunds, of $70,686 and $103,251 in the nine months ended March 31, 2024, and 2023, respectively. The decrease in paid income taxes for the nine months ended March 31, 2024, compared to the nine months ended March 31, 2023, was primarily the result of additional cash flow benefits achieved with changes in the impact of Internal Revenue Code Section 174, requiring certain research and development costs to be capitalized, due to related guidance released by the Internal Revenue Service in the current fiscal year.</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2024, the Company had $13,999 of gross unrecognized tax benefits before interest and penalties, $12,225 of which, if recognized, would affect our effective tax rate. The Company had accrued interest and penalties of $2,800 and $1,635 related to uncertain tax positions at March 31, 2024, and 2023, respectively.</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federal income tax returns for fiscal 2020 and all subsequent years remain subject to examination as of March 31, 2024, under statute of limitations rules. The U.S. state income tax returns that remain subject to examination as of March 31, 2024, under the statute of limitation rules varies by state jurisdiction from fiscal 2016 through 2019 and all subsequent years. The Company anticipates potential changes due to lapsing of statutes of limitations, and examination closures could reduce the unrecognized tax benefits balance by $1,500 to $4,500 within twelve months of March 31, 2024.</w:t>
      </w:r>
    </w:p>
    <w:p>
      <w:pPr>
        <w:spacing w:after="0" w:line="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STOCK-BASED COMPENSATION</w:t>
      </w:r>
    </w:p>
    <w:p>
      <w:pPr>
        <w:spacing w:after="0" w:line="10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operating income for the three months ended March 31, 2024, and 2023, included $6,924 and $6,915 of stock-based compensation costs, respectively. Our operating income for the nine months ended March 31, 2024, and 2023, included $22,404 and $21,459 of stock-based compensation costs, respectively.</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10, 2015, the Company adopted the 2015 Equity Incentive Plan (“2015 EIP”) for its employees and non-employee directors. The plan allows for grants of stock options, stock appreciation rights, restricted stock shares or units, and performance shares or units. The maximum number of shares authorized for issuance under the plan is 3,000.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2015 EIP, terms and vesting periods of the options are determined by the Compensation Committee of the Board of Directors when granted. The option period must expire not more than ten years from the option grant date. The options granted under this plan are exercisable beginning three years after the grant date at an exercise price equal to 100% of the fair market value of the stock at the grant date. The options terminate upon surrender of the option, ninety days after termination of employment, upon the expiration of one year following notification of a deceased optionee, or ten years after grant.</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nine months ended March 31, 2024, there were no options granted, forfeited, or exercised. At March 31, 2024, 12 options were outstanding at a weighted average exercise price of $87.27 with an aggregate intrinsic value of $1,010.</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March 31, 2024, there was no compensation cost yet to be recognized related to outstanding options. All of the options are currently exercisable, with a weighted average remaining contractual term (remaining period of exercisability) of 2.25 years as of March 31, 2024.</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and performance unit awards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issues unit awards under the 2015 EIP. Restricted stock unit awards (which are unit awards that have service requirements only and are not tied to performance measures) generally vest over a period of 1 to 3 years. Performance unit awards are awards that have performance measures in addition to service requirements.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non-vested restricted stock unit awards and performance awards as of March 31,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Unit awards</w:t>
            </w:r>
          </w:p>
        </w:tc>
        <w:tc>
          <w:tcPr>
            <w:tcW w:w="19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 Average Grant</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Aggregate Intrinsic</w:t>
            </w:r>
          </w:p>
        </w:tc>
        <w:tc>
          <w:tcPr>
            <w:tcW w:w="0" w:type="dxa"/>
            <w:vAlign w:val="bottom"/>
          </w:tcPr>
          <w:p>
            <w:pPr>
              <w:spacing w:after="0"/>
              <w:rPr>
                <w:sz w:val="1"/>
                <w:szCs w:val="1"/>
                <w:color w:val="auto"/>
              </w:rPr>
            </w:pPr>
          </w:p>
        </w:tc>
      </w:tr>
      <w:tr>
        <w:trPr>
          <w:trHeight w:val="235"/>
        </w:trPr>
        <w:tc>
          <w:tcPr>
            <w:tcW w:w="4860" w:type="dxa"/>
            <w:vAlign w:val="bottom"/>
            <w:gridSpan w:val="2"/>
            <w:vMerge w:val="continue"/>
          </w:tcPr>
          <w:p>
            <w:pPr>
              <w:spacing w:after="0"/>
              <w:rPr>
                <w:sz w:val="20"/>
                <w:szCs w:val="20"/>
                <w:color w:val="auto"/>
              </w:rPr>
            </w:pPr>
          </w:p>
        </w:tc>
        <w:tc>
          <w:tcPr>
            <w:tcW w:w="1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jc w:val="right"/>
              <w:ind w:right="530"/>
              <w:spacing w:after="0"/>
              <w:rPr>
                <w:sz w:val="20"/>
                <w:szCs w:val="20"/>
                <w:color w:val="auto"/>
              </w:rPr>
            </w:pPr>
            <w:r>
              <w:rPr>
                <w:rFonts w:ascii="Arial" w:cs="Arial" w:eastAsia="Arial" w:hAnsi="Arial"/>
                <w:sz w:val="18"/>
                <w:szCs w:val="18"/>
                <w:b w:val="1"/>
                <w:bCs w:val="1"/>
                <w:color w:val="auto"/>
              </w:rPr>
              <w:t>Date Fair Value</w:t>
            </w:r>
          </w:p>
        </w:tc>
        <w:tc>
          <w:tcPr>
            <w:tcW w:w="46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July 1, 2023</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190.08</w:t>
            </w:r>
          </w:p>
        </w:tc>
        <w:tc>
          <w:tcPr>
            <w:tcW w:w="4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9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178.58</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170.11</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194.25</w:t>
            </w:r>
          </w:p>
        </w:tc>
        <w:tc>
          <w:tcPr>
            <w:tcW w:w="4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March 31, 2024</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190.22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55,983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Granted includes restricted stock unit awards and performance unit awards with market conditions at 100% achievement.</w:t>
      </w:r>
    </w:p>
    <w:p>
      <w:pPr>
        <w:jc w:val="both"/>
        <w:spacing w:after="0" w:line="284" w:lineRule="auto"/>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Forfeited includes restricted stock unit awards and performance unit awards forfeited for service requirements not met and performance unit awards not settled due to</w:t>
      </w:r>
      <w:r>
        <w:rPr>
          <w:rFonts w:ascii="Arial" w:cs="Arial" w:eastAsia="Arial" w:hAnsi="Arial"/>
          <w:sz w:val="9"/>
          <w:szCs w:val="9"/>
          <w:color w:val="auto"/>
        </w:rPr>
        <w:t xml:space="preserve"> </w:t>
      </w:r>
      <w:r>
        <w:rPr>
          <w:rFonts w:ascii="Arial" w:cs="Arial" w:eastAsia="Arial" w:hAnsi="Arial"/>
          <w:sz w:val="14"/>
          <w:szCs w:val="14"/>
          <w:color w:val="auto"/>
        </w:rPr>
        <w:t>underachievement of performance measures.</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154 unit awards granted in fiscal 2024, 95 were restricted stock unit awards and 59 were performance unit awards. The restricted stock unit awards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24 of the performance unit awards granted in fiscal 2024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performance unit awards will be determined based on the Company's compound annual growth rate for revenue (excluding adjustments) for the three-year vesting period compared against goal thresholds as defined in the award agreement. The performance payout at release of the other half of these performance unit awards will be determined based on the expansion of the Company's non-GAAP operating margin over the three-year vesting period compared against goal thresholds as defined in the award agreement. 35 of the performance unit awards have market conditions and were valued at grant using a Monte Carlo pricing model as of the measurement date customized to the specific provisions of the Company’s plan design. Per the Company's award vesting and settlement provisions, the performance unit awards that utilize a Monte Carlo pricing model were valued at grant on the basis of Total Shareholder Return (“TSR”) in comparison to the compensation peer group made up of participants approved by the Compensation Committee of the Company's Board of Directors for fiscal year 2024. The Monte Carlo inputs used in the model to estimate fair value at the measurement date and resulting values for these performance unit awards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Monte Carlo award inputs:</w:t>
            </w:r>
          </w:p>
        </w:tc>
        <w:tc>
          <w:tcPr>
            <w:tcW w:w="3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Fiscal 2024</w:t>
            </w:r>
          </w:p>
        </w:tc>
      </w:tr>
      <w:tr>
        <w:trPr>
          <w:trHeight w:val="230"/>
        </w:trPr>
        <w:tc>
          <w:tcPr>
            <w:tcW w:w="20" w:type="dxa"/>
            <w:vAlign w:val="bottom"/>
            <w:tcBorders>
              <w:top w:val="single" w:sz="8" w:color="CCEEFF"/>
            </w:tcBorders>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Compensation Peer Group:</w:t>
            </w:r>
          </w:p>
        </w:tc>
        <w:tc>
          <w:tcPr>
            <w:tcW w:w="50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25.6 %</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Risk free interest rate</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4.48 %</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Annual dividend based on most recent quarterly dividend</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$2.08</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Dividend yield</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1.23 %</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Beginning average percentile rank for TSR</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74.0 %</w:t>
            </w: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March 31, 2024, there was $ 26,784 of compensation expense that has yet to be recognized related to non-vested restricted stock unit and performance stock unit awards, which will be recognized over a weighted average period of 1.25 years.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tcPr>
          <w:p>
            <w:pPr>
              <w:spacing w:after="0"/>
              <w:rPr>
                <w:sz w:val="20"/>
                <w:szCs w:val="20"/>
                <w:color w:val="auto"/>
              </w:rPr>
            </w:pPr>
            <w:r>
              <w:rPr>
                <w:rFonts w:ascii="Arial" w:cs="Arial" w:eastAsia="Arial" w:hAnsi="Arial"/>
                <w:sz w:val="18"/>
                <w:szCs w:val="18"/>
                <w:color w:val="auto"/>
              </w:rPr>
              <w:t>NOTE 9.  EARNINGS PER SHARE</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540" w:type="dxa"/>
            <w:vAlign w:val="bottom"/>
            <w:gridSpan w:val="6"/>
          </w:tcPr>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660" w:type="dxa"/>
            <w:vAlign w:val="bottom"/>
          </w:tcPr>
          <w:p>
            <w:pPr>
              <w:spacing w:after="0"/>
              <w:rPr>
                <w:sz w:val="24"/>
                <w:szCs w:val="24"/>
                <w:color w:val="auto"/>
              </w:rPr>
            </w:pPr>
          </w:p>
        </w:tc>
        <w:tc>
          <w:tcPr>
            <w:tcW w:w="2860" w:type="dxa"/>
            <w:vAlign w:val="bottom"/>
            <w:gridSpan w:val="8"/>
          </w:tcPr>
          <w:p>
            <w:pPr>
              <w:ind w:left="100"/>
              <w:spacing w:after="0"/>
              <w:rPr>
                <w:sz w:val="20"/>
                <w:szCs w:val="20"/>
                <w:color w:val="auto"/>
              </w:rPr>
            </w:pPr>
            <w:r>
              <w:rPr>
                <w:rFonts w:ascii="Arial" w:cs="Arial" w:eastAsia="Arial" w:hAnsi="Arial"/>
                <w:sz w:val="18"/>
                <w:szCs w:val="18"/>
                <w:color w:val="auto"/>
              </w:rPr>
              <w:t>Three Months Ended March 31,</w:t>
            </w:r>
          </w:p>
        </w:tc>
        <w:tc>
          <w:tcPr>
            <w:tcW w:w="120" w:type="dxa"/>
            <w:vAlign w:val="bottom"/>
          </w:tcPr>
          <w:p>
            <w:pPr>
              <w:spacing w:after="0"/>
              <w:rPr>
                <w:sz w:val="24"/>
                <w:szCs w:val="24"/>
                <w:color w:val="auto"/>
              </w:rPr>
            </w:pPr>
          </w:p>
        </w:tc>
        <w:tc>
          <w:tcPr>
            <w:tcW w:w="2600" w:type="dxa"/>
            <w:vAlign w:val="bottom"/>
            <w:gridSpan w:val="8"/>
          </w:tcPr>
          <w:p>
            <w:pPr>
              <w:jc w:val="right"/>
              <w:ind w:right="140"/>
              <w:spacing w:after="0"/>
              <w:rPr>
                <w:sz w:val="20"/>
                <w:szCs w:val="20"/>
                <w:color w:val="auto"/>
              </w:rPr>
            </w:pPr>
            <w:r>
              <w:rPr>
                <w:rFonts w:ascii="Arial" w:cs="Arial" w:eastAsia="Arial" w:hAnsi="Arial"/>
                <w:sz w:val="18"/>
                <w:szCs w:val="18"/>
                <w:color w:val="auto"/>
              </w:rPr>
              <w:t>Nine Months Ended March 31,</w:t>
            </w: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color w:val="auto"/>
                <w:w w:val="94"/>
              </w:rPr>
              <w:t>2023</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87,099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81,549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280,743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268,873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information:</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4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72,872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72,935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72,860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72,931</w:t>
            </w:r>
          </w:p>
        </w:tc>
        <w:tc>
          <w:tcPr>
            <w:tcW w:w="0" w:type="dxa"/>
            <w:vAlign w:val="bottom"/>
          </w:tcPr>
          <w:p>
            <w:pPr>
              <w:spacing w:after="0"/>
              <w:rPr>
                <w:sz w:val="1"/>
                <w:szCs w:val="1"/>
                <w:color w:val="auto"/>
              </w:rPr>
            </w:pPr>
          </w:p>
        </w:tc>
      </w:tr>
      <w:tr>
        <w:trPr>
          <w:trHeight w:val="175"/>
        </w:trPr>
        <w:tc>
          <w:tcPr>
            <w:tcW w:w="56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Dilutive effect of stock options, restricted stock units, and</w:t>
            </w:r>
          </w:p>
        </w:tc>
        <w:tc>
          <w:tcPr>
            <w:tcW w:w="4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performance units</w:t>
            </w: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3"/>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3"/>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73,031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73,074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73,010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73,119</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7"/>
        </w:trPr>
        <w:tc>
          <w:tcPr>
            <w:tcW w:w="56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3.85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 share information is based on the weighted average number of common shares outstanding for the three and nine months ended March 31, 2024, and 2023. Stock options, restricted stock units, and performance units have been included in the calculation of diluted earnings per share to the extent they are dilutive. There were 31 and 29 anti-dilutive stock options, restricted stock units, or performance units excluded for the three and nine months ended March 31, 2024, respectively, and zero and nominal were excluded for the three and nine months ended March 31, 2023, respectively.</w:t>
      </w:r>
    </w:p>
    <w:p>
      <w:pPr>
        <w:spacing w:after="0" w:line="1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tab/>
        <w:t>BUSINESS ACQUISITION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Payrailz</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2022, the Company acquired all of the equity interest in Payrailz, LLC (“Payrailz”). The final purchase price, following customary post-closing adjustments to the extent actual closing date working capital, cash, debt, and unpaid seller transaction expenses exceeded or were less than the amounts estimated at closing, was $230,205. Pursuant to the merger agreement for the transaction, $48,500 of the purchase price was placed in an escrow account at the closing, consisting of $2,500 for any final purchase price adjustments owed by the sellers, which amount was released to the sellers on December 15, 2022, in connection with post-closing purchase price adjustments, and $46,000 for indemnification matters under the merger agreement, which amount was released to the sellers September 20, 2023.</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funded by our revolving line of credit (Note 6) and cash generated from operations. Payrailz provides cloud-native, API-first, AI-enabled consumer and commercial digital payment solutions and experiences that enable money to be moved in the moment of need.</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has completed a purchase price allocation and assessment of the fair value of acquired assets and liabilities assumed. The recognized amounts of identifiable assets acquired, and liabilities assumed, based on their fair values as of August 31, 2022, and taking into account the post-closing purchase price adjustment described above, are set forth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119,868</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liabilities assumed</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112,866</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117,339</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230,205</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goodwill of $117,339 arising from this acquisition consists largely of the growth potential, synergies, and economies of scale expected from combining the operations of the Company with those of Payrailz, together with the value of Payrailz's assembled workforce. The goodwill from this acquisition has been allocated to our Payments segment and $117,339 is expected to be deductible for income tax purposes.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Identifiable intangible assets from this acquisition consist of customer relationships of $ 6,109, computer software of $112,505, and other intangible assets of $1,254. The amortization period for acquired customer relationships, computer software, and other intangible assets is over a term of 15 years, 10 years, and 15 years, respectively.</w:t>
      </w:r>
    </w:p>
    <w:p>
      <w:pPr>
        <w:spacing w:after="0" w:line="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Current assets were inclusive of cash acquired of $577. The fair value of current assets acquired included accounts receivable of $978, none of which were expected to be uncollectible.</w:t>
      </w:r>
    </w:p>
    <w:p>
      <w:pPr>
        <w:spacing w:after="0" w:line="8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11.</w:t>
      </w:r>
      <w:r>
        <w:rPr>
          <w:sz w:val="20"/>
          <w:szCs w:val="20"/>
          <w:color w:val="auto"/>
        </w:rPr>
        <w:tab/>
      </w:r>
      <w:r>
        <w:rPr>
          <w:rFonts w:ascii="Arial" w:cs="Arial" w:eastAsia="Arial" w:hAnsi="Arial"/>
          <w:sz w:val="17"/>
          <w:szCs w:val="17"/>
          <w:color w:val="auto"/>
        </w:rPr>
        <w:t>REPORTABLE SEGMENT INFORMATION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is a leading provider of technology solutions and payment processing services primarily to community and regional financial institutions.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Automated Clearing House (“ACH”) origination and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Immaterial adjustments have been made between segments to reclassify revenue and cost of revenue that was recognized for the three and nine months ended March 31, 2023. These reclasses were made to be consistent with the current allocation of revenue and cost of revenue by segment. Revenue reclassed for the three and nine months ended March 31, 2023, from Core to Corporate and Other was $ 1,797 and $5,456, respectively, from Payments to Corporate and Other was $7 and $ 24, respectively, and from Complementary to Corporate and Other was $135 and $243, respectively. Cost of revenue reclassed for the three and nine months ended March 31, 2023, from Core to Corporate and Other was $1,711 and $5,004, respectively, from Payments to Corporate and Other was $662 and $1,923, respectively, and from Complementary to Corporate and Other was $329 and $989,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26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4"/>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March 31, 2024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2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156,421</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20,440</w:t>
            </w:r>
          </w:p>
        </w:tc>
        <w:tc>
          <w:tcPr>
            <w:tcW w:w="1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109,682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18,474</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305,017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181,479</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233,545</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149,231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20,757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538,562</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72,153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109,848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65,414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80,809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328,224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35,993</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right w:val="single" w:sz="8" w:color="CECECE"/>
            </w:tcBorders>
            <w:gridSpan w:val="2"/>
          </w:tcPr>
          <w:p>
            <w:pPr>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62,246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426,463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83,817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(60,052)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right w:val="single" w:sz="8" w:color="CECECE"/>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740" w:type="dxa"/>
            <w:vAlign w:val="bottom"/>
            <w:tcBorders>
              <w:top w:val="single" w:sz="8" w:color="CECECE"/>
              <w:bottom w:val="single" w:sz="8" w:color="CECECE"/>
            </w:tcBorders>
            <w:gridSpan w:val="4"/>
            <w:vMerge w:val="restart"/>
          </w:tcPr>
          <w:p>
            <w:pPr>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March 31, 2023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145,012</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19,833</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108,993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18,084</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291,922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32,994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216,630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155,106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191,833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141,987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69,994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106,216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61,037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70,098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307,345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400,162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gridSpan w:val="4"/>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85,112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85,617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80,950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(50,472)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19"/>
                <w:szCs w:val="19"/>
                <w:color w:val="auto"/>
              </w:rPr>
            </w:pPr>
          </w:p>
        </w:tc>
        <w:tc>
          <w:tcPr>
            <w:tcW w:w="324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32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4"/>
        </w:trPr>
        <w:tc>
          <w:tcPr>
            <w:tcW w:w="126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ind w:left="40"/>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2024</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487,594</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61,402</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347,733</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62,485</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959,214</w:t>
            </w: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31,102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543,713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115,331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696,417</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518,696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605,115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463,064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1,655,631</w:t>
            </w:r>
          </w:p>
        </w:tc>
        <w:tc>
          <w:tcPr>
            <w:tcW w:w="0" w:type="dxa"/>
            <w:vAlign w:val="bottom"/>
          </w:tcPr>
          <w:p>
            <w:pPr>
              <w:spacing w:after="0"/>
              <w:rPr>
                <w:sz w:val="1"/>
                <w:szCs w:val="1"/>
                <w:color w:val="auto"/>
              </w:rPr>
            </w:pPr>
          </w:p>
        </w:tc>
      </w:tr>
      <w:tr>
        <w:trPr>
          <w:trHeight w:val="250"/>
        </w:trPr>
        <w:tc>
          <w:tcPr>
            <w:tcW w:w="126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217,449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330,297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191,712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232,747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972,205</w:t>
            </w: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108,363</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440" w:type="dxa"/>
            <w:vAlign w:val="bottom"/>
            <w:tcBorders>
              <w:bottom w:val="single" w:sz="8" w:color="CECECE"/>
            </w:tcBorders>
            <w:shd w:val="clear" w:color="auto" w:fill="CECECE"/>
          </w:tcPr>
          <w:p>
            <w:pPr>
              <w:spacing w:after="0"/>
              <w:rPr>
                <w:sz w:val="18"/>
                <w:szCs w:val="18"/>
                <w:color w:val="auto"/>
              </w:rPr>
            </w:pPr>
          </w:p>
        </w:tc>
        <w:tc>
          <w:tcPr>
            <w:tcW w:w="10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211,298</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1,291,866</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301,247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274,818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271,352</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(163,991)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363,765</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4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440" w:type="dxa"/>
            <w:vAlign w:val="bottom"/>
            <w:tcBorders>
              <w:bottom w:val="single" w:sz="8" w:color="CECECE"/>
            </w:tcBorders>
          </w:tcPr>
          <w:p>
            <w:pPr>
              <w:spacing w:after="0"/>
              <w:rPr>
                <w:sz w:val="22"/>
                <w:szCs w:val="22"/>
                <w:color w:val="auto"/>
              </w:rPr>
            </w:pPr>
          </w:p>
        </w:tc>
        <w:tc>
          <w:tcPr>
            <w:tcW w:w="106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367,635</w:t>
            </w:r>
          </w:p>
        </w:tc>
        <w:tc>
          <w:tcPr>
            <w:tcW w:w="0" w:type="dxa"/>
            <w:vAlign w:val="bottom"/>
          </w:tcPr>
          <w:p>
            <w:pPr>
              <w:spacing w:after="0"/>
              <w:rPr>
                <w:sz w:val="1"/>
                <w:szCs w:val="1"/>
                <w:color w:val="auto"/>
              </w:rPr>
            </w:pPr>
          </w:p>
        </w:tc>
      </w:tr>
      <w:tr>
        <w:trPr>
          <w:trHeight w:val="431"/>
        </w:trPr>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ind w:left="40"/>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2023</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452,027</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57,814</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337,413</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55,517</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902,771</w:t>
            </w: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512,029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95,113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640,298</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481,961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569,843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432,526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1,543,069</w:t>
            </w:r>
          </w:p>
        </w:tc>
        <w:tc>
          <w:tcPr>
            <w:tcW w:w="0" w:type="dxa"/>
            <w:vAlign w:val="bottom"/>
          </w:tcPr>
          <w:p>
            <w:pPr>
              <w:spacing w:after="0"/>
              <w:rPr>
                <w:sz w:val="1"/>
                <w:szCs w:val="1"/>
                <w:color w:val="auto"/>
              </w:rPr>
            </w:pPr>
          </w:p>
        </w:tc>
      </w:tr>
      <w:tr>
        <w:trPr>
          <w:trHeight w:val="250"/>
        </w:trPr>
        <w:tc>
          <w:tcPr>
            <w:tcW w:w="126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207,265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314,181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178,085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210,664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910,195</w:t>
            </w: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104,179</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440" w:type="dxa"/>
            <w:vAlign w:val="bottom"/>
            <w:tcBorders>
              <w:bottom w:val="single" w:sz="8" w:color="CECECE"/>
            </w:tcBorders>
            <w:shd w:val="clear" w:color="auto" w:fill="CECECE"/>
          </w:tcPr>
          <w:p>
            <w:pPr>
              <w:spacing w:after="0"/>
              <w:rPr>
                <w:sz w:val="18"/>
                <w:szCs w:val="18"/>
                <w:color w:val="auto"/>
              </w:rPr>
            </w:pPr>
          </w:p>
        </w:tc>
        <w:tc>
          <w:tcPr>
            <w:tcW w:w="10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172,205</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1,186,579</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255,662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254,441</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(151,925)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356,490</w:t>
            </w:r>
          </w:p>
        </w:tc>
        <w:tc>
          <w:tcPr>
            <w:tcW w:w="0" w:type="dxa"/>
            <w:vAlign w:val="bottom"/>
          </w:tcPr>
          <w:p>
            <w:pPr>
              <w:spacing w:after="0"/>
              <w:rPr>
                <w:sz w:val="1"/>
                <w:szCs w:val="1"/>
                <w:color w:val="auto"/>
              </w:rPr>
            </w:pPr>
          </w:p>
        </w:tc>
      </w:tr>
      <w:tr>
        <w:trPr>
          <w:trHeight w:val="256"/>
        </w:trPr>
        <w:tc>
          <w:tcPr>
            <w:tcW w:w="32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(5,866)</w:t>
            </w:r>
          </w:p>
        </w:tc>
        <w:tc>
          <w:tcPr>
            <w:tcW w:w="0" w:type="dxa"/>
            <w:vAlign w:val="bottom"/>
          </w:tcPr>
          <w:p>
            <w:pPr>
              <w:spacing w:after="0"/>
              <w:rPr>
                <w:sz w:val="1"/>
                <w:szCs w:val="1"/>
                <w:color w:val="auto"/>
              </w:rPr>
            </w:pPr>
          </w:p>
        </w:tc>
      </w:tr>
      <w:tr>
        <w:trPr>
          <w:trHeight w:val="256"/>
        </w:trPr>
        <w:tc>
          <w:tcPr>
            <w:tcW w:w="32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gridSpan w:val="2"/>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top w:val="single" w:sz="8" w:color="CECECE"/>
            </w:tcBorders>
            <w:shd w:val="clear" w:color="auto" w:fill="CECECE"/>
          </w:tcPr>
          <w:p>
            <w:pPr>
              <w:spacing w:after="0"/>
              <w:rPr>
                <w:sz w:val="18"/>
                <w:szCs w:val="18"/>
                <w:color w:val="auto"/>
              </w:rPr>
            </w:pPr>
          </w:p>
        </w:tc>
        <w:tc>
          <w:tcPr>
            <w:tcW w:w="1160" w:type="dxa"/>
            <w:vAlign w:val="bottom"/>
            <w:tcBorders>
              <w:top w:val="single" w:sz="8" w:color="CECECE"/>
            </w:tcBorders>
            <w:shd w:val="clear" w:color="auto" w:fill="CECECE"/>
          </w:tcPr>
          <w:p>
            <w:pPr>
              <w:spacing w:after="0"/>
              <w:rPr>
                <w:sz w:val="18"/>
                <w:szCs w:val="18"/>
                <w:color w:val="auto"/>
              </w:rPr>
            </w:pPr>
          </w:p>
        </w:tc>
        <w:tc>
          <w:tcPr>
            <w:tcW w:w="100" w:type="dxa"/>
            <w:vAlign w:val="bottom"/>
            <w:tcBorders>
              <w:top w:val="single" w:sz="8" w:color="CECECE"/>
            </w:tcBorders>
            <w:shd w:val="clear" w:color="auto" w:fill="CECECE"/>
          </w:tcPr>
          <w:p>
            <w:pPr>
              <w:spacing w:after="0"/>
              <w:rPr>
                <w:sz w:val="18"/>
                <w:szCs w:val="18"/>
                <w:color w:val="auto"/>
              </w:rPr>
            </w:pPr>
          </w:p>
        </w:tc>
        <w:tc>
          <w:tcPr>
            <w:tcW w:w="240" w:type="dxa"/>
            <w:vAlign w:val="bottom"/>
            <w:tcBorders>
              <w:top w:val="single" w:sz="8" w:color="CECECE"/>
            </w:tcBorders>
            <w:shd w:val="clear" w:color="auto" w:fill="CECECE"/>
          </w:tcPr>
          <w:p>
            <w:pPr>
              <w:spacing w:after="0"/>
              <w:rPr>
                <w:sz w:val="18"/>
                <w:szCs w:val="18"/>
                <w:color w:val="auto"/>
              </w:rPr>
            </w:pPr>
          </w:p>
        </w:tc>
        <w:tc>
          <w:tcPr>
            <w:tcW w:w="1240" w:type="dxa"/>
            <w:vAlign w:val="bottom"/>
            <w:tcBorders>
              <w:top w:val="single" w:sz="8" w:color="CECECE"/>
            </w:tcBorders>
            <w:shd w:val="clear" w:color="auto" w:fill="CECECE"/>
          </w:tcPr>
          <w:p>
            <w:pPr>
              <w:spacing w:after="0"/>
              <w:rPr>
                <w:sz w:val="18"/>
                <w:szCs w:val="18"/>
                <w:color w:val="auto"/>
              </w:rPr>
            </w:pPr>
          </w:p>
        </w:tc>
        <w:tc>
          <w:tcPr>
            <w:tcW w:w="120" w:type="dxa"/>
            <w:vAlign w:val="bottom"/>
            <w:tcBorders>
              <w:top w:val="single" w:sz="8" w:color="CECECE"/>
            </w:tcBorders>
            <w:shd w:val="clear" w:color="auto" w:fill="CECECE"/>
          </w:tcPr>
          <w:p>
            <w:pPr>
              <w:spacing w:after="0"/>
              <w:rPr>
                <w:sz w:val="18"/>
                <w:szCs w:val="18"/>
                <w:color w:val="auto"/>
              </w:rPr>
            </w:pPr>
          </w:p>
        </w:tc>
        <w:tc>
          <w:tcPr>
            <w:tcW w:w="160" w:type="dxa"/>
            <w:vAlign w:val="bottom"/>
            <w:tcBorders>
              <w:top w:val="single" w:sz="8" w:color="CECECE"/>
            </w:tcBorders>
            <w:shd w:val="clear" w:color="auto" w:fill="CECECE"/>
          </w:tcPr>
          <w:p>
            <w:pPr>
              <w:spacing w:after="0"/>
              <w:rPr>
                <w:sz w:val="18"/>
                <w:szCs w:val="18"/>
                <w:color w:val="auto"/>
              </w:rPr>
            </w:pPr>
          </w:p>
        </w:tc>
        <w:tc>
          <w:tcPr>
            <w:tcW w:w="1480" w:type="dxa"/>
            <w:vAlign w:val="bottom"/>
            <w:tcBorders>
              <w:top w:val="single" w:sz="8" w:color="CECECE"/>
            </w:tcBorders>
            <w:shd w:val="clear" w:color="auto" w:fill="CECECE"/>
          </w:tcPr>
          <w:p>
            <w:pPr>
              <w:spacing w:after="0"/>
              <w:rPr>
                <w:sz w:val="18"/>
                <w:szCs w:val="18"/>
                <w:color w:val="auto"/>
              </w:rPr>
            </w:pPr>
          </w:p>
        </w:tc>
        <w:tc>
          <w:tcPr>
            <w:tcW w:w="100" w:type="dxa"/>
            <w:vAlign w:val="bottom"/>
            <w:tcBorders>
              <w:top w:val="single" w:sz="8" w:color="CECECE"/>
            </w:tcBorders>
            <w:shd w:val="clear" w:color="auto" w:fill="CECECE"/>
          </w:tcPr>
          <w:p>
            <w:pPr>
              <w:spacing w:after="0"/>
              <w:rPr>
                <w:sz w:val="18"/>
                <w:szCs w:val="18"/>
                <w:color w:val="auto"/>
              </w:rPr>
            </w:pPr>
          </w:p>
        </w:tc>
        <w:tc>
          <w:tcPr>
            <w:tcW w:w="440" w:type="dxa"/>
            <w:vAlign w:val="bottom"/>
            <w:tcBorders>
              <w:top w:val="single" w:sz="8" w:color="CECECE"/>
            </w:tcBorders>
            <w:shd w:val="clear" w:color="auto" w:fill="CECECE"/>
          </w:tcPr>
          <w:p>
            <w:pPr>
              <w:spacing w:after="0"/>
              <w:rPr>
                <w:sz w:val="18"/>
                <w:szCs w:val="18"/>
                <w:color w:val="auto"/>
              </w:rPr>
            </w:pPr>
          </w:p>
        </w:tc>
        <w:tc>
          <w:tcPr>
            <w:tcW w:w="1060" w:type="dxa"/>
            <w:vAlign w:val="bottom"/>
            <w:tcBorders>
              <w:top w:val="single" w:sz="8" w:color="CECECE"/>
            </w:tcBorders>
            <w:shd w:val="clear" w:color="auto" w:fill="CECEC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350,624</w:t>
            </w: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generated for internal management reporting to the Chief Executive Officer, who is also the Chief Operating Decision Maker.</w:t>
      </w:r>
    </w:p>
    <w:p>
      <w:pPr>
        <w:spacing w:after="0" w:line="18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NOTE 12.</w:t>
      </w:r>
      <w:r>
        <w:rPr>
          <w:sz w:val="20"/>
          <w:szCs w:val="20"/>
          <w:color w:val="auto"/>
        </w:rPr>
        <w:tab/>
      </w:r>
      <w:r>
        <w:rPr>
          <w:rFonts w:ascii="Arial" w:cs="Arial" w:eastAsia="Arial" w:hAnsi="Arial"/>
          <w:sz w:val="17"/>
          <w:szCs w:val="17"/>
          <w:color w:val="auto"/>
        </w:rPr>
        <w:t>SUBSEQUENT EVENTS</w:t>
      </w:r>
    </w:p>
    <w:p>
      <w:pPr>
        <w:spacing w:after="0" w:line="10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i w:val="1"/>
          <w:iCs w:val="1"/>
          <w:color w:val="auto"/>
        </w:rPr>
        <w:t xml:space="preserve">Dividend </w:t>
      </w:r>
      <w:r>
        <w:rPr>
          <w:rFonts w:ascii="Arial" w:cs="Arial" w:eastAsia="Arial" w:hAnsi="Arial"/>
          <w:sz w:val="18"/>
          <w:szCs w:val="18"/>
          <w:color w:val="auto"/>
        </w:rPr>
        <w:t>— On May 8, 2024, the Company's Board of Directors declared a cash dividend of $0.55 per share on its common stock,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June 17, 2024, to stockholders of record as of May 28, 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discussion and analysis should be read in conjunction with the condensed consolidated financial statements and the accompanying notes to the condensed consolidated financial statements included in this Form 10-Q for the fiscal quarter ended March 31, 2024.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Jack Henry &amp; Associates, Inc. is a well-rounded financial technology company and is a leading provider of technology solutions and payment processing services primarily to community and regional financial institutions. Our solutions consist of integrated data processing systems solutions to U.S. banks ranging from de novo to multi-billion-dollar institutions with assets up to $50 billion, core data processing solutions for credit unions of all sizes, and non-core highly specialized core-agnostic products and services that enable financial institutions of every asset size and charter, and diverse corporate entities outside the financial services industry, to mitigate and control risks, optimize revenue and growth opportunities, and contain costs. Our integrated solutions are available for on-premise installation and delivery in our private and public cloud.</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revenue, which predominantly includes contracts with terms of seven years or longer at inception; “product delivery and services” revenue, which includes revenue from the sales of licenses, implementation services, deconversions, consulting, and hardware; and “on-premise support” revenue, composed of maintenance contracts primarily with annual terms. Processing revenue includes: "remittance” revenue from payment processing, remote capture, and ACH transactions; “card” revenue, including card transaction processing and monthly fees; and “transaction and digital” revenue, which includes transaction and mobile processing. We continually seek opportunities to increase revenue while at the same time containing costs to expand margins.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the following discussion are in thousands, except per share amounts.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third quarter of fiscal 2024, total revenue increased 5.9%, or $30,010, compared to the same quarter in fiscal 2023. Total revenue less deconversion revenue of $843 for the current fiscal quarter and less deconversion revenues of $6,143 for the prior fiscal year third quarter results in an increase of 7.0%, quarter over quarter. This increase was primarily driven by growth in data processing and hosting, Jack Henry digital, including Banno, card, and payment processing revenues.</w:t>
      </w:r>
    </w:p>
    <w:p>
      <w:pPr>
        <w:spacing w:after="0" w:line="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expenses increased 6.6%, or $26,301, for the third quarter of fiscal 2024 compared to the third quarter of fiscal 2023. Deconversion and/or acquisition costs did not significantly affect operating expenses quarter over quarter. The increase was primarily driven by higher personnel costs, higher direct costs, and increased internal licenses and fees.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income increased 3.4%, or $3,709, for the third quarter of fiscal 2024 compared to the third quarter of fiscal 2023. Removing from total operating income the effects of deconversion operating loss of $6 for the current fiscal quarter* and deconversion operating income of $5,130 for the prior fiscal year third quarter results in an increase of 8.6%, quarter over quarter. This increase was primarily driven by revenue growth partially offset by increased operating expenses detailed above.</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provision for income taxes increased 10.2%, or $2,500, for the third quarter of fiscal 2024, compared to the third quarter of fiscal 2023, primarily driven by the increase in income before income taxes. The effective tax rate for the current fiscal third quarter was 23.7% compared to 23.2% for the same quarter a year ago. The increase in the effective tax rate was primarily due to certain discrete period benefits recognized during the prior fiscal quarter.</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increased 6.8%, or $5,550, for the third quarter of fiscal 2024, compared to the third quarter of fiscal 2023. Removing from total net income the effects of deconversion net loss of $5 for the current fiscal quarter,* and deconversion net income of $3,899 for the prior fiscal year third quarter, results in a 12.2% increase quarter over quarter. This increase was primarily due to net organic growth in our lines of revenue for the third quarter of fiscal 2024 compared to the same quarter last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*A customer who signed a deconversion agreement in an earlier period signed a reversal of that agreement during the third quarter of fiscal 2024 deciding not to deconvert resulting in the reversal of previously recognized deconversion revenue.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For the nine months ended March 31, 2024, total revenue increased 7.3%, or $112,562, compared to the same period in fiscal year 2023. Total revenue less deconversion and acquisition revenues of $9,861 and $1,945, respectively, for the current fiscal period and less</w:t>
      </w:r>
    </w:p>
    <w:p>
      <w:pPr>
        <w:jc w:val="both"/>
        <w:spacing w:after="0" w:line="237" w:lineRule="auto"/>
        <w:rPr>
          <w:sz w:val="20"/>
          <w:szCs w:val="20"/>
          <w:color w:val="auto"/>
        </w:rPr>
      </w:pPr>
      <w:r>
        <w:rPr>
          <w:rFonts w:ascii="Arial" w:cs="Arial" w:eastAsia="Arial" w:hAnsi="Arial"/>
          <w:sz w:val="18"/>
          <w:szCs w:val="18"/>
          <w:color w:val="auto"/>
        </w:rPr>
        <w:t>deconversion revenues of $17,042 for the prior fiscal period, results in an increase of 7.7%, period over period. This increase was primarily driven by growth in data processing and hosting, card, Jack Henry digital, payment processing and other processing revenues.</w:t>
      </w:r>
    </w:p>
    <w:p>
      <w:pPr>
        <w:spacing w:after="0" w:line="5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Operating expenses increased 8.9%, or $105,287, for the nine months ended March 31, 2024, compared to the same period in fiscal year 2023. Total operating expenses less deconversion expenses of $2,309, acquisition-related expenses of $4,182, and voluntary employee departure incentive payment ("VEDIP") program expenses of $16,443 for the current fiscal period, and less deconversion expenses of $2,583 and removing the effects of the gain on sale of assets, net, of $7,384 for the prior fiscal year period, results in an increase of 6.5%, period over period. This increase was primarily driven by higher personnel costs, increased direct costs, and higher internal licenses and fees compared to the prior fiscal year period.</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increased 2.0%, or $7,275, for the nine months ended March 31, 2024, compared to the same period in fiscal year 2023. Total operating income less deconversion operating income of $7,552, removing the effects of the VEDIP program of $16,443 and an acquisition operating loss of $2,237 for the current fiscal year period, less deconversion operating income of $14,459 and removing the effects of the gain on sale of assets, net, of $7,384 for the prior fiscal year period, results in a 12.0% increase period over period. This increase was primarily driven by revenue growth partially offset by increased operating expenses detailed above.</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provision for income taxes increased 6.3%, or $5,141, for the nine months ended March 31, 2024, compared to the same period in fiscal year 2023, primarily driven by the increase in income before income taxes. The effective tax rate for the nine months ended March 31, 2024, was 23.6% compared to 23.3% for the same period a year ago. The increase in the effective tax rate was primarily due to the difference in impact of share-based compensation that vested during the comparative periods.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increased 4.4%, or $11,870, for the nine months ended March 31, 2024, compared to the same period a year ago. Total net income less deconversion net income of $5,739, plus net loss for the acquisition and the VEDIP program of $ 3,539 and $12,497, respectively, for the current fiscal year period, and less net income for deconversions and the gain on sale of assets, net, of $10,989 and $5,612, respectively, for the prior fiscal year period, results in a 15.4% increase period over period. This increase was primarily due to net organic growth in our lines of revenue for the nine months ended March 31, 2024, compared to the same period last fiscal year.</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move into the fourth quarter of fiscal 2024 with significant portions of our business continuing to come from recurring revenues and our sales pipeline remaining encouraging. Our customers continue to face regulatory and operational challenges which our products and services address, and we believe they have a great need for our solutions that directly address institutional profitability, efficiency, and security. Our strong balance sheet, access to extensive lines of credit, the continued strength of our existing lines of revenue, and an unwavering commitment to superior customer service should position us well to address current and future opportunities.</w:t>
      </w:r>
    </w:p>
    <w:p>
      <w:pPr>
        <w:spacing w:after="0" w:line="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detailed discussion of the major components of the results of operations for the three and nine months ended March 31, 2024, follows. On August 31, 2022, the Company acquired all of the equity interest in Payrailz, LLC (“Payrailz”). Payrailz (“acquisition”) related revenue and operating expenses mentioned in the nine months ended March 31, 2024, discussions below are for the first two months of the period only.</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Discussions compare the current fiscal year's three and nine months ended March 31, 2024, to the prior fiscal year's three and nine months ended March 31,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Services and Support</w:t>
            </w:r>
          </w:p>
        </w:tc>
        <w:tc>
          <w:tcPr>
            <w:tcW w:w="140" w:type="dxa"/>
            <w:vAlign w:val="bottom"/>
          </w:tcPr>
          <w:p>
            <w:pPr>
              <w:spacing w:after="0"/>
              <w:rPr>
                <w:sz w:val="24"/>
                <w:szCs w:val="24"/>
                <w:color w:val="auto"/>
              </w:rPr>
            </w:pPr>
          </w:p>
        </w:tc>
        <w:tc>
          <w:tcPr>
            <w:tcW w:w="2780" w:type="dxa"/>
            <w:vAlign w:val="bottom"/>
            <w:gridSpan w:val="8"/>
            <w:vMerge w:val="restart"/>
          </w:tcPr>
          <w:p>
            <w:pPr>
              <w:spacing w:after="0"/>
              <w:rPr>
                <w:sz w:val="20"/>
                <w:szCs w:val="20"/>
                <w:color w:val="auto"/>
              </w:rPr>
            </w:pPr>
            <w:r>
              <w:rPr>
                <w:rFonts w:ascii="Arial" w:cs="Arial" w:eastAsia="Arial" w:hAnsi="Arial"/>
                <w:sz w:val="18"/>
                <w:szCs w:val="18"/>
                <w:color w:val="auto"/>
              </w:rPr>
              <w:t>Three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8"/>
            <w:vMerge w:val="restart"/>
          </w:tcPr>
          <w:p>
            <w:pPr>
              <w:ind w:left="40"/>
              <w:spacing w:after="0"/>
              <w:rPr>
                <w:sz w:val="20"/>
                <w:szCs w:val="20"/>
                <w:color w:val="auto"/>
              </w:rPr>
            </w:pPr>
            <w:r>
              <w:rPr>
                <w:rFonts w:ascii="Arial" w:cs="Arial" w:eastAsia="Arial" w:hAnsi="Arial"/>
                <w:sz w:val="18"/>
                <w:szCs w:val="18"/>
                <w:color w:val="auto"/>
              </w:rPr>
              <w:t>Nine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8"/>
            <w:vMerge w:val="continue"/>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2780" w:type="dxa"/>
            <w:vAlign w:val="bottom"/>
            <w:gridSpan w:val="8"/>
            <w:vMerge w:val="continue"/>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2024</w:t>
            </w: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2024</w:t>
            </w: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305,017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291,922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959,214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902,771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6.3 %</w:t>
            </w:r>
          </w:p>
        </w:tc>
        <w:tc>
          <w:tcPr>
            <w:tcW w:w="0" w:type="dxa"/>
            <w:vAlign w:val="bottom"/>
          </w:tcPr>
          <w:p>
            <w:pPr>
              <w:spacing w:after="0"/>
              <w:rPr>
                <w:sz w:val="1"/>
                <w:szCs w:val="1"/>
                <w:color w:val="auto"/>
              </w:rPr>
            </w:pPr>
          </w:p>
        </w:tc>
      </w:tr>
      <w:tr>
        <w:trPr>
          <w:trHeight w:val="184"/>
        </w:trPr>
        <w:tc>
          <w:tcPr>
            <w:tcW w:w="2240" w:type="dxa"/>
            <w:vAlign w:val="bottom"/>
          </w:tcPr>
          <w:p>
            <w:pPr>
              <w:ind w:left="20"/>
              <w:spacing w:after="0" w:line="183" w:lineRule="exact"/>
              <w:rPr>
                <w:sz w:val="20"/>
                <w:szCs w:val="20"/>
                <w:color w:val="auto"/>
              </w:rPr>
            </w:pPr>
            <w:r>
              <w:rPr>
                <w:rFonts w:ascii="Arial" w:cs="Arial" w:eastAsia="Arial" w:hAnsi="Arial"/>
                <w:sz w:val="18"/>
                <w:szCs w:val="18"/>
                <w:color w:val="auto"/>
              </w:rPr>
              <w:t>Percentage of total</w:t>
            </w:r>
          </w:p>
        </w:tc>
        <w:tc>
          <w:tcPr>
            <w:tcW w:w="140" w:type="dxa"/>
            <w:vAlign w:val="bottom"/>
          </w:tcPr>
          <w:p>
            <w:pPr>
              <w:spacing w:after="0"/>
              <w:rPr>
                <w:sz w:val="15"/>
                <w:szCs w:val="15"/>
                <w:color w:val="auto"/>
              </w:rPr>
            </w:pPr>
          </w:p>
        </w:tc>
        <w:tc>
          <w:tcPr>
            <w:tcW w:w="128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57 %</w:t>
            </w:r>
          </w:p>
        </w:tc>
        <w:tc>
          <w:tcPr>
            <w:tcW w:w="340" w:type="dxa"/>
            <w:vAlign w:val="bottom"/>
          </w:tcPr>
          <w:p>
            <w:pPr>
              <w:spacing w:after="0"/>
              <w:rPr>
                <w:sz w:val="15"/>
                <w:szCs w:val="15"/>
                <w:color w:val="auto"/>
              </w:rPr>
            </w:pPr>
          </w:p>
        </w:tc>
        <w:tc>
          <w:tcPr>
            <w:tcW w:w="10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58 %</w:t>
            </w:r>
          </w:p>
        </w:tc>
        <w:tc>
          <w:tcPr>
            <w:tcW w:w="340" w:type="dxa"/>
            <w:vAlign w:val="bottom"/>
          </w:tcPr>
          <w:p>
            <w:pPr>
              <w:spacing w:after="0"/>
              <w:rPr>
                <w:sz w:val="15"/>
                <w:szCs w:val="15"/>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24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Services and support revenue increased 4.5% for the third quarter of fiscal 2024 compared to the same quarter a year ago. Reducing services and support revenue for deconversion revenue from each quarter, which was $843 for the current fiscal year quarter and $6,143 for the prior fiscal year quarter, results in growth of 6.4% quarter over quarter. This increase was primarily driven by double-digit growth in data processing and hosting revenues as new and existing customers migrate to our private cloud and processing volumes expand.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Services and support revenue increased 6.3% for the nine months ended March 31, 2024 compared to the same period a year ago. Reducing services and support revenue for deconversion revenue from each period, which was $9,861 for the current fiscal year period and $17,042 for the prior fiscal year period, and acquisition revenue of $ 2 for the current fiscal year period, results in growth of 7.2% period over period. This increase was primarily driven by double-digit growth in data processing and hosting as new and existing customers migrate to our private cloud and processing volumes expand, software usage as customers continue moving to time-based licenses rather than perpetual, hardware, and consulting revenues.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Processing</w:t>
            </w:r>
          </w:p>
        </w:tc>
        <w:tc>
          <w:tcPr>
            <w:tcW w:w="140" w:type="dxa"/>
            <w:vAlign w:val="bottom"/>
          </w:tcPr>
          <w:p>
            <w:pPr>
              <w:spacing w:after="0"/>
              <w:rPr>
                <w:sz w:val="17"/>
                <w:szCs w:val="17"/>
                <w:color w:val="auto"/>
              </w:rPr>
            </w:pPr>
          </w:p>
        </w:tc>
        <w:tc>
          <w:tcPr>
            <w:tcW w:w="2780" w:type="dxa"/>
            <w:vAlign w:val="bottom"/>
            <w:gridSpan w:val="8"/>
            <w:vMerge w:val="restart"/>
          </w:tcPr>
          <w:p>
            <w:pPr>
              <w:spacing w:after="0"/>
              <w:rPr>
                <w:sz w:val="20"/>
                <w:szCs w:val="20"/>
                <w:color w:val="auto"/>
              </w:rPr>
            </w:pPr>
            <w:r>
              <w:rPr>
                <w:rFonts w:ascii="Arial" w:cs="Arial" w:eastAsia="Arial" w:hAnsi="Arial"/>
                <w:sz w:val="18"/>
                <w:szCs w:val="18"/>
                <w:color w:val="auto"/>
              </w:rPr>
              <w:t>Three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8"/>
            <w:vMerge w:val="restart"/>
          </w:tcPr>
          <w:p>
            <w:pPr>
              <w:ind w:left="40"/>
              <w:spacing w:after="0"/>
              <w:rPr>
                <w:sz w:val="20"/>
                <w:szCs w:val="20"/>
                <w:color w:val="auto"/>
              </w:rPr>
            </w:pPr>
            <w:r>
              <w:rPr>
                <w:rFonts w:ascii="Arial" w:cs="Arial" w:eastAsia="Arial" w:hAnsi="Arial"/>
                <w:sz w:val="18"/>
                <w:szCs w:val="18"/>
                <w:color w:val="auto"/>
              </w:rPr>
              <w:t>Nine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8"/>
            <w:vMerge w:val="continue"/>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rPr>
              <w:t>Change</w:t>
            </w:r>
          </w:p>
        </w:tc>
        <w:tc>
          <w:tcPr>
            <w:tcW w:w="2780" w:type="dxa"/>
            <w:vAlign w:val="bottom"/>
            <w:gridSpan w:val="8"/>
            <w:vMerge w:val="continue"/>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2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2024</w:t>
            </w: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2024</w:t>
            </w: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233,545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216,630</w:t>
            </w: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7.8 %  $</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696,417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640,298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8.8 %</w:t>
            </w:r>
          </w:p>
        </w:tc>
        <w:tc>
          <w:tcPr>
            <w:tcW w:w="0" w:type="dxa"/>
            <w:vAlign w:val="bottom"/>
          </w:tcPr>
          <w:p>
            <w:pPr>
              <w:spacing w:after="0"/>
              <w:rPr>
                <w:sz w:val="1"/>
                <w:szCs w:val="1"/>
                <w:color w:val="auto"/>
              </w:rPr>
            </w:pPr>
          </w:p>
        </w:tc>
      </w:tr>
      <w:tr>
        <w:trPr>
          <w:trHeight w:val="247"/>
        </w:trPr>
        <w:tc>
          <w:tcPr>
            <w:tcW w:w="226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4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43 %</w:t>
            </w:r>
          </w:p>
        </w:tc>
        <w:tc>
          <w:tcPr>
            <w:tcW w:w="34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42 %</w:t>
            </w:r>
          </w:p>
        </w:tc>
        <w:tc>
          <w:tcPr>
            <w:tcW w:w="3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Processing revenue increased 7.8% for the third quarter of fiscal 2024 compared to the same quarter last fiscal year. Deconversion and/or acquisition revenue did not significantly affect processing revenue quarter over quarter. This increase was primarily driven by growth in Jack Henry digital revenue (including Banno) from higher active users and expanding volumes from existing products and the introduction of new products, growth in card revenue primarily from organic growth from expanding volumes, higher payment processing revenues from expanding volumes and new customer revenue, and increased other processing revenues.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Processing revenue increased 8.8% for the nine months ended March 31, 2024, compared to the same period last fiscal year. Reducing processing revenue for acquisition revenue of $1,943 for the current fiscal year period, results in growth of 8.5% period over period. This increase was primarily driven by growth in card revenue primarily from organic growth from expanding volumes, growth in Jack Henry digital revenue (including Banno) from higher active users and expanding volumes from existing products and the introduction of new products, increased payment processing revenues from expanding volumes and new customer revenue, and higher other processing revenues.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120" w:type="dxa"/>
            <w:vAlign w:val="bottom"/>
          </w:tcPr>
          <w:p>
            <w:pPr>
              <w:spacing w:after="0"/>
              <w:rPr>
                <w:sz w:val="24"/>
                <w:szCs w:val="24"/>
                <w:color w:val="auto"/>
              </w:rPr>
            </w:pPr>
          </w:p>
        </w:tc>
        <w:tc>
          <w:tcPr>
            <w:tcW w:w="2820" w:type="dxa"/>
            <w:vAlign w:val="bottom"/>
            <w:gridSpan w:val="8"/>
            <w:vMerge w:val="restart"/>
          </w:tcPr>
          <w:p>
            <w:pPr>
              <w:ind w:left="20"/>
              <w:spacing w:after="0"/>
              <w:rPr>
                <w:sz w:val="20"/>
                <w:szCs w:val="20"/>
                <w:color w:val="auto"/>
              </w:rPr>
            </w:pPr>
            <w:r>
              <w:rPr>
                <w:rFonts w:ascii="Arial" w:cs="Arial" w:eastAsia="Arial" w:hAnsi="Arial"/>
                <w:sz w:val="18"/>
                <w:szCs w:val="18"/>
                <w:color w:val="auto"/>
              </w:rPr>
              <w:t>Three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8"/>
            <w:vMerge w:val="restart"/>
          </w:tcPr>
          <w:p>
            <w:pPr>
              <w:ind w:left="6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8"/>
            <w:vMerge w:val="continue"/>
          </w:tcPr>
          <w:p>
            <w:pPr>
              <w:spacing w:after="0"/>
              <w:rPr>
                <w:sz w:val="21"/>
                <w:szCs w:val="21"/>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rPr>
              <w:t>Change</w:t>
            </w:r>
          </w:p>
        </w:tc>
        <w:tc>
          <w:tcPr>
            <w:tcW w:w="2800" w:type="dxa"/>
            <w:vAlign w:val="bottom"/>
            <w:gridSpan w:val="8"/>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328,224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307,345</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6.8 %  $</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972,205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910,195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61 %</w:t>
            </w:r>
          </w:p>
        </w:tc>
        <w:tc>
          <w:tcPr>
            <w:tcW w:w="3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59 %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third quarter of fiscal 2024 increased 6.8% over the prior fiscal year third quarter. Reducing cost of revenue for deconversion costs from each quarter, which were $671 for the current fiscal year quarter and $470 for the prior fiscal year quarter, results in a 6.7% increase quarter over quarter. This increase was primarily due to higher direct costs, generally consistent with increases in the related revenue, higher personnel costs due to an increase in employee headcount in the trailing twelve months and increased bonus attainment quarter over quarter, and increased internal licenses and fees from increased pricing and deployment. Cost of revenue increased 1% compared to the prior fiscal year quarter as a percentage of total revenue.</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increased 6.8% for the nine months ended March 31, 2024, compared to the same period last fiscal year. Reducing cost of revenue for deconversion costs from each period, which were $1,562 for the current fiscal period and $1,435 for the prior fiscal period, and for acquisition costs of $3,334 from the current fiscal period, results in a 6.4% increase period over period. This increase was primarily due to higher direct costs generally consistent with related increases in revenue, higher personnel costs due to an increase in employee headcount in the trailing twelve months and increased bonus attainment period over period, and increased internal licenses and fees from increased pricing and deployment. Cost of revenue remained consistent compared to the prior fiscal year period as a percentage of total revenue.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120" w:type="dxa"/>
            <w:vAlign w:val="bottom"/>
          </w:tcPr>
          <w:p>
            <w:pPr>
              <w:spacing w:after="0"/>
              <w:rPr>
                <w:sz w:val="18"/>
                <w:szCs w:val="18"/>
                <w:color w:val="auto"/>
              </w:rPr>
            </w:pPr>
          </w:p>
        </w:tc>
        <w:tc>
          <w:tcPr>
            <w:tcW w:w="2780" w:type="dxa"/>
            <w:vAlign w:val="bottom"/>
            <w:gridSpan w:val="8"/>
            <w:vMerge w:val="restart"/>
          </w:tcPr>
          <w:p>
            <w:pPr>
              <w:spacing w:after="0"/>
              <w:rPr>
                <w:sz w:val="20"/>
                <w:szCs w:val="20"/>
                <w:color w:val="auto"/>
              </w:rPr>
            </w:pPr>
            <w:r>
              <w:rPr>
                <w:rFonts w:ascii="Arial" w:cs="Arial" w:eastAsia="Arial" w:hAnsi="Arial"/>
                <w:sz w:val="18"/>
                <w:szCs w:val="18"/>
                <w:color w:val="auto"/>
              </w:rPr>
              <w:t>Three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8"/>
            <w:vMerge w:val="restart"/>
          </w:tcPr>
          <w:p>
            <w:pPr>
              <w:ind w:left="6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8"/>
            <w:vMerge w:val="continue"/>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rPr>
              <w:t>Change</w:t>
            </w:r>
          </w:p>
        </w:tc>
        <w:tc>
          <w:tcPr>
            <w:tcW w:w="2800" w:type="dxa"/>
            <w:vAlign w:val="bottom"/>
            <w:gridSpan w:val="8"/>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35,993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34,625</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4.0 %  $</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108,363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104,179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4.0 %</w:t>
            </w:r>
          </w:p>
        </w:tc>
        <w:tc>
          <w:tcPr>
            <w:tcW w:w="0" w:type="dxa"/>
            <w:vAlign w:val="bottom"/>
          </w:tcPr>
          <w:p>
            <w:pPr>
              <w:spacing w:after="0"/>
              <w:rPr>
                <w:sz w:val="1"/>
                <w:szCs w:val="1"/>
                <w:color w:val="auto"/>
              </w:rPr>
            </w:pPr>
          </w:p>
        </w:tc>
      </w:tr>
      <w:tr>
        <w:trPr>
          <w:trHeight w:val="247"/>
        </w:trPr>
        <w:tc>
          <w:tcPr>
            <w:tcW w:w="308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7 %</w:t>
            </w:r>
          </w:p>
        </w:tc>
        <w:tc>
          <w:tcPr>
            <w:tcW w:w="360" w:type="dxa"/>
            <w:vAlign w:val="bottom"/>
          </w:tcPr>
          <w:p>
            <w:pPr>
              <w:spacing w:after="0"/>
              <w:rPr>
                <w:sz w:val="21"/>
                <w:szCs w:val="21"/>
                <w:color w:val="auto"/>
              </w:rPr>
            </w:pPr>
          </w:p>
        </w:tc>
        <w:tc>
          <w:tcPr>
            <w:tcW w:w="1040" w:type="dxa"/>
            <w:vAlign w:val="bottom"/>
            <w:gridSpan w:val="3"/>
          </w:tcPr>
          <w:p>
            <w:pPr>
              <w:ind w:left="700"/>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7"/>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expense increased 4.0% for the third quarter of fiscal 2024 compared to the prior fiscal year third quarter. Deconversion and/or acquisition costs did not significantly affect research and development expenses quarter over quarter. This increase was primarily due to higher cloud consumption costs, net of capitalization. Research and development expense for the quarter remained consistent compared to the prior fiscal year quarter as a percentage of total revenue.</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increased 4.0% for the nine months ended March 31, 2024, compared to the same period last fiscal year. Reducing research and development expense for the effects of acquisitions of $656 for the current fiscal year period results in a 3.4% increase period over period. This increase was primarily due to an increase in personnel costs, net of capitalization, including increased bonus attainment period over period. Research and development expense for the current fiscal year period remained consistent compared to the prior fiscal year period as a percentage of total revenue.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Selling, General, and</w:t>
            </w:r>
          </w:p>
        </w:tc>
        <w:tc>
          <w:tcPr>
            <w:tcW w:w="120" w:type="dxa"/>
            <w:vAlign w:val="bottom"/>
          </w:tcPr>
          <w:p>
            <w:pPr>
              <w:spacing w:after="0"/>
              <w:rPr>
                <w:sz w:val="17"/>
                <w:szCs w:val="17"/>
                <w:color w:val="auto"/>
              </w:rPr>
            </w:pPr>
          </w:p>
        </w:tc>
        <w:tc>
          <w:tcPr>
            <w:tcW w:w="2760" w:type="dxa"/>
            <w:vAlign w:val="bottom"/>
            <w:gridSpan w:val="8"/>
            <w:vMerge w:val="restart"/>
          </w:tcPr>
          <w:p>
            <w:pPr>
              <w:spacing w:after="0"/>
              <w:rPr>
                <w:sz w:val="20"/>
                <w:szCs w:val="20"/>
                <w:color w:val="auto"/>
              </w:rPr>
            </w:pPr>
            <w:r>
              <w:rPr>
                <w:rFonts w:ascii="Arial" w:cs="Arial" w:eastAsia="Arial" w:hAnsi="Arial"/>
                <w:sz w:val="18"/>
                <w:szCs w:val="18"/>
                <w:color w:val="auto"/>
              </w:rPr>
              <w:t>Three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gridSpan w:val="8"/>
            <w:vMerge w:val="restart"/>
          </w:tcPr>
          <w:p>
            <w:pPr>
              <w:ind w:left="40"/>
              <w:spacing w:after="0"/>
              <w:rPr>
                <w:sz w:val="20"/>
                <w:szCs w:val="20"/>
                <w:color w:val="auto"/>
              </w:rPr>
            </w:pPr>
            <w:r>
              <w:rPr>
                <w:rFonts w:ascii="Arial" w:cs="Arial" w:eastAsia="Arial" w:hAnsi="Arial"/>
                <w:sz w:val="18"/>
                <w:szCs w:val="18"/>
                <w:color w:val="auto"/>
              </w:rPr>
              <w:t>Nine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Administrative</w:t>
            </w:r>
          </w:p>
        </w:tc>
        <w:tc>
          <w:tcPr>
            <w:tcW w:w="120" w:type="dxa"/>
            <w:vAlign w:val="bottom"/>
          </w:tcPr>
          <w:p>
            <w:pPr>
              <w:spacing w:after="0"/>
              <w:rPr>
                <w:sz w:val="21"/>
                <w:szCs w:val="21"/>
                <w:color w:val="auto"/>
              </w:rPr>
            </w:pPr>
          </w:p>
        </w:tc>
        <w:tc>
          <w:tcPr>
            <w:tcW w:w="2760" w:type="dxa"/>
            <w:vAlign w:val="bottom"/>
            <w:gridSpan w:val="8"/>
            <w:vMerge w:val="continue"/>
          </w:tcPr>
          <w:p>
            <w:pPr>
              <w:spacing w:after="0"/>
              <w:rPr>
                <w:sz w:val="21"/>
                <w:szCs w:val="21"/>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rPr>
              <w:t>Change</w:t>
            </w:r>
          </w:p>
        </w:tc>
        <w:tc>
          <w:tcPr>
            <w:tcW w:w="2800" w:type="dxa"/>
            <w:vAlign w:val="bottom"/>
            <w:gridSpan w:val="8"/>
            <w:vMerge w:val="continue"/>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2024</w:t>
            </w: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50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62,246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58,192</w:t>
            </w: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7.0 %  $</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211,298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172,205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22.7 %</w:t>
            </w:r>
          </w:p>
        </w:tc>
        <w:tc>
          <w:tcPr>
            <w:tcW w:w="0" w:type="dxa"/>
            <w:vAlign w:val="bottom"/>
          </w:tcPr>
          <w:p>
            <w:pPr>
              <w:spacing w:after="0"/>
              <w:rPr>
                <w:sz w:val="1"/>
                <w:szCs w:val="1"/>
                <w:color w:val="auto"/>
              </w:rPr>
            </w:pPr>
          </w:p>
        </w:tc>
      </w:tr>
      <w:tr>
        <w:trPr>
          <w:trHeight w:val="247"/>
        </w:trPr>
        <w:tc>
          <w:tcPr>
            <w:tcW w:w="31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12 %</w:t>
            </w:r>
          </w:p>
        </w:tc>
        <w:tc>
          <w:tcPr>
            <w:tcW w:w="34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13 %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 increased 7.0% in the third quarter of fiscal 2024 over the same quarter in the prior fiscal year. Reducing selling, general, and administrative expense for deconversion costs from each quarter, which were $178 for the current fiscal year quarter and $543 for the prior fiscal year quarter, results in a 7.7% increase quarter over quarter. This increase was primarily due to higher personnel costs from commissions and medical benefits expenses. Selling, general, and administrative expense increased 1% as a percentage of total revenue this fiscal quarter versus the prior fiscal year quarter.</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increased 22.7% in the nine months ended March 31, 2024, compared to the same period last fiscal year. Reducing selling, general, and administrative expense for the effects of deconversions from each period, which were $ 747 for the current fiscal year period and $1,148 for the prior fiscal year period, for VEDIP program expenses of $16,443 and the effect of the acquisition of $192 in the current fiscal year period and removing the effect of the gain on sale of assets, net, of $7,384 in the prior fiscal year period, results in an 8.7% increase period over period. This increase was primarily due to higher personnel costs, including commissions and medical benefits expenses, and a decrease in the gain on sale of assets, net, period over period. Selling, general, and administrative expense increased 2% as a percentage of total revenue this fiscal year period versus the prior fiscal year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2740" w:type="dxa"/>
            <w:vAlign w:val="bottom"/>
            <w:gridSpan w:val="8"/>
            <w:vMerge w:val="restart"/>
          </w:tcPr>
          <w:p>
            <w:pPr>
              <w:ind w:left="60"/>
              <w:spacing w:after="0"/>
              <w:rPr>
                <w:sz w:val="20"/>
                <w:szCs w:val="20"/>
                <w:color w:val="auto"/>
              </w:rPr>
            </w:pPr>
            <w:r>
              <w:rPr>
                <w:rFonts w:ascii="Arial" w:cs="Arial" w:eastAsia="Arial" w:hAnsi="Arial"/>
                <w:sz w:val="18"/>
                <w:szCs w:val="18"/>
                <w:color w:val="auto"/>
              </w:rPr>
              <w:t>Three Months Ended March 31,</w:t>
            </w: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760" w:type="dxa"/>
            <w:vAlign w:val="bottom"/>
            <w:gridSpan w:val="9"/>
            <w:vMerge w:val="restart"/>
          </w:tcPr>
          <w:p>
            <w:pPr>
              <w:ind w:left="120"/>
              <w:spacing w:after="0"/>
              <w:rPr>
                <w:sz w:val="20"/>
                <w:szCs w:val="20"/>
                <w:color w:val="auto"/>
              </w:rPr>
            </w:pPr>
            <w:r>
              <w:rPr>
                <w:rFonts w:ascii="Arial" w:cs="Arial" w:eastAsia="Arial" w:hAnsi="Arial"/>
                <w:sz w:val="18"/>
                <w:szCs w:val="18"/>
                <w:color w:val="auto"/>
              </w:rPr>
              <w:t>Nine Months Ended March 31,</w:t>
            </w: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2740" w:type="dxa"/>
            <w:vAlign w:val="bottom"/>
            <w:gridSpan w:val="8"/>
            <w:vMerge w:val="continue"/>
          </w:tcPr>
          <w:p>
            <w:pPr>
              <w:spacing w:after="0"/>
              <w:rPr>
                <w:sz w:val="21"/>
                <w:szCs w:val="21"/>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Change</w:t>
            </w:r>
          </w:p>
        </w:tc>
        <w:tc>
          <w:tcPr>
            <w:tcW w:w="2760" w:type="dxa"/>
            <w:vAlign w:val="bottom"/>
            <w:gridSpan w:val="9"/>
            <w:vMerge w:val="continue"/>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4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420"/>
              <w:spacing w:after="0" w:line="182" w:lineRule="exact"/>
              <w:rPr>
                <w:sz w:val="20"/>
                <w:szCs w:val="20"/>
                <w:color w:val="auto"/>
              </w:rPr>
            </w:pPr>
            <w:r>
              <w:rPr>
                <w:rFonts w:ascii="Arial" w:cs="Arial" w:eastAsia="Arial" w:hAnsi="Arial"/>
                <w:sz w:val="18"/>
                <w:szCs w:val="18"/>
                <w:color w:val="auto"/>
                <w:w w:val="94"/>
              </w:rPr>
              <w:t>2023</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b w:val="1"/>
                <w:bCs w:val="1"/>
                <w:color w:val="auto"/>
              </w:rPr>
              <w:t>2024</w:t>
            </w:r>
          </w:p>
        </w:tc>
        <w:tc>
          <w:tcPr>
            <w:tcW w:w="3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tcPr>
          <w:p>
            <w:pPr>
              <w:jc w:val="right"/>
              <w:ind w:right="44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6,499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171.8 %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16,365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332.6 %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(4,433)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(4,666)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(12,495)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(9,649)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income fluctuated due to changes in interest earned on balances during the three and nine months ended March 31, 2024, compared to the three and nine months ended March 31, 2023. Interest expense decreased when compared to the prior fiscal year quarter due to a decrease in the amount borrowed partially offset by increases in prevailing interest rates. Interest expense increased when compared to the prior year-to-date period due to increases in prevailing interest rates partially offset by a decrease in the amount borrowed. There was a $ 250,000 outstanding balance under the revolving credit and term loan facilities at March 31, 2024, and $375,000 outstanding balance under the revolving credit and term loan facilities at March 31,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40" w:type="dxa"/>
            <w:vAlign w:val="bottom"/>
          </w:tcPr>
          <w:p>
            <w:pPr>
              <w:spacing w:after="0"/>
              <w:rPr>
                <w:sz w:val="18"/>
                <w:szCs w:val="18"/>
                <w:color w:val="auto"/>
              </w:rPr>
            </w:pPr>
          </w:p>
        </w:tc>
        <w:tc>
          <w:tcPr>
            <w:tcW w:w="2780" w:type="dxa"/>
            <w:vAlign w:val="bottom"/>
            <w:gridSpan w:val="8"/>
            <w:vMerge w:val="restart"/>
          </w:tcPr>
          <w:p>
            <w:pPr>
              <w:spacing w:after="0"/>
              <w:rPr>
                <w:sz w:val="20"/>
                <w:szCs w:val="20"/>
                <w:color w:val="auto"/>
              </w:rPr>
            </w:pPr>
            <w:r>
              <w:rPr>
                <w:rFonts w:ascii="Arial" w:cs="Arial" w:eastAsia="Arial" w:hAnsi="Arial"/>
                <w:sz w:val="18"/>
                <w:szCs w:val="18"/>
                <w:color w:val="auto"/>
              </w:rPr>
              <w:t>Three Months Ended March 31,</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7"/>
            <w:vMerge w:val="restart"/>
          </w:tcPr>
          <w:p>
            <w:pPr>
              <w:ind w:left="4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8"/>
            <w:vMerge w:val="continue"/>
          </w:tcPr>
          <w:p>
            <w:pPr>
              <w:spacing w:after="0"/>
              <w:rPr>
                <w:sz w:val="20"/>
                <w:szCs w:val="20"/>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color w:val="auto"/>
                <w:w w:val="98"/>
              </w:rPr>
              <w:t>Change</w:t>
            </w:r>
          </w:p>
        </w:tc>
        <w:tc>
          <w:tcPr>
            <w:tcW w:w="2780" w:type="dxa"/>
            <w:vAlign w:val="bottom"/>
            <w:gridSpan w:val="7"/>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2024</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27,066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24,566</w:t>
            </w:r>
          </w:p>
        </w:tc>
        <w:tc>
          <w:tcPr>
            <w:tcW w:w="100" w:type="dxa"/>
            <w:vAlign w:val="bottom"/>
          </w:tcPr>
          <w:p>
            <w:pPr>
              <w:spacing w:after="0"/>
              <w:rPr>
                <w:sz w:val="21"/>
                <w:szCs w:val="21"/>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10.2 %  $</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86,892</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81,751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6.3 %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23.7 %</w:t>
            </w:r>
          </w:p>
        </w:tc>
        <w:tc>
          <w:tcPr>
            <w:tcW w:w="3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23.2 %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23.6 %</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tax rate increased for the three and nine months ended March 31, 2024, compared to the three and nine months ended March 31, 2023, with an effective tax rate of 23.7% and 23.6%, respectively, of income before taxes, compared to 23.2% and 23.3%, respectively, of income before taxes for the same periods last fiscal year. The increase in the effective tax rate for the comparative quarters was primarily due to certain discrete period benefits recognized during the prior fiscal year quarter. The increase in the effective tax rate for the comparative year-to-date periods was primarily due to the difference in impact of share-based compensation that vested during each of the comparative periods.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740" w:type="dxa"/>
            <w:vAlign w:val="bottom"/>
            <w:gridSpan w:val="8"/>
            <w:vMerge w:val="restart"/>
          </w:tcPr>
          <w:p>
            <w:pPr>
              <w:ind w:left="40"/>
              <w:spacing w:after="0"/>
              <w:rPr>
                <w:sz w:val="20"/>
                <w:szCs w:val="20"/>
                <w:color w:val="auto"/>
              </w:rPr>
            </w:pPr>
            <w:r>
              <w:rPr>
                <w:rFonts w:ascii="Arial" w:cs="Arial" w:eastAsia="Arial" w:hAnsi="Arial"/>
                <w:sz w:val="18"/>
                <w:szCs w:val="18"/>
                <w:color w:val="auto"/>
              </w:rPr>
              <w:t>Three Months Ended March 31,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9"/>
          </w:tcPr>
          <w:p>
            <w:pPr>
              <w:ind w:left="100"/>
              <w:spacing w:after="0"/>
              <w:rPr>
                <w:sz w:val="20"/>
                <w:szCs w:val="20"/>
                <w:color w:val="auto"/>
              </w:rPr>
            </w:pPr>
            <w:r>
              <w:rPr>
                <w:rFonts w:ascii="Arial" w:cs="Arial" w:eastAsia="Arial" w:hAnsi="Arial"/>
                <w:sz w:val="18"/>
                <w:szCs w:val="18"/>
                <w:color w:val="auto"/>
              </w:rPr>
              <w:t>Nine Months Ended March</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2740" w:type="dxa"/>
            <w:vAlign w:val="bottom"/>
            <w:gridSpan w:val="8"/>
            <w:vMerge w:val="continue"/>
          </w:tcPr>
          <w:p>
            <w:pPr>
              <w:spacing w:after="0"/>
              <w:rPr>
                <w:sz w:val="16"/>
                <w:szCs w:val="16"/>
                <w:color w:val="auto"/>
              </w:rPr>
            </w:pPr>
          </w:p>
        </w:tc>
        <w:tc>
          <w:tcPr>
            <w:tcW w:w="1320" w:type="dxa"/>
            <w:vAlign w:val="bottom"/>
            <w:gridSpan w:val="4"/>
          </w:tcPr>
          <w:p>
            <w:pPr>
              <w:jc w:val="center"/>
              <w:ind w:right="100"/>
              <w:spacing w:after="0" w:line="169" w:lineRule="exact"/>
              <w:rPr>
                <w:sz w:val="20"/>
                <w:szCs w:val="20"/>
                <w:color w:val="auto"/>
              </w:rPr>
            </w:pPr>
            <w:r>
              <w:rPr>
                <w:rFonts w:ascii="Arial" w:cs="Arial" w:eastAsia="Arial" w:hAnsi="Arial"/>
                <w:sz w:val="18"/>
                <w:szCs w:val="18"/>
                <w:color w:val="auto"/>
                <w:w w:val="98"/>
              </w:rPr>
              <w:t>Change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210"/>
              <w:spacing w:after="0" w:line="169"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34"/>
        </w:trPr>
        <w:tc>
          <w:tcPr>
            <w:tcW w:w="3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3"/>
          </w:tcPr>
          <w:p>
            <w:pPr>
              <w:jc w:val="right"/>
              <w:ind w:right="420"/>
              <w:spacing w:after="0" w:line="18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tcPr>
          <w:p>
            <w:pPr>
              <w:jc w:val="right"/>
              <w:ind w:right="260"/>
              <w:spacing w:after="0" w:line="182" w:lineRule="exact"/>
              <w:rPr>
                <w:sz w:val="20"/>
                <w:szCs w:val="20"/>
                <w:color w:val="auto"/>
              </w:rPr>
            </w:pPr>
            <w:r>
              <w:rPr>
                <w:rFonts w:ascii="Arial" w:cs="Arial" w:eastAsia="Arial" w:hAnsi="Arial"/>
                <w:sz w:val="18"/>
                <w:szCs w:val="18"/>
                <w:b w:val="1"/>
                <w:bCs w:val="1"/>
                <w:color w:val="auto"/>
              </w:rPr>
              <w:t>2024</w:t>
            </w:r>
          </w:p>
        </w:tc>
        <w:tc>
          <w:tcPr>
            <w:tcW w:w="420" w:type="dxa"/>
            <w:vAlign w:val="bottom"/>
          </w:tcPr>
          <w:p>
            <w:pPr>
              <w:spacing w:after="0"/>
              <w:rPr>
                <w:sz w:val="15"/>
                <w:szCs w:val="15"/>
                <w:color w:val="auto"/>
              </w:rPr>
            </w:pPr>
          </w:p>
        </w:tc>
        <w:tc>
          <w:tcPr>
            <w:tcW w:w="860" w:type="dxa"/>
            <w:vAlign w:val="bottom"/>
            <w:gridSpan w:val="3"/>
          </w:tcPr>
          <w:p>
            <w:pPr>
              <w:jc w:val="right"/>
              <w:ind w:right="34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87,099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81,549</w:t>
            </w:r>
          </w:p>
        </w:tc>
        <w:tc>
          <w:tcPr>
            <w:tcW w:w="1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6.8 %</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280,743</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268,873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4.4 %</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increased 6.8% to $87,099, or $1.19 per diluted share, for the third quarter of fiscal 2024 compared to $81,549, or $1.12 per diluted share, in the same quarter of fiscal 2023. Increasing net income by deconversion net loss of $5 for the current fiscal quarter, and decreasing net income by deconversion net income of $3,899 for the prior fiscal year third quarter, results in a 12.2% increase quarter over quarter. This increase was primarily due to net organic growth in our lines of revenue for the third quarter of fiscal 2024 compared to the same quarter last fiscal year.</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increased 4.4% to $280,743, or $ 3.85 per diluted share, for the nine months ended March 31, 2024, compared to $ 268,873, or $3.68 per diluted share, in the same period of fiscal 2023. Removing from net income the effects of deconversion net income of $5,739, the net loss from the acquisition of $3,539, and the net loss from the VEDIP program of $12,497 for the current fiscal year period, and for the effects of deconversion net income of $10,989 and the gain on sale of assets, net, of $5,612 for the prior year fiscal period, results in a 15.4% increase period over period. This increase was primarily due to net organic growth in our lines of revenue for the nine months ended March 31, 2024, compared to the same period last fiscal year.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financial institutions.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digital/mobile banking, treasury services, online account opening, fraud/AML and lending/deposit solutions, that can be integrated with our core solutions, and many can be used independently. The Corporate and Other segment includes revenue and costs from hardware and other products not attributed to the other three segments, as well as operating expenses not directly attributable to the other three segments, except for items that are deemed unassigned and excluded from any segment.</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Immaterial adjustments have been made between segments to reclassify revenue and cost of revenue that was recognized for the three and nine months ended March 31, 2023. These reclasses were made to be consistent with the current allocation of revenue and cost of revenue by segment. Revenue reclassed for the three and nine months ended March 31, 2023, from Core to Corporate and Other was $ 1,797 and $5,456, respectively, from Payments to Corporate and Other was $7 and $ 24, respectively, and from Complementary to Corporate and Other was $135 and $243, respectively. Cost of revenue reclassed for the three and nine months ended March 31, 2023, from Core to Corporate and Other was $1,711 and $5,004, respectively, from Payments to Corporate and Other was $662 and $1,923, respectively, and from Complementary to Corporate and Other was $329 and $989,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Core</w:t>
            </w:r>
          </w:p>
        </w:tc>
        <w:tc>
          <w:tcPr>
            <w:tcW w:w="2760" w:type="dxa"/>
            <w:vAlign w:val="bottom"/>
            <w:gridSpan w:val="9"/>
          </w:tcPr>
          <w:p>
            <w:pPr>
              <w:ind w:left="60"/>
              <w:spacing w:after="0"/>
              <w:rPr>
                <w:sz w:val="20"/>
                <w:szCs w:val="20"/>
                <w:color w:val="auto"/>
              </w:rPr>
            </w:pPr>
            <w:r>
              <w:rPr>
                <w:rFonts w:ascii="Arial" w:cs="Arial" w:eastAsia="Arial" w:hAnsi="Arial"/>
                <w:sz w:val="18"/>
                <w:szCs w:val="18"/>
                <w:color w:val="auto"/>
              </w:rPr>
              <w:t>Three Months Ended March 31,</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 Change</w:t>
            </w:r>
          </w:p>
        </w:tc>
        <w:tc>
          <w:tcPr>
            <w:tcW w:w="2740" w:type="dxa"/>
            <w:vAlign w:val="bottom"/>
            <w:gridSpan w:val="7"/>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Change</w:t>
            </w: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2024</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166,655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155,106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518,696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481,961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72,153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69,994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217,449</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207,265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bl>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Core segment increased 7.4% and cost of revenue increased 3.1% for the three months ended March 31, 2024, compared to the three months ended March 31, 2023. Reducing Core revenue for deconversion revenue in both quarters, which totaled $ 1,291 for the three months ended March 31, 2024, and $2,315 for the three months ended March 31, 2023, results in an 8.2% increase quarter over quarter. This increase was primarily driven by growth in data processing and hosting revenues as new and existing customers migrate to our private cloud and processing volumes expand. Deconversion and/or acquisition costs did not significantly affect Core cost of revenue quarter over quarter. The Core cost of revenue increase was primarily due to higher direct costs generally consistent with increases in revenue. Core cost of revenue decreased 2% as a percentage of Core revenue for the third quarter of fiscal 2024 compared to the same quarter in fiscal 2023.</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Core segment increased 7.6% and cost of revenue increased 4.9% for the nine months ended March 31, 2024, compared to the nine months ended March 31, 2023. Reducing Core revenue for deconversion revenue in both periods, which totaled $ 4,885 for the nine months ended March 31, 2024, and $6,248 for the nine months ended March 31, 2023, results in a 8.0% increase period over period. This increase was primarily driven by the growth in data processing and hosting revenues as new and existing customers migrate to our private cloud and processing volumes expand. Deconversion and/or acquisition costs did not significantly affect Core cost of revenue period over period. The Core cost of revenue increase was primarily due to higher direct costs generally consistent with increases in revenue. Core cost of revenue decreased 1% as a percentage of Core revenue for the nine months ended March 31, 2024, compared to the same period in fiscal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Payments</w:t>
            </w:r>
          </w:p>
        </w:tc>
        <w:tc>
          <w:tcPr>
            <w:tcW w:w="2760" w:type="dxa"/>
            <w:vAlign w:val="bottom"/>
            <w:gridSpan w:val="9"/>
          </w:tcPr>
          <w:p>
            <w:pPr>
              <w:ind w:left="60"/>
              <w:spacing w:after="0"/>
              <w:rPr>
                <w:sz w:val="20"/>
                <w:szCs w:val="20"/>
                <w:color w:val="auto"/>
              </w:rPr>
            </w:pPr>
            <w:r>
              <w:rPr>
                <w:rFonts w:ascii="Arial" w:cs="Arial" w:eastAsia="Arial" w:hAnsi="Arial"/>
                <w:sz w:val="18"/>
                <w:szCs w:val="18"/>
                <w:color w:val="auto"/>
              </w:rPr>
              <w:t>Three Months Ended March 31,</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 Change</w:t>
            </w:r>
          </w:p>
        </w:tc>
        <w:tc>
          <w:tcPr>
            <w:tcW w:w="2740" w:type="dxa"/>
            <w:vAlign w:val="bottom"/>
            <w:gridSpan w:val="7"/>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Change</w:t>
            </w: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2024</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201,919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191,833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605,115</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569,843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109,848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106,216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330,297</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314,181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bl>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Payments segment increased 5.3% and cost of revenue increased 3.4% for the third quarter of fiscal 2024 compared to the equivalent quarter of the prior fiscal year. Reducing Payments revenue for deconversion revenue in both quarters, which totaled $910 for the third quarter of fiscal 2024 and $1,643 for the third quarter of fiscal 2023, results in a 5.7% increase quarter over quarter. This increase was primarily due to higher card revenue from organic growth from slightly higher volumes, higher payment processing revenues from slightly higher volumes and new customer revenue, and increased remote capture and ACH revenue. Deconversion and/or acquisition costs did not significantly affect Payments cost of revenue quarter over quarter. The Payments cost of revenue increase was primarily due to higher direct costs generally consistent with increases in revenue. Payments cost of revenue as a percentage of Payments revenue decreased 1% for the third quarter of fiscal 2024 compared to the same quarter in fiscal 2023.</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Payments segment increased 6.2% and cost of revenue increased 5.1% for the nine months ended March 31, 2024, compared to the equivalent period of the prior fiscal year. Reducing Payments revenue for deconversion revenue in both periods, which totaled $3,470 for the nine months ended March 31, 2024 and $4,413 for the nine months ended March 31, 2023, and acquisition revenue of $1,945 from the current fiscal year period, results in a 6.1% increase period over period. This increase was primarily due to higher card revenue from organic growth from expanding volumes, higher payment processing revenue from expanding volumes and new customer revenue, and increased remote capture and ACH revenue. Deconversion and/or acquisition costs did not significantly affect Payments cost of revenue period over period. The Payments cost of revenue increase was primarily due to higher direct costs generally consistent with increases in revenues and higher personnel costs from an increase in employee headcount in the trailing twelve months. Payments cost of revenue as a percentage of Payments revenue remained consistent for the nine months ended March 31, 2024, compared to the same period in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Complementary</w:t>
            </w:r>
          </w:p>
        </w:tc>
        <w:tc>
          <w:tcPr>
            <w:tcW w:w="2740" w:type="dxa"/>
            <w:vAlign w:val="bottom"/>
            <w:gridSpan w:val="8"/>
          </w:tcPr>
          <w:p>
            <w:pPr>
              <w:ind w:left="60"/>
              <w:spacing w:after="0"/>
              <w:rPr>
                <w:sz w:val="20"/>
                <w:szCs w:val="20"/>
                <w:color w:val="auto"/>
              </w:rPr>
            </w:pPr>
            <w:r>
              <w:rPr>
                <w:rFonts w:ascii="Arial" w:cs="Arial" w:eastAsia="Arial" w:hAnsi="Arial"/>
                <w:sz w:val="18"/>
                <w:szCs w:val="18"/>
                <w:color w:val="auto"/>
              </w:rPr>
              <w:t>Three Months Ended March 31,</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 Change</w:t>
            </w:r>
          </w:p>
        </w:tc>
        <w:tc>
          <w:tcPr>
            <w:tcW w:w="2760" w:type="dxa"/>
            <w:vAlign w:val="bottom"/>
            <w:gridSpan w:val="9"/>
          </w:tcPr>
          <w:p>
            <w:pPr>
              <w:ind w:left="120"/>
              <w:spacing w:after="0"/>
              <w:rPr>
                <w:sz w:val="20"/>
                <w:szCs w:val="20"/>
                <w:color w:val="auto"/>
              </w:rPr>
            </w:pPr>
            <w:r>
              <w:rPr>
                <w:rFonts w:ascii="Arial" w:cs="Arial" w:eastAsia="Arial" w:hAnsi="Arial"/>
                <w:sz w:val="18"/>
                <w:szCs w:val="18"/>
                <w:color w:val="auto"/>
              </w:rPr>
              <w:t>Nine Months Ended March 31,</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 Change</w:t>
            </w:r>
          </w:p>
        </w:tc>
      </w:tr>
      <w:tr>
        <w:trPr>
          <w:trHeight w:val="183"/>
        </w:trPr>
        <w:tc>
          <w:tcPr>
            <w:tcW w:w="34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4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420"/>
              <w:spacing w:after="0" w:line="182" w:lineRule="exact"/>
              <w:rPr>
                <w:sz w:val="20"/>
                <w:szCs w:val="20"/>
                <w:color w:val="auto"/>
              </w:rPr>
            </w:pPr>
            <w:r>
              <w:rPr>
                <w:rFonts w:ascii="Arial" w:cs="Arial" w:eastAsia="Arial" w:hAnsi="Arial"/>
                <w:sz w:val="18"/>
                <w:szCs w:val="18"/>
                <w:color w:val="auto"/>
                <w:w w:val="94"/>
              </w:rPr>
              <w:t>2023</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tcPr>
          <w:p>
            <w:pPr>
              <w:jc w:val="right"/>
              <w:ind w:right="44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0"/>
        </w:trPr>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149,231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141,987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463,064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432,526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65,414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61,037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191,712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178,085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r>
    </w:tbl>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5.1% and cost of revenue increased 7.2% for the third quarter of fiscal 2024 compared to the equivalent quarter of the prior fiscal year. Increasing Complementary revenue for the reversal of deconversion revenue in the current fiscal year quarter of $1,366 (see note in Results of Operations and Revenue on page 22), and decreasing Complementary revenue for deconversion revenue of $2,170 for the third quarter of fiscal 2023, results in a 7.7% increase quarter over quarter. This increase was primarily driven by higher Jack Henry digital revenue as active users increased and volumes expanded from existing products and new products were introduced, and hosting revenues as new and existing customers continued to migrate to our private cloud and processing volumes expanded. Reducing Complementary cost of revenue for deconversion costs in both quarters, which totaled $348 for the third quarter of fiscal 2024 and $166 for the third quarter of fiscal 2023, results in a 6.9% increase quarter over quarter. This increase was primarily due to higher direct costs generally consistent with increases in revenues and increased amortization of capitalized software from capital software development projects. Complementary cost of revenue as a percentage of Complementary revenue increased 1% for the third quarter of fiscal 2024 compared to the same quarter in fiscal 2023.</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7.1% and cost of revenue increased 7.7% for the nine months ended March 31, 2024, compared to the equivalent period of the prior fiscal year. Reducing Complementary revenue for deconversion revenue in both periods, which totaled $ 1,440 for the nine months ended March 31, 2024, and $6,319 for the nine months ended March 31, 2023, results in an 8.3% increase period over period. This increase was primarily driven by higher Jack Henry digital revenue as active users increased and volumes expanded from existing products and new products were introduced, and hosting revenues, as new and existing customers continued to migrate to our private cloud and processing volumes expanded. Reducing Complementary cost of revenue for deconversion costs in both periods, which totaled $715 for the nine months ended March 31, 2024, and $538 for the nine months ended March 31, 2023, results in a 7.6% increase period over period. This increase was primarily due to higher direct costs generally consistent with increases in revenue and increased amortization of capitalized software from capital software development projects. Complementary cost of revenue as a percentage of Complementary revenue remained consistent for the nine months ended March 31, 2024, compared to the same period in fiscal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2720" w:type="dxa"/>
            <w:vAlign w:val="bottom"/>
            <w:gridSpan w:val="8"/>
          </w:tcPr>
          <w:p>
            <w:pPr>
              <w:ind w:left="40"/>
              <w:spacing w:after="0"/>
              <w:rPr>
                <w:sz w:val="20"/>
                <w:szCs w:val="20"/>
                <w:color w:val="auto"/>
              </w:rPr>
            </w:pPr>
            <w:r>
              <w:rPr>
                <w:rFonts w:ascii="Arial" w:cs="Arial" w:eastAsia="Arial" w:hAnsi="Arial"/>
                <w:sz w:val="18"/>
                <w:szCs w:val="18"/>
                <w:color w:val="auto"/>
              </w:rPr>
              <w:t>Three Months Ended March 31,</w:t>
            </w: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 Change</w:t>
            </w:r>
          </w:p>
        </w:tc>
        <w:tc>
          <w:tcPr>
            <w:tcW w:w="2740" w:type="dxa"/>
            <w:vAlign w:val="bottom"/>
            <w:gridSpan w:val="7"/>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Change</w:t>
            </w:r>
          </w:p>
        </w:tc>
      </w:tr>
      <w:tr>
        <w:trPr>
          <w:trHeight w:val="183"/>
        </w:trPr>
        <w:tc>
          <w:tcPr>
            <w:tcW w:w="33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2024</w:t>
            </w:r>
          </w:p>
        </w:tc>
        <w:tc>
          <w:tcPr>
            <w:tcW w:w="4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420"/>
              <w:spacing w:after="0" w:line="182"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2024</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20,757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19,626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68,756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58,739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17.1 %</w:t>
            </w: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80,809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70,098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232,747</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210,664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r>
    </w:tbl>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classified in the Corporate and Other segment includes revenues from other products and services and hardware not specifically attributed to the other three segments. Revenue in the Corporate and Other segment increased 5.8% for the third quarter of fiscal 2024 compared to the equivalent quarter of the prior fiscal year. The Corporate and other revenue increase was primarily due to the increase in other processing revenue quarter over quarter. Deconversion and/or acquisition revenue did not significantly affect Corporate and Other revenue quarter over quarter.</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the Corporate and Other segment includes operating expenses not directly attributable to the other three segments. The cost of revenue in the third quarter of fiscal 2024 increased 15.3% when compared to the prior fiscal year quarter. This increase was primarily due to higher internal licenses and fees from increased pricing and deployment and higher personnel costs, including an increase in headcount in the trailing twelve months and higher bonus attainment, quarter over quarter. Deconversion and/or acquisition costs did not significantly affect Corporate and Other cost of revenue quarter over quarter.</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in the Corporate and Other segment increased 17.1% for the nine months ended March 31, 2024, compared to the equivalent period of the prior fiscal year. This increase was primarily due to higher other processing and hardware revenues period over period. Deconversion and/or acquisition revenue did not significantly affect Corporate and Other revenue period over period.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revenue for the Corporate and Other segment for the nine months ended March 31, 2024, increased 10.5% when compared to the prior fiscal year period. This increase was primarily due to higher internal licenses and fees from increased pricing and deployment and higher personnel costs, including an increase in headcount in the trailing twelve months and higher bonus attainment, period over period. Deconversion and/or acquisition costs did not significantly affect Corporate and Other cost of revenue period over period.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increased to $27,254 at March 31, 2024, from $12,243 at June 30, 2023.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cash from operating activities in the statement of cash flows: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4"/>
          </w:tcPr>
          <w:p>
            <w:pPr>
              <w:jc w:val="right"/>
              <w:ind w:right="550"/>
              <w:spacing w:after="0"/>
              <w:rPr>
                <w:sz w:val="20"/>
                <w:szCs w:val="20"/>
                <w:color w:val="auto"/>
              </w:rPr>
            </w:pPr>
            <w:r>
              <w:rPr>
                <w:rFonts w:ascii="Arial" w:cs="Arial" w:eastAsia="Arial" w:hAnsi="Arial"/>
                <w:sz w:val="18"/>
                <w:szCs w:val="18"/>
                <w:color w:val="auto"/>
              </w:rPr>
              <w:t>Nine Months Ended</w:t>
            </w:r>
          </w:p>
        </w:tc>
      </w:tr>
      <w:tr>
        <w:trPr>
          <w:trHeight w:val="235"/>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960" w:type="dxa"/>
            <w:vAlign w:val="bottom"/>
            <w:tcBorders>
              <w:bottom w:val="single" w:sz="8" w:color="auto"/>
            </w:tcBorders>
          </w:tcPr>
          <w:p>
            <w:pPr>
              <w:spacing w:after="0"/>
              <w:rPr>
                <w:sz w:val="20"/>
                <w:szCs w:val="20"/>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280,743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268,873</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156,565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120,204</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97,835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110,686</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(185,784)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(184,130)</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(13,117)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(108,602)</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336,242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207,031</w:t>
            </w:r>
          </w:p>
        </w:tc>
      </w:tr>
      <w:tr>
        <w:trPr>
          <w:trHeight w:val="21"/>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provided by operating activities for the first nine months of fiscal 2024 increased 62% compared to the same period last year primarily due to the increase in accrued expenses period over period. Cash from operations is primarily used to repay debt, pay dividends, repurchase stock, for capital expenditures, and acquisitions.</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in investing activities for the first nine months of fiscal 2024 totaled $164,505 and included: $125,351 for the ongoing enhancement and development of existing and new product and service offerings; capital expenditures on facilities and equipment of $34,347; $4,561 for the purchase and development of internal use software; and the purchase of investment of $1,146. Cash uses were partially offset by proceeds from the sale of assets of $900. Cash used in investing activities for the first nine months of fiscal 2023 totaled $355,561 and included: $229,628 for an acquisition; $124,110 for the development of software; $27,237 for capital expenditures; $1,471 for the purchase and development of internal use software; and the purchase of investment of $1,000. Cash uses were partially offset by proceeds from the sale of assets of $27,885.</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Financing activities used cash of $156,726 for the first nine months of fiscal 2024 and included payments on credit facilities of $360,000, dividends paid to stockholders of $115,792, and the purchases of treasury stock of $20,000. Cash uses were partially offset by borrowings on credit facilities of $335,000 and $4,066 net cash inflow from the issuance of stock and tax withholding related to stock-based compensation. Financing activities provided cash of $126,295 in the first nine months of fiscal 2023 and included borrowings on credit facilities of $ 550,000 and $ 700 net cash inflow from the issuance of stock and tax withholding related to stock-based compensation. Cash provided was partially offset by repayments on credit facilities and financing leases of $290,059, $109,346 for the payment of dividends, and the purchase of treasury stock of $25,000.</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$34,347 and $27,237 for the nine months ended March 31, 2024, and March 31, 2023, respectively, were made primarily for additional equipment and the improvement of existing facilities. These additions were funded from cash generated by operations. Total consolidated capital expenditures on facilities and equipment for the Company for fiscal year 2024 are expected to be approximately $77,000 and have been or will be funded from our credit facilities and cash generated by operations.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July 2023, the Company conducted a voluntary separation program for certain eligible employees that included a VEDIP payment for the eligible employees who chose to participate in the program. The Company made payments associated with the VEDIP program in the approximate amount of $16,443 from July 2023 through December 2023, including immaterial payments continuing into calendar 2024.</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August 8, 2023, the Company entered into a contract to purchase fixed assets that added contractual spend obligations of $30,392 for the period of December 16, 2023, through October 15, 2025. On February 1, 2024, the Company entered into a technology services contract that added contractual spend obligations of $11,454 for the period of February 1, 2024, through January 31, 2029. These commitments are in addition to the commitments discussed in our Annual Report on Form 10-K for the year ended June 30, 2023.</w:t>
      </w:r>
    </w:p>
    <w:p>
      <w:pPr>
        <w:spacing w:after="0" w:line="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March 31, 2024, there were 31,323 shares in treasury stock and the Company had the remaining authority to repurchase up to 3,667 additional shares. The total cost of treasury shares at March 31, 2024, was $1,852,118, and the Company repurchased 129 shares during the first nine months of fiscal 2024. At June 30, 2023, there were 31,194 shares in treasury stock and the Company had the remaining authority to repurchase up to 3,796 additional shares. The total cost of treasury shares at June 30, 2023, was $1,832,118 and the Company repurchased 151 shares during the first nine months of fiscal 2023.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a prior credit facility that was entered into on February 10, 2020. The credit agreement allows for borrowings of up to $600,000, which may be increased to $1,000,000 by the Company at any time until maturity. The credit agreement bears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March 31, 2024, the Company was in compliance with all such covenants. The amended and restated credit facility terminates August 31, 2027. There was $70,000 and $95,000 outstanding under the amended and restated credit facility at March 31, 2024 and June 30, 2023,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bear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March 31, 2024, the Company was in compliance with all such covenants. The term loan credit agreement has a maturity date of May 16, 2025. There was $180,000 outstanding under the term loan at March 31, 2024 and June 30, 2023.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 The credit line expires on April 30, 2025. There was no balance outstanding at March 31, 2024, or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4240"/>
        <w:spacing w:after="0" w:line="352"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Dollar amounts in this item are in thousands.</w:t>
      </w:r>
    </w:p>
    <w:p>
      <w:pPr>
        <w:jc w:val="both"/>
        <w:spacing w:after="0" w:line="262"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customers and interest risk on outstanding debt. We do not currently use any derivative financial instruments. We actively monitor these risks through a variety of controlled procedures involving senior management.</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controls in place and the credit worthiness of the customer base, we believe the credit risk associated with the extension of credit to our customers will not have a material adverse effect on our consolidated financial position, results of operations, or cash flows.</w:t>
      </w:r>
    </w:p>
    <w:p>
      <w:pPr>
        <w:spacing w:after="0" w:line="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had $250,000 outstanding debt with variable interest rates as of March 31, 2024, and a 1% increase in our borrowing rate would increase our annual interest expense by $2,500.</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fiscal quarter ended March 31, 2024, there were no changes in the Company's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March 31, 2024: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6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Total Number of</w:t>
            </w:r>
          </w:p>
        </w:tc>
        <w:tc>
          <w:tcPr>
            <w:tcW w:w="160" w:type="dxa"/>
            <w:vAlign w:val="bottom"/>
          </w:tcPr>
          <w:p>
            <w:pPr>
              <w:spacing w:after="0"/>
              <w:rPr>
                <w:sz w:val="17"/>
                <w:szCs w:val="17"/>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8"/>
              </w:rPr>
              <w:t>Average</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Total Number of Shares</w:t>
            </w:r>
          </w:p>
        </w:tc>
        <w:tc>
          <w:tcPr>
            <w:tcW w:w="2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81"/>
        </w:trPr>
        <w:tc>
          <w:tcPr>
            <w:tcW w:w="356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32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9"/>
              </w:rPr>
              <w:t>Purchased as Part of</w:t>
            </w: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64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9"/>
              </w:rPr>
              <w:t>Shares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9"/>
              </w:rPr>
              <w:t>Price of</w:t>
            </w:r>
          </w:p>
        </w:tc>
        <w:tc>
          <w:tcPr>
            <w:tcW w:w="232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rPr>
              <w:t>Publicly Announced</w:t>
            </w:r>
          </w:p>
        </w:tc>
        <w:tc>
          <w:tcPr>
            <w:tcW w:w="24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321"/>
        </w:trPr>
        <w:tc>
          <w:tcPr>
            <w:tcW w:w="356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Purchased</w:t>
            </w: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Share</w:t>
            </w:r>
          </w:p>
        </w:tc>
        <w:tc>
          <w:tcPr>
            <w:tcW w:w="2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Plans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5"/>
              </w:rPr>
              <w:t xml:space="preserve">Under the Plans </w:t>
            </w:r>
            <w:r>
              <w:rPr>
                <w:rFonts w:ascii="Arial" w:cs="Arial" w:eastAsia="Arial" w:hAnsi="Arial"/>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6"/>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 January 31,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3,667,497</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February 1 - February 29, 2024</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32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3,667,497</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1 - March 31, 2024</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3,667,497</w:t>
            </w:r>
          </w:p>
        </w:tc>
        <w:tc>
          <w:tcPr>
            <w:tcW w:w="0" w:type="dxa"/>
            <w:vAlign w:val="bottom"/>
          </w:tcPr>
          <w:p>
            <w:pPr>
              <w:spacing w:after="0"/>
              <w:rPr>
                <w:sz w:val="1"/>
                <w:szCs w:val="1"/>
                <w:color w:val="auto"/>
              </w:rPr>
            </w:pPr>
          </w:p>
        </w:tc>
      </w:tr>
      <w:tr>
        <w:trPr>
          <w:trHeight w:val="247"/>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ind w:left="720"/>
              <w:spacing w:after="0"/>
              <w:rPr>
                <w:sz w:val="20"/>
                <w:szCs w:val="20"/>
                <w:color w:val="auto"/>
              </w:rPr>
            </w:pPr>
            <w:r>
              <w:rPr>
                <w:rFonts w:ascii="Arial" w:cs="Arial" w:eastAsia="Arial" w:hAnsi="Arial"/>
                <w:sz w:val="18"/>
                <w:szCs w:val="18"/>
                <w:b w:val="1"/>
                <w:bCs w:val="1"/>
                <w:color w:val="auto"/>
              </w:rPr>
              <w:t>—</w:t>
            </w:r>
          </w:p>
        </w:tc>
        <w:tc>
          <w:tcPr>
            <w:tcW w:w="2320" w:type="dxa"/>
            <w:vAlign w:val="bottom"/>
            <w:gridSpan w:val="2"/>
          </w:tcPr>
          <w:p>
            <w:pPr>
              <w:ind w:left="1960"/>
              <w:spacing w:after="0"/>
              <w:rPr>
                <w:sz w:val="20"/>
                <w:szCs w:val="20"/>
                <w:color w:val="auto"/>
              </w:rPr>
            </w:pPr>
            <w:r>
              <w:rPr>
                <w:rFonts w:ascii="Arial" w:cs="Arial" w:eastAsia="Arial" w:hAnsi="Arial"/>
                <w:sz w:val="18"/>
                <w:szCs w:val="18"/>
                <w:b w:val="1"/>
                <w:bCs w:val="1"/>
                <w:color w:val="auto"/>
              </w:rPr>
              <w: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3,667,497</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8"/>
        <w:spacing w:after="0" w:line="238" w:lineRule="auto"/>
        <w:tabs>
          <w:tab w:leader="none" w:pos="19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Total stock repurchase authorizations approved by the Company's Board of Directors as of May 14, 2021, were for 35,000,000 shares. Under these authorizations, the Company has repurchased and not re-issued 31,323,119 shares and has repurchased and re-issued 9,384 shares. These authorizations have no specific dollar or share price targets and no expiration dates.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00" w:lineRule="exact"/>
        <w:rPr>
          <w:sz w:val="20"/>
          <w:szCs w:val="20"/>
          <w:color w:val="auto"/>
        </w:rPr>
      </w:pPr>
    </w:p>
    <w:p>
      <w:pPr>
        <w:spacing w:after="0" w:line="28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the Chief Executive Officer.</w:t>
      </w:r>
    </w:p>
    <w:p>
      <w:pPr>
        <w:spacing w:after="0" w:line="23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the Chief Financial Officer.</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the Chief Executive Officer Pursuant to 18 U.S.C. Section 1350.</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Certification of the Chief Financial Officer Pursuant to 18 U.S.C. Section 1350.</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40" w:hanging="375"/>
        <w:spacing w:after="0" w:line="287" w:lineRule="auto"/>
        <w:rPr>
          <w:sz w:val="20"/>
          <w:szCs w:val="20"/>
          <w:color w:val="auto"/>
        </w:rPr>
      </w:pPr>
      <w:r>
        <w:rPr>
          <w:rFonts w:ascii="Arial" w:cs="Arial" w:eastAsia="Arial" w:hAnsi="Arial"/>
          <w:sz w:val="18"/>
          <w:szCs w:val="18"/>
          <w:color w:val="auto"/>
        </w:rPr>
        <w:t>XBRL Instance Document- the instance document does not appear in the Interactive Data File as its XBRL tags are embedded within the Inline XBRL document</w:t>
      </w:r>
    </w:p>
    <w:p>
      <w:pPr>
        <w:spacing w:after="0" w:line="180" w:lineRule="exact"/>
        <w:rPr>
          <w:sz w:val="20"/>
          <w:szCs w:val="20"/>
          <w:color w:val="auto"/>
        </w:rPr>
      </w:pPr>
    </w:p>
    <w:p>
      <w:pPr>
        <w:sectPr>
          <w:pgSz w:w="11900" w:h="16838" w:orient="portrait"/>
          <w:cols w:equalWidth="0" w:num="2">
            <w:col w:w="720" w:space="580"/>
            <w:col w:w="9940"/>
          </w:cols>
          <w:pgMar w:left="320" w:top="125"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XBRL Taxonomy Extension Schema Document</w:t>
      </w:r>
    </w:p>
    <w:p>
      <w:pPr>
        <w:spacing w:after="0" w:line="200" w:lineRule="exact"/>
        <w:rPr>
          <w:sz w:val="20"/>
          <w:szCs w:val="20"/>
          <w:color w:val="auto"/>
        </w:rPr>
      </w:pPr>
    </w:p>
    <w:p>
      <w:pPr>
        <w:sectPr>
          <w:pgSz w:w="11900" w:h="16838" w:orient="portrait"/>
          <w:cols w:equalWidth="0" w:num="2">
            <w:col w:w="800" w:space="200"/>
            <w:col w:w="1024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 Document</w:t>
      </w:r>
    </w:p>
    <w:p>
      <w:pPr>
        <w:spacing w:after="0" w:line="211" w:lineRule="exact"/>
        <w:rPr>
          <w:sz w:val="20"/>
          <w:szCs w:val="20"/>
          <w:color w:val="auto"/>
        </w:rPr>
      </w:pPr>
    </w:p>
    <w:p>
      <w:pPr>
        <w:sectPr>
          <w:pgSz w:w="11900" w:h="16838" w:orient="portrait"/>
          <w:cols w:equalWidth="0" w:num="2">
            <w:col w:w="780" w:space="200"/>
            <w:col w:w="10260"/>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0" w:lineRule="exact"/>
        <w:rPr>
          <w:sz w:val="20"/>
          <w:szCs w:val="20"/>
          <w:color w:val="auto"/>
        </w:rPr>
      </w:pPr>
    </w:p>
    <w:p>
      <w:pPr>
        <w:sectPr>
          <w:pgSz w:w="11900" w:h="16838" w:orient="portrait"/>
          <w:cols w:equalWidth="0" w:num="2">
            <w:col w:w="780" w:space="200"/>
            <w:col w:w="1026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00" w:lineRule="exact"/>
        <w:rPr>
          <w:sz w:val="20"/>
          <w:szCs w:val="20"/>
          <w:color w:val="auto"/>
        </w:rPr>
      </w:pPr>
    </w:p>
    <w:p>
      <w:pPr>
        <w:sectPr>
          <w:pgSz w:w="11900" w:h="16838" w:orient="portrait"/>
          <w:cols w:equalWidth="0" w:num="2">
            <w:col w:w="760" w:space="200"/>
            <w:col w:w="1028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800" w:space="200"/>
            <w:col w:w="10240"/>
          </w:cols>
          <w:pgMar w:left="320" w:top="125" w:right="339" w:bottom="1440" w:gutter="0" w:footer="0" w:header="0"/>
          <w:type w:val="continuous"/>
        </w:sectPr>
      </w:pP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52" w:lineRule="exact"/>
        <w:rPr>
          <w:sz w:val="20"/>
          <w:szCs w:val="20"/>
          <w:color w:val="auto"/>
        </w:rPr>
      </w:pPr>
    </w:p>
    <w:p>
      <w:pPr>
        <w:jc w:val="both"/>
        <w:ind w:firstLine="8"/>
        <w:spacing w:after="0" w:line="257" w:lineRule="auto"/>
        <w:tabs>
          <w:tab w:leader="none" w:pos="165"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Furnished with this quarterly report on Form 10-Q are the following documents formatted in XBRL (Extensible Business Reporting Language): (i) the Condensed Consolidated Balance Sheets at March 31, 2024, and June 30, 2023, (ii) the Condensed Consolidated Statements of Income for the three and nine months ended March 31, 2024, and 2023, (iii) the Condensed Consolidated Statements of Changes in Shareholders' Equity for the three and nine months ended March 31, 2024, and 2023, (iv) the Condensed Consolidated Statements of Cash Flows for the nine months ended March 31, 2024, and 2023, and (v) Notes to Condensed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3180" w:type="dxa"/>
            <w:vAlign w:val="bottom"/>
            <w:gridSpan w:val="3"/>
          </w:tcPr>
          <w:p>
            <w:pPr>
              <w:ind w:left="120"/>
              <w:spacing w:after="0"/>
              <w:rPr>
                <w:sz w:val="20"/>
                <w:szCs w:val="20"/>
                <w:color w:val="auto"/>
              </w:rPr>
            </w:pPr>
            <w:r>
              <w:rPr>
                <w:rFonts w:ascii="Arial" w:cs="Arial" w:eastAsia="Arial" w:hAnsi="Arial"/>
                <w:sz w:val="18"/>
                <w:szCs w:val="18"/>
                <w:color w:val="auto"/>
              </w:rPr>
              <w:t>JACK HENRY &amp; ASSOCIATES, INC.</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May 9, 2024</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David B. Foss</w:t>
            </w:r>
          </w:p>
        </w:tc>
        <w:tc>
          <w:tcPr>
            <w:tcW w:w="1820" w:type="dxa"/>
            <w:vAlign w:val="bottom"/>
            <w:gridSpan w:val="2"/>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David B. Foss</w:t>
            </w:r>
          </w:p>
        </w:tc>
      </w:tr>
      <w:tr>
        <w:trPr>
          <w:trHeight w:val="239"/>
        </w:trPr>
        <w:tc>
          <w:tcPr>
            <w:tcW w:w="624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9"/>
              </w:rPr>
              <w:t>Chief Executive Officer and Board Chair</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May 9, 2024</w:t>
            </w: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Mimi L. Carsley</w:t>
            </w:r>
          </w:p>
        </w:tc>
        <w:tc>
          <w:tcPr>
            <w:tcW w:w="1700" w:type="dxa"/>
            <w:vAlign w:val="bottom"/>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Mimi L. Carsley</w:t>
            </w:r>
          </w:p>
        </w:tc>
      </w:tr>
      <w:tr>
        <w:trPr>
          <w:trHeight w:val="239"/>
        </w:trPr>
        <w:tc>
          <w:tcPr>
            <w:tcW w:w="624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David B. Foss, certify that:</w:t>
      </w:r>
    </w:p>
    <w:p>
      <w:pPr>
        <w:spacing w:after="0" w:line="77"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May 9,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5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Mimi L. Carsley, certify that:</w:t>
      </w:r>
    </w:p>
    <w:p>
      <w:pPr>
        <w:spacing w:after="0" w:line="77"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May 9,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5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Quarterly Report on Form 10 -Q of the Company for the nine month period ended March 31, 2024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May 9,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the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Quarterly Report on Form 10-Q of the Company for the nine month period ended March 31, 2024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May 9, 2024</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2024-05-09T14:41:25Z</dcterms:created>
  <dcterms:modified xsi:type="dcterms:W3CDTF">2024-05-09T14:41:25Z</dcterms:modified>
</cp:coreProperties>
</file>