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52"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ANNUAL REPORT</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ind w:left="5320"/>
        <w:spacing w:after="0"/>
        <w:rPr>
          <w:sz w:val="20"/>
          <w:szCs w:val="20"/>
          <w:color w:val="auto"/>
        </w:rPr>
      </w:pPr>
      <w:r>
        <w:rPr>
          <w:rFonts w:ascii="Arial" w:cs="Arial" w:eastAsia="Arial" w:hAnsi="Arial"/>
          <w:sz w:val="18"/>
          <w:szCs w:val="18"/>
          <w:b w:val="1"/>
          <w:bCs w:val="1"/>
          <w:color w:val="auto"/>
        </w:rPr>
        <w:t>(Mark One)</w:t>
      </w:r>
    </w:p>
    <w:p>
      <w:pPr>
        <w:spacing w:after="0" w:line="72"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ANNUAL REPORT PURSUANT TO SECTION 13 OR 15(d) OF THE SECURITIES EXCHANGE ACT OF 1934</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June 30, 2024</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20" w:right="1160" w:hanging="577"/>
        <w:spacing w:after="0" w:line="279" w:lineRule="auto"/>
        <w:tabs>
          <w:tab w:leader="none" w:pos="92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200" w:lineRule="exact"/>
        <w:rPr>
          <w:sz w:val="24"/>
          <w:szCs w:val="24"/>
          <w:color w:val="auto"/>
        </w:rPr>
      </w:pPr>
    </w:p>
    <w:p>
      <w:pPr>
        <w:spacing w:after="0" w:line="37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40" w:type="dxa"/>
            <w:vAlign w:val="bottom"/>
            <w:gridSpan w:val="2"/>
          </w:tcPr>
          <w:p>
            <w:pPr>
              <w:jc w:val="center"/>
              <w:ind w:right="2680"/>
              <w:spacing w:after="0"/>
              <w:rPr>
                <w:sz w:val="20"/>
                <w:szCs w:val="20"/>
                <w:color w:val="auto"/>
              </w:rPr>
            </w:pPr>
            <w:r>
              <w:rPr>
                <w:rFonts w:ascii="Arial" w:cs="Arial" w:eastAsia="Arial" w:hAnsi="Arial"/>
                <w:sz w:val="18"/>
                <w:szCs w:val="18"/>
                <w:color w:val="auto"/>
                <w:w w:val="99"/>
              </w:rPr>
              <w:t>Delaware</w:t>
            </w:r>
          </w:p>
        </w:tc>
        <w:tc>
          <w:tcPr>
            <w:tcW w:w="4080" w:type="dxa"/>
            <w:vAlign w:val="bottom"/>
            <w:gridSpan w:val="3"/>
          </w:tcPr>
          <w:p>
            <w:pPr>
              <w:jc w:val="right"/>
              <w:ind w:right="92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4"/>
        </w:trPr>
        <w:tc>
          <w:tcPr>
            <w:tcW w:w="4800" w:type="dxa"/>
            <w:vAlign w:val="bottom"/>
            <w:gridSpan w:val="3"/>
          </w:tcPr>
          <w:p>
            <w:pPr>
              <w:jc w:val="center"/>
              <w:ind w:right="1300"/>
              <w:spacing w:after="0"/>
              <w:rPr>
                <w:sz w:val="20"/>
                <w:szCs w:val="20"/>
                <w:color w:val="auto"/>
              </w:rPr>
            </w:pPr>
            <w:r>
              <w:rPr>
                <w:rFonts w:ascii="Arial" w:cs="Arial" w:eastAsia="Arial" w:hAnsi="Arial"/>
                <w:sz w:val="18"/>
                <w:szCs w:val="18"/>
                <w:color w:val="auto"/>
                <w:w w:val="99"/>
              </w:rPr>
              <w:t>(State or Other Jurisdiction of Incorporation)</w:t>
            </w:r>
          </w:p>
        </w:tc>
        <w:tc>
          <w:tcPr>
            <w:tcW w:w="4080" w:type="dxa"/>
            <w:vAlign w:val="bottom"/>
            <w:gridSpan w:val="3"/>
          </w:tcPr>
          <w:p>
            <w:pPr>
              <w:jc w:val="center"/>
              <w:ind w:left="1210"/>
              <w:spacing w:after="0"/>
              <w:rPr>
                <w:sz w:val="20"/>
                <w:szCs w:val="20"/>
                <w:color w:val="auto"/>
              </w:rPr>
            </w:pPr>
            <w:r>
              <w:rPr>
                <w:rFonts w:ascii="Arial" w:cs="Arial" w:eastAsia="Arial" w:hAnsi="Arial"/>
                <w:sz w:val="18"/>
                <w:szCs w:val="18"/>
                <w:color w:val="auto"/>
              </w:rPr>
              <w:t>(I.R.S. Employer Identification No.)</w:t>
            </w:r>
          </w:p>
        </w:tc>
      </w:tr>
    </w:tbl>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(Zip Code)</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417-235-6652</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7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212"/>
        </w:trPr>
        <w:tc>
          <w:tcPr>
            <w:tcW w:w="15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800" w:type="dxa"/>
            <w:vAlign w:val="bottom"/>
          </w:tcPr>
          <w:p>
            <w:pPr>
              <w:spacing w:after="0"/>
              <w:rPr>
                <w:sz w:val="18"/>
                <w:szCs w:val="18"/>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Trading Symbol</w:t>
            </w:r>
          </w:p>
        </w:tc>
        <w:tc>
          <w:tcPr>
            <w:tcW w:w="4040" w:type="dxa"/>
            <w:vAlign w:val="bottom"/>
            <w:gridSpan w:val="2"/>
          </w:tcPr>
          <w:p>
            <w:pPr>
              <w:jc w:val="center"/>
              <w:ind w:left="390"/>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4"/>
        </w:trPr>
        <w:tc>
          <w:tcPr>
            <w:tcW w:w="47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Common Stock ($0.01 par value)</w:t>
            </w: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JKHY</w:t>
            </w:r>
          </w:p>
        </w:tc>
        <w:tc>
          <w:tcPr>
            <w:tcW w:w="480" w:type="dxa"/>
            <w:vAlign w:val="bottom"/>
          </w:tcPr>
          <w:p>
            <w:pPr>
              <w:spacing w:after="0"/>
              <w:rPr>
                <w:sz w:val="22"/>
                <w:szCs w:val="22"/>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15" w:lineRule="exact"/>
        <w:rPr>
          <w:sz w:val="24"/>
          <w:szCs w:val="24"/>
          <w:color w:val="auto"/>
        </w:rPr>
      </w:pPr>
    </w:p>
    <w:p>
      <w:pPr>
        <w:spacing w:after="0"/>
        <w:tabs>
          <w:tab w:leader="none" w:pos="4700" w:val="left"/>
        </w:tabs>
        <w:rPr>
          <w:sz w:val="20"/>
          <w:szCs w:val="20"/>
          <w:color w:val="auto"/>
        </w:rPr>
      </w:pPr>
      <w:r>
        <w:rPr>
          <w:rFonts w:ascii="Arial" w:cs="Arial" w:eastAsia="Arial" w:hAnsi="Arial"/>
          <w:sz w:val="18"/>
          <w:szCs w:val="18"/>
          <w:color w:val="auto"/>
        </w:rPr>
        <w:t>Securities registered pursuant to Section 12(g) of the Act:</w:t>
      </w:r>
      <w:r>
        <w:rPr>
          <w:sz w:val="20"/>
          <w:szCs w:val="20"/>
          <w:color w:val="auto"/>
        </w:rPr>
        <w:tab/>
      </w:r>
      <w:r>
        <w:rPr>
          <w:rFonts w:ascii="Arial" w:cs="Arial" w:eastAsia="Arial" w:hAnsi="Arial"/>
          <w:sz w:val="18"/>
          <w:szCs w:val="18"/>
          <w:u w:val="single" w:color="auto"/>
          <w:color w:val="auto"/>
        </w:rPr>
        <w:t>None</w:t>
      </w:r>
    </w:p>
    <w:p>
      <w:pPr>
        <w:spacing w:after="0" w:line="252" w:lineRule="exact"/>
        <w:rPr>
          <w:sz w:val="24"/>
          <w:szCs w:val="24"/>
          <w:color w:val="auto"/>
        </w:rPr>
      </w:pPr>
    </w:p>
    <w:p>
      <w:pPr>
        <w:ind w:right="1940"/>
        <w:spacing w:after="0" w:line="239"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w:t>
      </w: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4"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w:t>
      </w:r>
    </w:p>
    <w:tbl>
      <w:tblPr>
        <w:tblLayout w:type="fixed"/>
        <w:tblInd w:w="0" w:type="dxa"/>
        <w:tblCellMar>
          <w:top w:w="0" w:type="dxa"/>
          <w:left w:w="0" w:type="dxa"/>
          <w:bottom w:w="0" w:type="dxa"/>
          <w:right w:w="0" w:type="dxa"/>
        </w:tblCellMar>
      </w:tblPr>
      <w:tr>
        <w:trPr>
          <w:trHeight w:val="200"/>
        </w:trPr>
        <w:tc>
          <w:tcPr>
            <w:tcW w:w="620" w:type="dxa"/>
            <w:vAlign w:val="bottom"/>
          </w:tcPr>
          <w:p>
            <w:pPr>
              <w:spacing w:after="0" w:line="200" w:lineRule="exact"/>
              <w:rPr>
                <w:sz w:val="20"/>
                <w:szCs w:val="20"/>
                <w:color w:val="auto"/>
              </w:rPr>
            </w:pPr>
            <w:r>
              <w:rPr>
                <w:rFonts w:ascii="Arial" w:cs="Arial" w:eastAsia="Arial" w:hAnsi="Arial"/>
                <w:sz w:val="18"/>
                <w:szCs w:val="18"/>
                <w:color w:val="auto"/>
              </w:rPr>
              <w:t>and</w:t>
            </w:r>
          </w:p>
        </w:tc>
        <w:tc>
          <w:tcPr>
            <w:tcW w:w="1700" w:type="dxa"/>
            <w:vAlign w:val="bottom"/>
          </w:tcPr>
          <w:p>
            <w:pPr>
              <w:ind w:left="320"/>
              <w:spacing w:after="0" w:line="200" w:lineRule="exact"/>
              <w:rPr>
                <w:sz w:val="20"/>
                <w:szCs w:val="20"/>
                <w:color w:val="auto"/>
              </w:rPr>
            </w:pPr>
            <w:r>
              <w:rPr>
                <w:rFonts w:ascii="Arial" w:cs="Arial" w:eastAsia="Arial" w:hAnsi="Arial"/>
                <w:sz w:val="18"/>
                <w:szCs w:val="18"/>
                <w:color w:val="auto"/>
              </w:rPr>
              <w:t>"emerging</w:t>
            </w:r>
          </w:p>
        </w:tc>
        <w:tc>
          <w:tcPr>
            <w:tcW w:w="920" w:type="dxa"/>
            <w:vAlign w:val="bottom"/>
          </w:tcPr>
          <w:p>
            <w:pPr>
              <w:ind w:left="60"/>
              <w:spacing w:after="0" w:line="200" w:lineRule="exact"/>
              <w:rPr>
                <w:sz w:val="20"/>
                <w:szCs w:val="20"/>
                <w:color w:val="auto"/>
              </w:rPr>
            </w:pPr>
            <w:r>
              <w:rPr>
                <w:rFonts w:ascii="Arial" w:cs="Arial" w:eastAsia="Arial" w:hAnsi="Arial"/>
                <w:sz w:val="18"/>
                <w:szCs w:val="18"/>
                <w:color w:val="auto"/>
              </w:rPr>
              <w:t>growth</w:t>
            </w:r>
          </w:p>
        </w:tc>
        <w:tc>
          <w:tcPr>
            <w:tcW w:w="1420" w:type="dxa"/>
            <w:vAlign w:val="bottom"/>
            <w:gridSpan w:val="2"/>
          </w:tcPr>
          <w:p>
            <w:pPr>
              <w:jc w:val="center"/>
              <w:spacing w:after="0" w:line="200" w:lineRule="exact"/>
              <w:rPr>
                <w:sz w:val="20"/>
                <w:szCs w:val="20"/>
                <w:color w:val="auto"/>
              </w:rPr>
            </w:pPr>
            <w:r>
              <w:rPr>
                <w:rFonts w:ascii="Arial" w:cs="Arial" w:eastAsia="Arial" w:hAnsi="Arial"/>
                <w:sz w:val="18"/>
                <w:szCs w:val="18"/>
                <w:color w:val="auto"/>
              </w:rPr>
              <w:t>company"</w:t>
            </w:r>
          </w:p>
        </w:tc>
        <w:tc>
          <w:tcPr>
            <w:tcW w:w="1020" w:type="dxa"/>
            <w:vAlign w:val="bottom"/>
          </w:tcPr>
          <w:p>
            <w:pPr>
              <w:ind w:left="320"/>
              <w:spacing w:after="0" w:line="200" w:lineRule="exact"/>
              <w:rPr>
                <w:sz w:val="20"/>
                <w:szCs w:val="20"/>
                <w:color w:val="auto"/>
              </w:rPr>
            </w:pPr>
            <w:r>
              <w:rPr>
                <w:rFonts w:ascii="Arial" w:cs="Arial" w:eastAsia="Arial" w:hAnsi="Arial"/>
                <w:sz w:val="18"/>
                <w:szCs w:val="18"/>
                <w:color w:val="auto"/>
              </w:rPr>
              <w:t>in</w:t>
            </w:r>
          </w:p>
        </w:tc>
        <w:tc>
          <w:tcPr>
            <w:tcW w:w="920" w:type="dxa"/>
            <w:vAlign w:val="bottom"/>
          </w:tcPr>
          <w:p>
            <w:pPr>
              <w:ind w:left="60"/>
              <w:spacing w:after="0" w:line="200" w:lineRule="exact"/>
              <w:rPr>
                <w:sz w:val="20"/>
                <w:szCs w:val="20"/>
                <w:color w:val="auto"/>
              </w:rPr>
            </w:pPr>
            <w:r>
              <w:rPr>
                <w:rFonts w:ascii="Arial" w:cs="Arial" w:eastAsia="Arial" w:hAnsi="Arial"/>
                <w:sz w:val="18"/>
                <w:szCs w:val="18"/>
                <w:color w:val="auto"/>
              </w:rPr>
              <w:t>Rule</w:t>
            </w:r>
          </w:p>
        </w:tc>
        <w:tc>
          <w:tcPr>
            <w:tcW w:w="920" w:type="dxa"/>
            <w:vAlign w:val="bottom"/>
          </w:tcPr>
          <w:p>
            <w:pPr>
              <w:ind w:left="140"/>
              <w:spacing w:after="0" w:line="200" w:lineRule="exact"/>
              <w:rPr>
                <w:sz w:val="20"/>
                <w:szCs w:val="20"/>
                <w:color w:val="auto"/>
              </w:rPr>
            </w:pPr>
            <w:r>
              <w:rPr>
                <w:rFonts w:ascii="Arial" w:cs="Arial" w:eastAsia="Arial" w:hAnsi="Arial"/>
                <w:sz w:val="18"/>
                <w:szCs w:val="18"/>
                <w:color w:val="auto"/>
              </w:rPr>
              <w:t>12b-2</w:t>
            </w:r>
          </w:p>
        </w:tc>
        <w:tc>
          <w:tcPr>
            <w:tcW w:w="780" w:type="dxa"/>
            <w:vAlign w:val="bottom"/>
          </w:tcPr>
          <w:p>
            <w:pPr>
              <w:ind w:left="320"/>
              <w:spacing w:after="0" w:line="200" w:lineRule="exact"/>
              <w:rPr>
                <w:sz w:val="20"/>
                <w:szCs w:val="20"/>
                <w:color w:val="auto"/>
              </w:rPr>
            </w:pPr>
            <w:r>
              <w:rPr>
                <w:rFonts w:ascii="Arial" w:cs="Arial" w:eastAsia="Arial" w:hAnsi="Arial"/>
                <w:sz w:val="18"/>
                <w:szCs w:val="18"/>
                <w:color w:val="auto"/>
              </w:rPr>
              <w:t>of</w:t>
            </w:r>
          </w:p>
        </w:tc>
        <w:tc>
          <w:tcPr>
            <w:tcW w:w="780" w:type="dxa"/>
            <w:vAlign w:val="bottom"/>
          </w:tcPr>
          <w:p>
            <w:pPr>
              <w:ind w:left="300"/>
              <w:spacing w:after="0" w:line="200" w:lineRule="exact"/>
              <w:rPr>
                <w:sz w:val="20"/>
                <w:szCs w:val="20"/>
                <w:color w:val="auto"/>
              </w:rPr>
            </w:pPr>
            <w:r>
              <w:rPr>
                <w:rFonts w:ascii="Arial" w:cs="Arial" w:eastAsia="Arial" w:hAnsi="Arial"/>
                <w:sz w:val="18"/>
                <w:szCs w:val="18"/>
                <w:color w:val="auto"/>
              </w:rPr>
              <w:t>the</w:t>
            </w:r>
          </w:p>
        </w:tc>
        <w:tc>
          <w:tcPr>
            <w:tcW w:w="1520" w:type="dxa"/>
            <w:vAlign w:val="bottom"/>
          </w:tcPr>
          <w:p>
            <w:pPr>
              <w:ind w:left="400"/>
              <w:spacing w:after="0" w:line="200" w:lineRule="exact"/>
              <w:rPr>
                <w:sz w:val="20"/>
                <w:szCs w:val="20"/>
                <w:color w:val="auto"/>
              </w:rPr>
            </w:pPr>
            <w:r>
              <w:rPr>
                <w:rFonts w:ascii="Arial" w:cs="Arial" w:eastAsia="Arial" w:hAnsi="Arial"/>
                <w:sz w:val="18"/>
                <w:szCs w:val="18"/>
                <w:color w:val="auto"/>
              </w:rPr>
              <w:t>Exchange</w:t>
            </w:r>
          </w:p>
        </w:tc>
        <w:tc>
          <w:tcPr>
            <w:tcW w:w="620" w:type="dxa"/>
            <w:vAlign w:val="bottom"/>
          </w:tcPr>
          <w:p>
            <w:pPr>
              <w:ind w:left="320"/>
              <w:spacing w:after="0" w:line="200" w:lineRule="exact"/>
              <w:rPr>
                <w:sz w:val="20"/>
                <w:szCs w:val="20"/>
                <w:color w:val="auto"/>
              </w:rPr>
            </w:pPr>
            <w:r>
              <w:rPr>
                <w:rFonts w:ascii="Arial" w:cs="Arial" w:eastAsia="Arial" w:hAnsi="Arial"/>
                <w:sz w:val="18"/>
                <w:szCs w:val="18"/>
                <w:color w:val="auto"/>
                <w:w w:val="90"/>
              </w:rPr>
              <w:t>Act.</w:t>
            </w:r>
          </w:p>
        </w:tc>
      </w:tr>
      <w:tr>
        <w:trPr>
          <w:trHeight w:val="303"/>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Large accelerated filer</w:t>
            </w:r>
          </w:p>
        </w:tc>
        <w:tc>
          <w:tcPr>
            <w:tcW w:w="92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Accelerated filer</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459"/>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Non-accelerated filer</w:t>
            </w:r>
          </w:p>
        </w:tc>
        <w:tc>
          <w:tcPr>
            <w:tcW w:w="92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gridSpan w:val="3"/>
          </w:tcPr>
          <w:p>
            <w:pPr>
              <w:ind w:left="14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324"/>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0" w:lineRule="exact"/>
        <w:rPr>
          <w:sz w:val="20"/>
          <w:szCs w:val="20"/>
          <w:color w:val="auto"/>
        </w:rPr>
      </w:pPr>
    </w:p>
    <w:p>
      <w:pPr>
        <w:spacing w:after="0" w:line="253"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December 31, 2023, the aggregate market value of the Common Stock held by persons other than those who may be deemed affiliates of Registrant was $11,835,584,815 (based on the closing stock price on Nasdaq on December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of August 15, 2024, the Registrant had 72,908,319 shares of Common Stock outstanding ($0.01 par value).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DOCUMENTS INCORPORATED BY REFERENCE</w:t>
      </w:r>
    </w:p>
    <w:p>
      <w:pPr>
        <w:spacing w:after="0" w:line="2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Portions of the Company's Proxy Statement for its 2024 Annual Meeting of Stockholders (the "Proxy Statement") are incorporated by reference into Part III of this Report to the extent stated herein. Such Proxy Statement will be filed with the Securities and Exchange Commission ("SEC") within 120 days of the Company's fiscal year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20" w:type="dxa"/>
            <w:vAlign w:val="bottom"/>
            <w:gridSpan w:val="12"/>
          </w:tcPr>
          <w:p>
            <w:pPr>
              <w:jc w:val="center"/>
              <w:ind w:right="2460"/>
              <w:spacing w:after="0"/>
              <w:rPr>
                <w:sz w:val="20"/>
                <w:szCs w:val="20"/>
                <w:color w:val="auto"/>
              </w:rPr>
            </w:pPr>
            <w:r>
              <w:rPr>
                <w:rFonts w:ascii="Arial" w:cs="Arial" w:eastAsia="Arial" w:hAnsi="Arial"/>
                <w:sz w:val="18"/>
                <w:szCs w:val="18"/>
                <w:b w:val="1"/>
                <w:bCs w:val="1"/>
                <w:color w:val="auto"/>
                <w:w w:val="98"/>
              </w:rPr>
              <w:t>TABLE OF CONTENTS</w:t>
            </w:r>
          </w:p>
        </w:tc>
      </w:tr>
      <w:tr>
        <w:trPr>
          <w:trHeight w:val="634"/>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6"/>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9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BUSINESS</w:t>
            </w:r>
          </w:p>
        </w:tc>
        <w:tc>
          <w:tcPr>
            <w:tcW w:w="7040" w:type="dxa"/>
            <w:vAlign w:val="bottom"/>
            <w:gridSpan w:val="23"/>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6640" w:type="dxa"/>
            <w:vAlign w:val="bottom"/>
            <w:gridSpan w:val="20"/>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1B.</w:t>
            </w:r>
          </w:p>
        </w:tc>
        <w:tc>
          <w:tcPr>
            <w:tcW w:w="29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8"/>
              </w:rPr>
              <w:t>UNRESOLVED STAFF COMMENTS</w:t>
            </w:r>
          </w:p>
        </w:tc>
        <w:tc>
          <w:tcPr>
            <w:tcW w:w="5020" w:type="dxa"/>
            <w:vAlign w:val="bottom"/>
            <w:gridSpan w:val="13"/>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1C.</w:t>
            </w:r>
          </w:p>
        </w:tc>
        <w:tc>
          <w:tcPr>
            <w:tcW w:w="15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CYBERSECURITY</w:t>
            </w:r>
          </w:p>
        </w:tc>
        <w:tc>
          <w:tcPr>
            <w:tcW w:w="6420" w:type="dxa"/>
            <w:vAlign w:val="bottom"/>
            <w:gridSpan w:val="19"/>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1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PROPERTIES</w:t>
            </w:r>
          </w:p>
        </w:tc>
        <w:tc>
          <w:tcPr>
            <w:tcW w:w="6800" w:type="dxa"/>
            <w:vAlign w:val="bottom"/>
            <w:gridSpan w:val="21"/>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7960" w:type="dxa"/>
            <w:vAlign w:val="bottom"/>
            <w:gridSpan w:val="24"/>
          </w:tcPr>
          <w:p>
            <w:pPr>
              <w:spacing w:after="0"/>
              <w:rPr>
                <w:sz w:val="20"/>
                <w:szCs w:val="20"/>
                <w:color w:val="auto"/>
              </w:rPr>
            </w:pPr>
            <w:r>
              <w:rPr>
                <w:rFonts w:ascii="Arial" w:cs="Arial" w:eastAsia="Arial" w:hAnsi="Arial"/>
                <w:sz w:val="18"/>
                <w:szCs w:val="18"/>
                <w:color w:val="0000FF"/>
              </w:rPr>
              <w:t>LEGAL PROCEEDINGS</w:t>
            </w:r>
          </w:p>
        </w:tc>
      </w:tr>
      <w:tr>
        <w:trPr>
          <w:trHeight w:val="20"/>
        </w:trPr>
        <w:tc>
          <w:tcPr>
            <w:tcW w:w="12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4.</w:t>
            </w:r>
          </w:p>
        </w:tc>
        <w:tc>
          <w:tcPr>
            <w:tcW w:w="7960" w:type="dxa"/>
            <w:vAlign w:val="bottom"/>
            <w:gridSpan w:val="24"/>
          </w:tcPr>
          <w:p>
            <w:pPr>
              <w:spacing w:after="0"/>
              <w:rPr>
                <w:sz w:val="20"/>
                <w:szCs w:val="20"/>
                <w:color w:val="auto"/>
              </w:rPr>
            </w:pPr>
            <w:r>
              <w:rPr>
                <w:rFonts w:ascii="Arial" w:cs="Arial" w:eastAsia="Arial" w:hAnsi="Arial"/>
                <w:sz w:val="18"/>
                <w:szCs w:val="18"/>
                <w:color w:val="0000FF"/>
              </w:rPr>
              <w:t>MINE SAFETY DISCLOSURES</w:t>
            </w:r>
          </w:p>
        </w:tc>
      </w:tr>
      <w:tr>
        <w:trPr>
          <w:trHeight w:val="410"/>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5"/>
        </w:trPr>
        <w:tc>
          <w:tcPr>
            <w:tcW w:w="1260" w:type="dxa"/>
            <w:vAlign w:val="bottom"/>
          </w:tcPr>
          <w:p>
            <w:pPr>
              <w:spacing w:after="0"/>
              <w:rPr>
                <w:sz w:val="20"/>
                <w:szCs w:val="20"/>
                <w:color w:val="auto"/>
              </w:rPr>
            </w:pPr>
            <w:r>
              <w:rPr>
                <w:rFonts w:ascii="Arial" w:cs="Arial" w:eastAsia="Arial" w:hAnsi="Arial"/>
                <w:sz w:val="18"/>
                <w:szCs w:val="18"/>
                <w:color w:val="auto"/>
              </w:rPr>
              <w:t>ITEM 5.</w:t>
            </w:r>
          </w:p>
        </w:tc>
        <w:tc>
          <w:tcPr>
            <w:tcW w:w="7960" w:type="dxa"/>
            <w:vAlign w:val="bottom"/>
            <w:gridSpan w:val="24"/>
          </w:tcPr>
          <w:p>
            <w:pPr>
              <w:spacing w:after="0"/>
              <w:rPr>
                <w:sz w:val="20"/>
                <w:szCs w:val="20"/>
                <w:color w:val="auto"/>
              </w:rPr>
            </w:pPr>
            <w:r>
              <w:rPr>
                <w:rFonts w:ascii="Arial" w:cs="Arial" w:eastAsia="Arial" w:hAnsi="Arial"/>
                <w:sz w:val="18"/>
                <w:szCs w:val="18"/>
                <w:color w:val="0000FF"/>
              </w:rPr>
              <w:t>MARKET FOR REGISTRANT'S COMMON EQUITY, RELATED STOCKHOLDER MATTERS AND</w:t>
            </w:r>
          </w:p>
        </w:tc>
      </w:tr>
      <w:tr>
        <w:trPr>
          <w:trHeight w:val="156"/>
        </w:trPr>
        <w:tc>
          <w:tcPr>
            <w:tcW w:w="126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13"/>
          </w:tcPr>
          <w:p>
            <w:pPr>
              <w:spacing w:after="0" w:line="156" w:lineRule="exact"/>
              <w:rPr>
                <w:sz w:val="20"/>
                <w:szCs w:val="20"/>
                <w:color w:val="auto"/>
              </w:rPr>
            </w:pPr>
            <w:r>
              <w:rPr>
                <w:rFonts w:ascii="Arial" w:cs="Arial" w:eastAsia="Arial" w:hAnsi="Arial"/>
                <w:sz w:val="18"/>
                <w:szCs w:val="18"/>
                <w:color w:val="0000FF"/>
                <w:w w:val="99"/>
              </w:rPr>
              <w:t>ISSUER PURCHASES OF EQUITY SECURITIES</w:t>
            </w:r>
          </w:p>
        </w:tc>
        <w:tc>
          <w:tcPr>
            <w:tcW w:w="380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71"/>
        </w:trPr>
        <w:tc>
          <w:tcPr>
            <w:tcW w:w="1260" w:type="dxa"/>
            <w:vAlign w:val="bottom"/>
          </w:tcPr>
          <w:p>
            <w:pPr>
              <w:spacing w:after="0"/>
              <w:rPr>
                <w:sz w:val="20"/>
                <w:szCs w:val="20"/>
                <w:color w:val="auto"/>
              </w:rPr>
            </w:pPr>
            <w:r>
              <w:rPr>
                <w:rFonts w:ascii="Arial" w:cs="Arial" w:eastAsia="Arial" w:hAnsi="Arial"/>
                <w:sz w:val="18"/>
                <w:szCs w:val="18"/>
                <w:color w:val="auto"/>
              </w:rPr>
              <w:t>ITEM 6.</w:t>
            </w:r>
          </w:p>
        </w:tc>
        <w:tc>
          <w:tcPr>
            <w:tcW w:w="7960" w:type="dxa"/>
            <w:vAlign w:val="bottom"/>
            <w:gridSpan w:val="24"/>
          </w:tcPr>
          <w:p>
            <w:pPr>
              <w:spacing w:after="0"/>
              <w:rPr>
                <w:sz w:val="20"/>
                <w:szCs w:val="20"/>
                <w:color w:val="auto"/>
              </w:rPr>
            </w:pPr>
            <w:r>
              <w:rPr>
                <w:rFonts w:ascii="Arial" w:cs="Arial" w:eastAsia="Arial" w:hAnsi="Arial"/>
                <w:sz w:val="18"/>
                <w:szCs w:val="18"/>
                <w:color w:val="0000FF"/>
              </w:rPr>
              <w:t>[RESERVED]</w:t>
            </w:r>
          </w:p>
        </w:tc>
      </w:tr>
      <w:tr>
        <w:trPr>
          <w:trHeight w:val="20"/>
        </w:trPr>
        <w:tc>
          <w:tcPr>
            <w:tcW w:w="12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7.</w:t>
            </w:r>
          </w:p>
        </w:tc>
        <w:tc>
          <w:tcPr>
            <w:tcW w:w="7960" w:type="dxa"/>
            <w:vAlign w:val="bottom"/>
            <w:gridSpan w:val="24"/>
          </w:tcPr>
          <w:p>
            <w:pPr>
              <w:spacing w:after="0"/>
              <w:rPr>
                <w:sz w:val="20"/>
                <w:szCs w:val="20"/>
                <w:color w:val="auto"/>
              </w:rPr>
            </w:pPr>
            <w:r>
              <w:rPr>
                <w:rFonts w:ascii="Arial" w:cs="Arial" w:eastAsia="Arial" w:hAnsi="Arial"/>
                <w:sz w:val="18"/>
                <w:szCs w:val="18"/>
                <w:color w:val="0000FF"/>
              </w:rPr>
              <w:t>MANAGEMENT'S DISCUSSION AND ANALYSIS OF FINANCIAL CONDITION AND RESULTS OF</w:t>
            </w:r>
          </w:p>
        </w:tc>
      </w:tr>
      <w:tr>
        <w:trPr>
          <w:trHeight w:val="155"/>
        </w:trPr>
        <w:tc>
          <w:tcPr>
            <w:tcW w:w="1260" w:type="dxa"/>
            <w:vAlign w:val="bottom"/>
          </w:tcPr>
          <w:p>
            <w:pPr>
              <w:spacing w:after="0"/>
              <w:rPr>
                <w:sz w:val="13"/>
                <w:szCs w:val="13"/>
                <w:color w:val="auto"/>
              </w:rPr>
            </w:pPr>
          </w:p>
        </w:tc>
        <w:tc>
          <w:tcPr>
            <w:tcW w:w="7900" w:type="dxa"/>
            <w:vAlign w:val="bottom"/>
            <w:tcBorders>
              <w:top w:val="single" w:sz="8" w:color="0000FF"/>
            </w:tcBorders>
            <w:gridSpan w:val="23"/>
          </w:tcPr>
          <w:p>
            <w:pPr>
              <w:spacing w:after="0" w:line="156" w:lineRule="exact"/>
              <w:rPr>
                <w:sz w:val="20"/>
                <w:szCs w:val="20"/>
                <w:color w:val="auto"/>
              </w:rPr>
            </w:pPr>
            <w:r>
              <w:rPr>
                <w:rFonts w:ascii="Arial" w:cs="Arial" w:eastAsia="Arial" w:hAnsi="Arial"/>
                <w:sz w:val="18"/>
                <w:szCs w:val="18"/>
                <w:color w:val="0000FF"/>
              </w:rPr>
              <w:t>OPERATIONS</w:t>
            </w:r>
          </w:p>
        </w:tc>
        <w:tc>
          <w:tcPr>
            <w:tcW w:w="6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7A.</w:t>
            </w:r>
          </w:p>
        </w:tc>
        <w:tc>
          <w:tcPr>
            <w:tcW w:w="7960" w:type="dxa"/>
            <w:vAlign w:val="bottom"/>
            <w:gridSpan w:val="24"/>
          </w:tcPr>
          <w:p>
            <w:pPr>
              <w:spacing w:after="0"/>
              <w:rPr>
                <w:sz w:val="20"/>
                <w:szCs w:val="20"/>
                <w:color w:val="auto"/>
              </w:rPr>
            </w:pPr>
            <w:r>
              <w:rPr>
                <w:rFonts w:ascii="Arial" w:cs="Arial" w:eastAsia="Arial" w:hAnsi="Arial"/>
                <w:sz w:val="18"/>
                <w:szCs w:val="18"/>
                <w:color w:val="0000FF"/>
              </w:rPr>
              <w:t>QUANTITATIVE AND QUALITATIVE DISCLOSURES ABOUT MARKET RISK</w:t>
            </w: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8.</w:t>
            </w:r>
          </w:p>
        </w:tc>
        <w:tc>
          <w:tcPr>
            <w:tcW w:w="474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8"/>
              </w:rPr>
              <w:t>FINANCIAL STATEMENTS AND SUPPLEMENTARY DATA</w:t>
            </w:r>
          </w:p>
        </w:tc>
        <w:tc>
          <w:tcPr>
            <w:tcW w:w="1440" w:type="dxa"/>
            <w:vAlign w:val="bottom"/>
            <w:tcBorders>
              <w:top w:val="single" w:sz="8" w:color="0000FF"/>
            </w:tcBorders>
            <w:gridSpan w:val="2"/>
          </w:tcPr>
          <w:p>
            <w:pPr>
              <w:spacing w:after="0"/>
              <w:rPr>
                <w:sz w:val="24"/>
                <w:szCs w:val="24"/>
                <w:color w:val="auto"/>
              </w:rPr>
            </w:pPr>
          </w:p>
        </w:tc>
        <w:tc>
          <w:tcPr>
            <w:tcW w:w="1780" w:type="dxa"/>
            <w:vAlign w:val="bottom"/>
            <w:gridSpan w:val="6"/>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9.</w:t>
            </w:r>
          </w:p>
        </w:tc>
        <w:tc>
          <w:tcPr>
            <w:tcW w:w="7960" w:type="dxa"/>
            <w:vAlign w:val="bottom"/>
            <w:gridSpan w:val="24"/>
          </w:tcPr>
          <w:p>
            <w:pPr>
              <w:spacing w:after="0"/>
              <w:rPr>
                <w:sz w:val="20"/>
                <w:szCs w:val="20"/>
                <w:color w:val="auto"/>
              </w:rPr>
            </w:pPr>
            <w:r>
              <w:rPr>
                <w:rFonts w:ascii="Arial" w:cs="Arial" w:eastAsia="Arial" w:hAnsi="Arial"/>
                <w:sz w:val="18"/>
                <w:szCs w:val="18"/>
                <w:color w:val="0000FF"/>
              </w:rPr>
              <w:t>CHANGES IN AND DISAGREEMENTS WITH ACCOUNTANTS ON ACCOUNTING AND</w:t>
            </w:r>
          </w:p>
        </w:tc>
      </w:tr>
      <w:tr>
        <w:trPr>
          <w:trHeight w:val="155"/>
        </w:trPr>
        <w:tc>
          <w:tcPr>
            <w:tcW w:w="1260" w:type="dxa"/>
            <w:vAlign w:val="bottom"/>
          </w:tcPr>
          <w:p>
            <w:pPr>
              <w:spacing w:after="0"/>
              <w:rPr>
                <w:sz w:val="13"/>
                <w:szCs w:val="13"/>
                <w:color w:val="auto"/>
              </w:rPr>
            </w:pPr>
          </w:p>
        </w:tc>
        <w:tc>
          <w:tcPr>
            <w:tcW w:w="7080" w:type="dxa"/>
            <w:vAlign w:val="bottom"/>
            <w:tcBorders>
              <w:top w:val="single" w:sz="8" w:color="0000FF"/>
            </w:tcBorders>
            <w:gridSpan w:val="19"/>
          </w:tcPr>
          <w:p>
            <w:pPr>
              <w:spacing w:after="0" w:line="156" w:lineRule="exact"/>
              <w:rPr>
                <w:sz w:val="20"/>
                <w:szCs w:val="20"/>
                <w:color w:val="auto"/>
              </w:rPr>
            </w:pPr>
            <w:r>
              <w:rPr>
                <w:rFonts w:ascii="Arial" w:cs="Arial" w:eastAsia="Arial" w:hAnsi="Arial"/>
                <w:sz w:val="18"/>
                <w:szCs w:val="18"/>
                <w:color w:val="0000FF"/>
              </w:rPr>
              <w:t>FINANCIAL DISCLOSURE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9A.</w:t>
            </w:r>
          </w:p>
        </w:tc>
        <w:tc>
          <w:tcPr>
            <w:tcW w:w="27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5200" w:type="dxa"/>
            <w:vAlign w:val="bottom"/>
            <w:gridSpan w:val="14"/>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9B.</w:t>
            </w:r>
          </w:p>
        </w:tc>
        <w:tc>
          <w:tcPr>
            <w:tcW w:w="7960" w:type="dxa"/>
            <w:vAlign w:val="bottom"/>
            <w:gridSpan w:val="24"/>
          </w:tcPr>
          <w:p>
            <w:pPr>
              <w:spacing w:after="0"/>
              <w:rPr>
                <w:sz w:val="20"/>
                <w:szCs w:val="20"/>
                <w:color w:val="auto"/>
              </w:rPr>
            </w:pPr>
            <w:r>
              <w:rPr>
                <w:rFonts w:ascii="Arial" w:cs="Arial" w:eastAsia="Arial" w:hAnsi="Arial"/>
                <w:sz w:val="18"/>
                <w:szCs w:val="18"/>
                <w:color w:val="0000FF"/>
              </w:rPr>
              <w:t>OTHER INFORMATION</w:t>
            </w:r>
          </w:p>
        </w:tc>
      </w:tr>
      <w:tr>
        <w:trPr>
          <w:trHeight w:val="20"/>
        </w:trPr>
        <w:tc>
          <w:tcPr>
            <w:tcW w:w="1260" w:type="dxa"/>
            <w:vAlign w:val="bottom"/>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9C.</w:t>
            </w:r>
          </w:p>
        </w:tc>
        <w:tc>
          <w:tcPr>
            <w:tcW w:w="7960" w:type="dxa"/>
            <w:vAlign w:val="bottom"/>
            <w:gridSpan w:val="24"/>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r>
      <w:tr>
        <w:trPr>
          <w:trHeight w:val="410"/>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6"/>
        </w:trPr>
        <w:tc>
          <w:tcPr>
            <w:tcW w:w="1260" w:type="dxa"/>
            <w:vAlign w:val="bottom"/>
          </w:tcPr>
          <w:p>
            <w:pPr>
              <w:spacing w:after="0"/>
              <w:rPr>
                <w:sz w:val="20"/>
                <w:szCs w:val="20"/>
                <w:color w:val="auto"/>
              </w:rPr>
            </w:pPr>
            <w:r>
              <w:rPr>
                <w:rFonts w:ascii="Arial" w:cs="Arial" w:eastAsia="Arial" w:hAnsi="Arial"/>
                <w:sz w:val="18"/>
                <w:szCs w:val="18"/>
                <w:color w:val="auto"/>
              </w:rPr>
              <w:t>ITEM 10.</w:t>
            </w:r>
          </w:p>
        </w:tc>
        <w:tc>
          <w:tcPr>
            <w:tcW w:w="60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1880" w:type="dxa"/>
            <w:vAlign w:val="bottom"/>
            <w:gridSpan w:val="7"/>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11.</w:t>
            </w:r>
          </w:p>
        </w:tc>
        <w:tc>
          <w:tcPr>
            <w:tcW w:w="25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8"/>
              </w:rPr>
              <w:t>EXECUTIVE COMPENSATION</w:t>
            </w:r>
          </w:p>
        </w:tc>
        <w:tc>
          <w:tcPr>
            <w:tcW w:w="5440" w:type="dxa"/>
            <w:vAlign w:val="bottom"/>
            <w:gridSpan w:val="16"/>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12.</w:t>
            </w:r>
          </w:p>
        </w:tc>
        <w:tc>
          <w:tcPr>
            <w:tcW w:w="7960" w:type="dxa"/>
            <w:vAlign w:val="bottom"/>
            <w:gridSpan w:val="24"/>
          </w:tcPr>
          <w:p>
            <w:pPr>
              <w:spacing w:after="0"/>
              <w:rPr>
                <w:sz w:val="20"/>
                <w:szCs w:val="20"/>
                <w:color w:val="auto"/>
              </w:rPr>
            </w:pPr>
            <w:r>
              <w:rPr>
                <w:rFonts w:ascii="Arial" w:cs="Arial" w:eastAsia="Arial" w:hAnsi="Arial"/>
                <w:sz w:val="18"/>
                <w:szCs w:val="18"/>
                <w:color w:val="0000FF"/>
              </w:rPr>
              <w:t>SECURITY OWNERSHIP OF CERTAIN BENEFICIAL OWNERS AND MANAGEMENT AND</w:t>
            </w:r>
          </w:p>
        </w:tc>
      </w:tr>
      <w:tr>
        <w:trPr>
          <w:trHeight w:val="155"/>
        </w:trPr>
        <w:tc>
          <w:tcPr>
            <w:tcW w:w="126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98"/>
              </w:rPr>
              <w:t>RELATED STOCKHOLDER MATTERS</w:t>
            </w:r>
          </w:p>
        </w:tc>
        <w:tc>
          <w:tcPr>
            <w:tcW w:w="4220" w:type="dxa"/>
            <w:vAlign w:val="bottom"/>
            <w:tcBorders>
              <w:top w:val="single" w:sz="8" w:color="0000FF"/>
            </w:tcBorders>
            <w:gridSpan w:val="9"/>
          </w:tcPr>
          <w:p>
            <w:pPr>
              <w:spacing w:after="0"/>
              <w:rPr>
                <w:sz w:val="13"/>
                <w:szCs w:val="13"/>
                <w:color w:val="auto"/>
              </w:rPr>
            </w:pPr>
          </w:p>
        </w:tc>
        <w:tc>
          <w:tcPr>
            <w:tcW w:w="600" w:type="dxa"/>
            <w:vAlign w:val="bottom"/>
            <w:gridSpan w:val="3"/>
          </w:tcPr>
          <w:p>
            <w:pPr>
              <w:spacing w:after="0"/>
              <w:rPr>
                <w:sz w:val="13"/>
                <w:szCs w:val="13"/>
                <w:color w:val="auto"/>
              </w:rPr>
            </w:pPr>
          </w:p>
        </w:tc>
      </w:tr>
      <w:tr>
        <w:trPr>
          <w:trHeight w:val="371"/>
        </w:trPr>
        <w:tc>
          <w:tcPr>
            <w:tcW w:w="1260" w:type="dxa"/>
            <w:vAlign w:val="bottom"/>
          </w:tcPr>
          <w:p>
            <w:pPr>
              <w:spacing w:after="0"/>
              <w:rPr>
                <w:sz w:val="20"/>
                <w:szCs w:val="20"/>
                <w:color w:val="auto"/>
              </w:rPr>
            </w:pPr>
            <w:r>
              <w:rPr>
                <w:rFonts w:ascii="Arial" w:cs="Arial" w:eastAsia="Arial" w:hAnsi="Arial"/>
                <w:sz w:val="18"/>
                <w:szCs w:val="18"/>
                <w:color w:val="auto"/>
              </w:rPr>
              <w:t>ITEM 13.</w:t>
            </w:r>
          </w:p>
        </w:tc>
        <w:tc>
          <w:tcPr>
            <w:tcW w:w="796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14.</w:t>
            </w:r>
          </w:p>
        </w:tc>
        <w:tc>
          <w:tcPr>
            <w:tcW w:w="7960" w:type="dxa"/>
            <w:vAlign w:val="bottom"/>
            <w:gridSpan w:val="24"/>
          </w:tcPr>
          <w:p>
            <w:pPr>
              <w:spacing w:after="0"/>
              <w:rPr>
                <w:sz w:val="20"/>
                <w:szCs w:val="20"/>
                <w:color w:val="auto"/>
              </w:rPr>
            </w:pPr>
            <w:r>
              <w:rPr>
                <w:rFonts w:ascii="Arial" w:cs="Arial" w:eastAsia="Arial" w:hAnsi="Arial"/>
                <w:sz w:val="18"/>
                <w:szCs w:val="18"/>
                <w:color w:val="0000FF"/>
              </w:rPr>
              <w:t>PRINCIPAL ACCOUNTANT FEES AND SERVICES</w:t>
            </w:r>
          </w:p>
        </w:tc>
      </w:tr>
      <w:tr>
        <w:trPr>
          <w:trHeight w:val="410"/>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6"/>
        </w:trPr>
        <w:tc>
          <w:tcPr>
            <w:tcW w:w="1260" w:type="dxa"/>
            <w:vAlign w:val="bottom"/>
          </w:tcPr>
          <w:p>
            <w:pPr>
              <w:spacing w:after="0"/>
              <w:rPr>
                <w:sz w:val="20"/>
                <w:szCs w:val="20"/>
                <w:color w:val="auto"/>
              </w:rPr>
            </w:pPr>
            <w:r>
              <w:rPr>
                <w:rFonts w:ascii="Arial" w:cs="Arial" w:eastAsia="Arial" w:hAnsi="Arial"/>
                <w:sz w:val="18"/>
                <w:szCs w:val="18"/>
                <w:color w:val="auto"/>
              </w:rPr>
              <w:t>ITEM 15</w:t>
            </w:r>
          </w:p>
        </w:tc>
        <w:tc>
          <w:tcPr>
            <w:tcW w:w="7960" w:type="dxa"/>
            <w:vAlign w:val="bottom"/>
            <w:gridSpan w:val="24"/>
          </w:tcPr>
          <w:p>
            <w:pPr>
              <w:spacing w:after="0"/>
              <w:rPr>
                <w:sz w:val="20"/>
                <w:szCs w:val="20"/>
                <w:color w:val="auto"/>
              </w:rPr>
            </w:pPr>
            <w:r>
              <w:rPr>
                <w:rFonts w:ascii="Arial" w:cs="Arial" w:eastAsia="Arial" w:hAnsi="Arial"/>
                <w:sz w:val="18"/>
                <w:szCs w:val="18"/>
                <w:color w:val="0000FF"/>
              </w:rPr>
              <w:t>EXHIBITS AND FINANCIAL STATEMENT SCHEDULES</w:t>
            </w: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16</w:t>
            </w:r>
          </w:p>
        </w:tc>
        <w:tc>
          <w:tcPr>
            <w:tcW w:w="45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FORM 10-K SUMMARY</w:t>
            </w:r>
          </w:p>
        </w:tc>
        <w:tc>
          <w:tcPr>
            <w:tcW w:w="3460" w:type="dxa"/>
            <w:vAlign w:val="bottom"/>
            <w:gridSpan w:val="9"/>
          </w:tcPr>
          <w:p>
            <w:pPr>
              <w:spacing w:after="0"/>
              <w:rPr>
                <w:sz w:val="24"/>
                <w:szCs w:val="24"/>
                <w:color w:val="auto"/>
              </w:rPr>
            </w:pPr>
          </w:p>
        </w:tc>
      </w:tr>
      <w:tr>
        <w:trPr>
          <w:trHeight w:val="888"/>
        </w:trPr>
        <w:tc>
          <w:tcPr>
            <w:tcW w:w="1260" w:type="dxa"/>
            <w:vAlign w:val="bottom"/>
          </w:tcPr>
          <w:p>
            <w:pPr>
              <w:spacing w:after="0"/>
              <w:rPr>
                <w:sz w:val="24"/>
                <w:szCs w:val="24"/>
                <w:color w:val="auto"/>
              </w:rPr>
            </w:pPr>
          </w:p>
        </w:tc>
        <w:tc>
          <w:tcPr>
            <w:tcW w:w="1920" w:type="dxa"/>
            <w:vAlign w:val="bottom"/>
            <w:tcBorders>
              <w:top w:val="single" w:sz="8" w:color="0000FF"/>
            </w:tcBorders>
            <w:gridSpan w:val="6"/>
          </w:tcPr>
          <w:p>
            <w:pPr>
              <w:spacing w:after="0"/>
              <w:rPr>
                <w:sz w:val="24"/>
                <w:szCs w:val="24"/>
                <w:color w:val="auto"/>
              </w:rPr>
            </w:pPr>
          </w:p>
        </w:tc>
        <w:tc>
          <w:tcPr>
            <w:tcW w:w="2580" w:type="dxa"/>
            <w:vAlign w:val="bottom"/>
            <w:gridSpan w:val="9"/>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53340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Page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24765</wp:posOffset>
            </wp:positionV>
            <wp:extent cx="1183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14</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23</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24</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33</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59</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59</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59</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59</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60</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60</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63</w:t>
      </w:r>
    </w:p>
    <w:p>
      <w:pPr>
        <w:sectPr>
          <w:pgSz w:w="11900" w:h="16838" w:orient="portrait"/>
          <w:cols w:equalWidth="0" w:num="2">
            <w:col w:w="9220" w:space="640"/>
            <w:col w:w="1300"/>
          </w:cols>
          <w:pgMar w:left="360" w:top="890" w:right="379" w:bottom="1440" w:gutter="0" w:footer="0" w:header="0"/>
        </w:sectPr>
      </w:pPr>
    </w:p>
    <w:bookmarkStart w:id="3" w:name="page4"/>
    <w:bookmarkEnd w:id="3"/>
    <w:p>
      <w:pPr>
        <w:jc w:val="both"/>
        <w:spacing w:after="0" w:line="268" w:lineRule="auto"/>
        <w:rPr>
          <w:sz w:val="20"/>
          <w:szCs w:val="20"/>
          <w:color w:val="auto"/>
        </w:rPr>
      </w:pPr>
      <w:r>
        <w:rPr>
          <w:rFonts w:ascii="Arial" w:cs="Arial" w:eastAsia="Arial" w:hAnsi="Arial"/>
          <w:sz w:val="18"/>
          <w:szCs w:val="18"/>
          <w:color w:val="auto"/>
        </w:rPr>
        <w:t>In this report, all references to "Jack Henry," the “Company," “we," “us," and “our," refer to Jack Henry &amp; Associates, Inc., and its wholly owned subsidiaries. Unless otherwise stated, references to particular years, quarters, months, or periods refer to the Company's fiscal years ended in June and the associated quarters, months, and periods of those fiscal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Annual Report on Form 10-K, in particular, those included in Item 1A, “Risk Factors” of this report, and those discussed in other documents we file with the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Jack Henry &amp; Associates, Inc.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well-rounded financial technology company that strengthens connections between financial institutions and the people and businesses they serve. For more than 48 years, we have provided technology solutions to help banks and credit unions innovate faster, strategically differentiate, and successfully compete while serving the evolving needs of their accountholders. We empower approximately 7,500 financial institutions and diverse corporate entities with people-inspired innovation, personal service, and insight-driven solutions.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Statement</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strengthen the connections between people and their financial institutions through technology and services that reduce the barriers to financial health.</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philosophy has always been part of the foundation on which Jack Henry was built. Our founders, Jack Henry and Jerry Hall, were committed to their community and believed they could help financial institutions better serve the needs of people and businesses using more innovative technology and services.</w:t>
      </w:r>
    </w:p>
    <w:p>
      <w:pPr>
        <w:spacing w:after="0" w:line="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Since our founding in 1976, much has changed, but our commitment to supporting community and regional financial institutions remains unwavering. We continue to be guided by our founding principles: do the right thing, do whatever it takes, and have fun.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Serve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provide products and services primarily to community and regional financial institutions (see "Our Industry" below):</w:t>
      </w:r>
    </w:p>
    <w:p>
      <w:pPr>
        <w:spacing w:after="0" w:line="63" w:lineRule="exact"/>
        <w:rPr>
          <w:sz w:val="20"/>
          <w:szCs w:val="20"/>
          <w:color w:val="auto"/>
        </w:rPr>
      </w:pPr>
    </w:p>
    <w:p>
      <w:pPr>
        <w:ind w:left="340" w:hanging="332"/>
        <w:spacing w:after="0" w:line="281" w:lineRule="auto"/>
        <w:tabs>
          <w:tab w:leader="none" w:pos="3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Core bank integrated data processing systems are provided to over 940 banks. Our banking solutions support both on-premise and private cloud operating environments with functionality for core processing platforms and integrated complementary solutions.</w:t>
      </w:r>
    </w:p>
    <w:p>
      <w:pPr>
        <w:spacing w:after="0" w:line="1" w:lineRule="exact"/>
        <w:rPr>
          <w:rFonts w:ascii="Arial" w:cs="Arial" w:eastAsia="Arial" w:hAnsi="Arial"/>
          <w:sz w:val="18"/>
          <w:szCs w:val="18"/>
          <w:b w:val="1"/>
          <w:bCs w:val="1"/>
          <w:color w:val="auto"/>
        </w:rPr>
      </w:pPr>
    </w:p>
    <w:p>
      <w:pPr>
        <w:jc w:val="both"/>
        <w:ind w:left="340" w:hanging="332"/>
        <w:spacing w:after="0" w:line="268" w:lineRule="auto"/>
        <w:tabs>
          <w:tab w:leader="none" w:pos="3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Core credit union data processing solutions are provided to credit unions of all sizes, with a client base of approximately 720 credit unions. We offer a flagship core processing platform and integrated complementary solutions that support both on-premise and private cloud operating environments.</w:t>
      </w:r>
    </w:p>
    <w:p>
      <w:pPr>
        <w:spacing w:after="0" w:line="8" w:lineRule="exact"/>
        <w:rPr>
          <w:rFonts w:ascii="Arial" w:cs="Arial" w:eastAsia="Arial" w:hAnsi="Arial"/>
          <w:sz w:val="18"/>
          <w:szCs w:val="18"/>
          <w:b w:val="1"/>
          <w:bCs w:val="1"/>
          <w:color w:val="auto"/>
        </w:rPr>
      </w:pPr>
    </w:p>
    <w:p>
      <w:pPr>
        <w:jc w:val="both"/>
        <w:ind w:left="340" w:hanging="332"/>
        <w:spacing w:after="0" w:line="259" w:lineRule="auto"/>
        <w:tabs>
          <w:tab w:leader="none" w:pos="3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Non-core highly specialized core-agnostic products and services are also provided to financial institutions. We offer complementary solutions that include highly specialized financial performance, imaging and payments processing, information security and risk management, retail delivery, and online and mobile functionality. These products and services enhance the performance of traditional financial services organizations of all asset sizes and charters, and non-traditional diverse corporate entities. In total, we serve over 1,660 bank and credit union core clients and over 5,870 non-core clients.</w:t>
      </w:r>
    </w:p>
    <w:p>
      <w:pPr>
        <w:spacing w:after="0" w:line="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products and services provide our clients with solutions that can be tailored to support their unique growth, service, operational, and performance goals. Our well-rounded solutions also enable financial institutions to offer the high-demand products and services required by their accountholders to compete more successfully and to capitalize on evolving trends shaping the financial services industry.</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committed to exceeding our clients’ expectations. We measure and monitor their satisfaction using a variety of surveys, such as an annual survey on the client's anniversary date and randomly-generated online surveys initiated each day by routine support requests to ensure feedback is received throughout the year. The survey results are analyzed and provided to operational areas to ensure our service consistently exceeds our clients’ expectations. We believe this process ensures we understand the Voice of the Customer which contributes to our excellent retention rates.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focused on establishing long-term client relationships, continually expanding and strengthening those relationships. We do so with cross sales of additional products and services that support our clients' strategy, earning new financial and non-financial clients, and ensuring our product offerings are highly competitive.</w:t>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majority of our support and services revenue is derived from our private and public cloud services for our hosted clients that are typically on a six-year contract, recurring electronic payment solutions that are generally on a contract term of six years, and our on-premise clients that are typically on a one-year contract. Less predictable software license fees, paid by clients implementing our software solutions on-premise, and hardware sales, including all non-software products that we re-market in order to support our software systems, complement our primary revenue sources. Information regarding the classification of our business into four separate segments is set forth in Note 14 to the consolidated financial statements (see Item 8).</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jc w:val="both"/>
        <w:spacing w:after="0" w:line="262" w:lineRule="auto"/>
        <w:rPr>
          <w:sz w:val="20"/>
          <w:szCs w:val="20"/>
          <w:color w:val="auto"/>
        </w:rPr>
      </w:pPr>
      <w:r>
        <w:rPr>
          <w:rFonts w:ascii="Arial" w:cs="Arial" w:eastAsia="Arial" w:hAnsi="Arial"/>
          <w:sz w:val="18"/>
          <w:szCs w:val="18"/>
          <w:color w:val="auto"/>
        </w:rPr>
        <w:t>We recognize that our associates and their collective contributions are ultimately responsible for Jack Henry's past, present, and future success. Recruiting and retaining high-quality associates is essential to our ongoing growth and financial performance, and we believe we have established an organizational culture that sustains high levels of associate engagement. For further discussion of our human capital considerations, see "Human Capital" below.</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core banking solutions currently serve commercial banks and savings institutions with up to $50 billion in assets. Our systems are designed to be capable of serving institutions with up to $100 billion in assets, and we complete annual, third-party testing to validate this capability each August. According to the Federal Deposit Insurance Corporation (“FDIC”), there were approximately 4,540 commercial banks and savings institutions in the less than $50 billion asset range as of December 31, 2023, and we currently support over 940 of these banks with one of our three core information processing platforms and a significant number of complementary/payment products and services.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core credit union solutions serve credit unions of all asset sizes. According to America's Credit Unions ("ACU") (formerly Credit Union National Association), there were approximately 4,700 domestic credit unions as of December 31, 2023, and we currently support approximately 720 of these credit unions with one flagship core information processing platform and a significant number of complementary/payment products and services.</w:t>
      </w:r>
    </w:p>
    <w:p>
      <w:pPr>
        <w:spacing w:after="0" w:line="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non-core solutions serve financial services organizations of all asset sizes and charters and other diverse corporate entities. We currently support financial institutions with specialized solutions for generating additional revenue and growth, increasing security, mitigating operational risks, and controlling operating costs.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FDIC reports the number of commercial banks and savings institutions declined 15% from the beginning of calendar year 2018 to the end of calendar year 2023, due mainly to mergers and acquisitions. Although the number of banks continued to decline at a 3% compound annual rate during this period, aggregate assets increased at a compound annual rate of 6% and totaled $ 23.7 trillion as of December 31, 2023. There were six new bank charters issued in calendar year 2023, compared to 15 in the 2022 calendar year. Comparing calendar years 2023 to 2022, the number of transactions of FDIC-insured banks acquiring or merging with other banks or credit unions decreased 20%.</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ACU reports the number of credit unions declined 14% from the beginning of calendar year 2018 to the end of calendar year 2023. Although the number of credit unions declined at a 3% compound annual rate during this period, aggregate assets increased at a compound annual rate of 9% and totaled $2.3 trillion as of December 31, 2023.</w:t>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Community and regional financial institutions are vitally important to the communities, consumers, and businesses they serve as well as to the local economies where they operate. Bank customers and credit union members rely on these institutions to provide personalized, relationship-based service and competitive financial products and services available through the accountholders' delivery channel of choice. Institutions are recognizing that attracting and retaining customers and members in today’s highly competitive financial industry and realizing near-term and long-term performance goals are often technology dependent. Financial institutions must implement technological solutions that enable them to:</w:t>
      </w:r>
    </w:p>
    <w:p>
      <w:pPr>
        <w:spacing w:after="0" w:line="20" w:lineRule="exact"/>
        <w:rPr>
          <w:sz w:val="20"/>
          <w:szCs w:val="20"/>
          <w:color w:val="auto"/>
        </w:rPr>
      </w:pPr>
    </w:p>
    <w:p>
      <w:pPr>
        <w:ind w:left="340" w:right="20" w:hanging="332"/>
        <w:spacing w:after="0" w:line="28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Offer e-commerce, mobile, and digital strategies that provide the convenience-driven services required in today’s financial services industry.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Maximize performance with accessible, accurate, and timely business intelligence information.</w:t>
      </w:r>
    </w:p>
    <w:p>
      <w:pPr>
        <w:spacing w:after="0" w:line="63" w:lineRule="exact"/>
        <w:rPr>
          <w:rFonts w:ascii="Arial" w:cs="Arial" w:eastAsia="Arial" w:hAnsi="Arial"/>
          <w:sz w:val="18"/>
          <w:szCs w:val="18"/>
          <w:color w:val="auto"/>
        </w:rPr>
      </w:pPr>
    </w:p>
    <w:p>
      <w:pPr>
        <w:ind w:left="340" w:right="20" w:hanging="332"/>
        <w:spacing w:after="0" w:line="28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the high-demand products and services needed to successfully compete with traditional and non-traditional competitors created by convergence within the financial services industry.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 the customer/member experience at multiple points of contact.</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existing customer/member relationships and strengthen exit barriers by cross selling additional products and services.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Capitalize on new revenue, and deposit and loan portfolio growth opportunities.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operating efficiencies and reduce operating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 mission-critical information assets and operational infrastructure.</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 accountholders with various security tools from fraud and related financial losses.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Maximize the day-to-day use of technology and return on technology investments.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Ensure full regulatory compliance.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both"/>
        <w:spacing w:after="0" w:line="268" w:lineRule="auto"/>
        <w:rPr>
          <w:sz w:val="20"/>
          <w:szCs w:val="20"/>
          <w:color w:val="auto"/>
        </w:rPr>
      </w:pPr>
      <w:r>
        <w:rPr>
          <w:rFonts w:ascii="Arial" w:cs="Arial" w:eastAsia="Arial" w:hAnsi="Arial"/>
          <w:sz w:val="18"/>
          <w:szCs w:val="18"/>
          <w:color w:val="auto"/>
        </w:rPr>
        <w:t>Jack Henry’s extensive product and service offerings help diverse financial institutions meet business challenges and capitalize on opportunities. We strive to get to know our clients, understand their strategies and challenges, and provide innovative solutions that help them achieve short- and long-term success.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04"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Our fundamental business strategy is to generate organic revenue and earnings growth augmented by strategic acquisitions. We execute this strategy by:</w:t>
      </w:r>
    </w:p>
    <w:p>
      <w:pPr>
        <w:spacing w:after="0" w:line="1" w:lineRule="exact"/>
        <w:rPr>
          <w:sz w:val="20"/>
          <w:szCs w:val="20"/>
          <w:color w:val="auto"/>
        </w:rPr>
      </w:pPr>
    </w:p>
    <w:p>
      <w:pPr>
        <w:ind w:left="340" w:hanging="332"/>
        <w:spacing w:after="0" w:line="28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community and regional financial institutions with core processing systems that provide excellent functionality and support on-premise and private cloud delivery environments with identical functionality.</w:t>
      </w:r>
    </w:p>
    <w:p>
      <w:pPr>
        <w:spacing w:after="0" w:line="1" w:lineRule="exact"/>
        <w:rPr>
          <w:rFonts w:ascii="Arial" w:cs="Arial" w:eastAsia="Arial" w:hAnsi="Arial"/>
          <w:sz w:val="18"/>
          <w:szCs w:val="18"/>
          <w:color w:val="auto"/>
        </w:rPr>
      </w:pPr>
    </w:p>
    <w:p>
      <w:pPr>
        <w:ind w:left="340" w:right="20" w:hanging="332"/>
        <w:spacing w:after="0" w:line="28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each core client relationship by cross-selling complementary/payment products and services that enhance the functionality provided by our core processing systems.</w:t>
      </w:r>
    </w:p>
    <w:p>
      <w:pPr>
        <w:spacing w:after="0" w:line="1" w:lineRule="exact"/>
        <w:rPr>
          <w:rFonts w:ascii="Arial" w:cs="Arial" w:eastAsia="Arial" w:hAnsi="Arial"/>
          <w:sz w:val="18"/>
          <w:szCs w:val="18"/>
          <w:color w:val="auto"/>
        </w:rPr>
      </w:pPr>
    </w:p>
    <w:p>
      <w:pPr>
        <w:ind w:left="340" w:right="20" w:hanging="332"/>
        <w:spacing w:after="0" w:line="28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non-core highly specialized core-agnostic complementary/payment products and services to financial institutions, including institutions not utilizing one of our core processing systems, and diverse corporate entities.</w:t>
      </w:r>
    </w:p>
    <w:p>
      <w:pPr>
        <w:spacing w:after="0" w:line="1"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and deploying a long-term technology modernization strategy to provide public cloud-native solutions that provide clients with greater flexibility, optionality, open integration, speed to market, and other benefits.</w:t>
      </w:r>
    </w:p>
    <w:p>
      <w:pPr>
        <w:spacing w:after="0" w:line="1"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Upholding a company-wide commitment to service that consistently exceeds our clients’ expectations and generates high levels of retention.</w:t>
      </w:r>
    </w:p>
    <w:p>
      <w:pPr>
        <w:spacing w:after="0" w:line="1"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Building, maintaining, and enhancing a protected environment and tools that help our clients and Jack Henry protect accountholder data, assets, and comply with regulations.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a disciplined acquisition strategy.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w:t>
      </w:r>
    </w:p>
    <w:p>
      <w:pPr>
        <w:spacing w:after="0" w:line="90"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We have a disciplined approach to acquisitions and have been successful in supplementing our organic growth with 35 strategic acquisitions since the end of fiscal year 1999. We continue to explore acquisitions that have the potential to:</w:t>
      </w:r>
    </w:p>
    <w:p>
      <w:pPr>
        <w:spacing w:after="0" w:line="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suite of complementary/payment products and services.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products and services that can be sold to both existing core and non-core clients as well as outside our core base to new clients.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Accelerate our internal development efforts for technology modernization.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selective opportunities to sell outside our traditional markets in the financial services industry.</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After 48 years in business, we have very few gaps in our product line, so it is increasingly difficult to find proven products or services that would enable our clients and prospects to better optimize their business opportunities or solve specific operational issues. In addition, we see few acquisition opportunities that would expand our market or enable our entry into adjacent markets within the financial services industry that are fairly priced or that we could assimilate into our Company without material distractions.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solid track record of executing acquisitions from both a financial and operational standpoint, and we will continue to pursue acquisition opportunities that support our strategic direction, complement and accelerate our organic growth, and generate long-term profitable growth for our stockholders. While we seek to identify appropriate acquisition opportunities, we will continue to explore alternative ways to leverage our cash position and balance sheet to the benefit of our stockholders, such as continued investment in new products and services for our clients, repurchases of our stock, and continued payment of dividends.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most recent acquisition was: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Fiscal Year</w:t>
            </w:r>
          </w:p>
        </w:tc>
        <w:tc>
          <w:tcPr>
            <w:tcW w:w="3360" w:type="dxa"/>
            <w:vAlign w:val="bottom"/>
          </w:tcPr>
          <w:p>
            <w:pPr>
              <w:ind w:left="420"/>
              <w:spacing w:after="0"/>
              <w:rPr>
                <w:sz w:val="20"/>
                <w:szCs w:val="20"/>
                <w:color w:val="auto"/>
              </w:rPr>
            </w:pPr>
            <w:r>
              <w:rPr>
                <w:rFonts w:ascii="Arial" w:cs="Arial" w:eastAsia="Arial" w:hAnsi="Arial"/>
                <w:sz w:val="18"/>
                <w:szCs w:val="18"/>
                <w:b w:val="1"/>
                <w:bCs w:val="1"/>
                <w:color w:val="auto"/>
              </w:rPr>
              <w:t>Company or Product Name</w:t>
            </w:r>
          </w:p>
        </w:tc>
        <w:tc>
          <w:tcPr>
            <w:tcW w:w="6260" w:type="dxa"/>
            <w:vAlign w:val="bottom"/>
          </w:tcPr>
          <w:p>
            <w:pPr>
              <w:ind w:left="640"/>
              <w:spacing w:after="0"/>
              <w:rPr>
                <w:sz w:val="20"/>
                <w:szCs w:val="20"/>
                <w:color w:val="auto"/>
              </w:rPr>
            </w:pPr>
            <w:r>
              <w:rPr>
                <w:rFonts w:ascii="Arial" w:cs="Arial" w:eastAsia="Arial" w:hAnsi="Arial"/>
                <w:sz w:val="18"/>
                <w:szCs w:val="18"/>
                <w:b w:val="1"/>
                <w:bCs w:val="1"/>
                <w:color w:val="auto"/>
              </w:rPr>
              <w:t>Products and Services</w:t>
            </w:r>
          </w:p>
        </w:tc>
        <w:tc>
          <w:tcPr>
            <w:tcW w:w="0" w:type="dxa"/>
            <w:vAlign w:val="bottom"/>
          </w:tcPr>
          <w:p>
            <w:pPr>
              <w:spacing w:after="0"/>
              <w:rPr>
                <w:sz w:val="1"/>
                <w:szCs w:val="1"/>
                <w:color w:val="auto"/>
              </w:rPr>
            </w:pPr>
          </w:p>
        </w:tc>
      </w:tr>
      <w:tr>
        <w:trPr>
          <w:trHeight w:val="239"/>
        </w:trPr>
        <w:tc>
          <w:tcPr>
            <w:tcW w:w="1380" w:type="dxa"/>
            <w:vAlign w:val="bottom"/>
          </w:tcPr>
          <w:p>
            <w:pPr>
              <w:ind w:left="20"/>
              <w:spacing w:after="0"/>
              <w:rPr>
                <w:sz w:val="20"/>
                <w:szCs w:val="20"/>
                <w:color w:val="auto"/>
              </w:rPr>
            </w:pPr>
            <w:r>
              <w:rPr>
                <w:rFonts w:ascii="Arial" w:cs="Arial" w:eastAsia="Arial" w:hAnsi="Arial"/>
                <w:sz w:val="18"/>
                <w:szCs w:val="18"/>
                <w:color w:val="auto"/>
              </w:rPr>
              <w:t>2023</w:t>
            </w:r>
          </w:p>
        </w:tc>
        <w:tc>
          <w:tcPr>
            <w:tcW w:w="3360" w:type="dxa"/>
            <w:vAlign w:val="bottom"/>
          </w:tcPr>
          <w:p>
            <w:pPr>
              <w:ind w:left="420"/>
              <w:spacing w:after="0"/>
              <w:rPr>
                <w:sz w:val="20"/>
                <w:szCs w:val="20"/>
                <w:color w:val="auto"/>
              </w:rPr>
            </w:pPr>
            <w:r>
              <w:rPr>
                <w:rFonts w:ascii="Arial" w:cs="Arial" w:eastAsia="Arial" w:hAnsi="Arial"/>
                <w:sz w:val="18"/>
                <w:szCs w:val="18"/>
                <w:color w:val="auto"/>
              </w:rPr>
              <w:t>Payrailz, LLC ("Payrailz")</w:t>
            </w:r>
          </w:p>
        </w:tc>
        <w:tc>
          <w:tcPr>
            <w:tcW w:w="6260" w:type="dxa"/>
            <w:vAlign w:val="bottom"/>
            <w:vMerge w:val="restart"/>
          </w:tcPr>
          <w:p>
            <w:pPr>
              <w:ind w:left="640"/>
              <w:spacing w:after="0"/>
              <w:rPr>
                <w:sz w:val="20"/>
                <w:szCs w:val="20"/>
                <w:color w:val="auto"/>
              </w:rPr>
            </w:pPr>
            <w:r>
              <w:rPr>
                <w:rFonts w:ascii="Arial" w:cs="Arial" w:eastAsia="Arial" w:hAnsi="Arial"/>
                <w:sz w:val="18"/>
                <w:szCs w:val="18"/>
                <w:color w:val="auto"/>
                <w:w w:val="99"/>
              </w:rPr>
              <w:t>Provider of cloud-native modern digital payment capabilities leveraging</w:t>
            </w:r>
          </w:p>
        </w:tc>
        <w:tc>
          <w:tcPr>
            <w:tcW w:w="0" w:type="dxa"/>
            <w:vAlign w:val="bottom"/>
          </w:tcPr>
          <w:p>
            <w:pPr>
              <w:spacing w:after="0"/>
              <w:rPr>
                <w:sz w:val="1"/>
                <w:szCs w:val="1"/>
                <w:color w:val="auto"/>
              </w:rPr>
            </w:pPr>
          </w:p>
        </w:tc>
      </w:tr>
      <w:tr>
        <w:trPr>
          <w:trHeight w:val="85"/>
        </w:trPr>
        <w:tc>
          <w:tcPr>
            <w:tcW w:w="13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6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3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260" w:type="dxa"/>
            <w:vAlign w:val="bottom"/>
          </w:tcPr>
          <w:p>
            <w:pPr>
              <w:ind w:left="640"/>
              <w:spacing w:after="0"/>
              <w:rPr>
                <w:sz w:val="20"/>
                <w:szCs w:val="20"/>
                <w:color w:val="auto"/>
              </w:rPr>
            </w:pPr>
            <w:r>
              <w:rPr>
                <w:rFonts w:ascii="Arial" w:cs="Arial" w:eastAsia="Arial" w:hAnsi="Arial"/>
                <w:sz w:val="18"/>
                <w:szCs w:val="18"/>
                <w:color w:val="auto"/>
              </w:rPr>
              <w:t>AI and machine learning features for the financial services industry.</w:t>
            </w:r>
          </w:p>
        </w:tc>
        <w:tc>
          <w:tcPr>
            <w:tcW w:w="0" w:type="dxa"/>
            <w:vAlign w:val="bottom"/>
          </w:tcPr>
          <w:p>
            <w:pPr>
              <w:spacing w:after="0"/>
              <w:rPr>
                <w:sz w:val="1"/>
                <w:szCs w:val="1"/>
                <w:color w:val="auto"/>
              </w:rPr>
            </w:pPr>
          </w:p>
        </w:tc>
      </w:tr>
      <w:tr>
        <w:trPr>
          <w:trHeight w:val="345"/>
        </w:trPr>
        <w:tc>
          <w:tcPr>
            <w:tcW w:w="1380" w:type="dxa"/>
            <w:vAlign w:val="bottom"/>
          </w:tcPr>
          <w:p>
            <w:pPr>
              <w:spacing w:after="0"/>
              <w:rPr>
                <w:sz w:val="20"/>
                <w:szCs w:val="20"/>
                <w:color w:val="auto"/>
              </w:rPr>
            </w:pPr>
            <w:r>
              <w:rPr>
                <w:rFonts w:ascii="Arial" w:cs="Arial" w:eastAsia="Arial" w:hAnsi="Arial"/>
                <w:sz w:val="18"/>
                <w:szCs w:val="18"/>
                <w:b w:val="1"/>
                <w:bCs w:val="1"/>
                <w:color w:val="auto"/>
              </w:rPr>
              <w:t>Solutions</w:t>
            </w:r>
          </w:p>
        </w:tc>
        <w:tc>
          <w:tcPr>
            <w:tcW w:w="33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jc w:val="both"/>
        <w:ind w:left="340" w:hanging="332"/>
        <w:spacing w:after="0" w:line="259" w:lineRule="auto"/>
        <w:tabs>
          <w:tab w:leader="none" w:pos="33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core banking solutions support commercial banks with information and transaction processing platforms that provide enterprise-wide automation. We have three functionally distinct core bank processing systems and more than 140 fully integrated complementary/payment solutions, including business intelligence and bank management, retail and business banking, digital and mobile internet banking and electronic payment solutions, fraud and risk management and protection, account origination, and item and document imaging solutions. Our</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both"/>
        <w:ind w:left="340"/>
        <w:spacing w:after="0" w:line="268" w:lineRule="auto"/>
        <w:rPr>
          <w:sz w:val="20"/>
          <w:szCs w:val="20"/>
          <w:color w:val="auto"/>
        </w:rPr>
      </w:pPr>
      <w:r>
        <w:rPr>
          <w:rFonts w:ascii="Arial" w:cs="Arial" w:eastAsia="Arial" w:hAnsi="Arial"/>
          <w:sz w:val="18"/>
          <w:szCs w:val="18"/>
          <w:color w:val="auto"/>
        </w:rPr>
        <w:t>core banking solutions have state-of-the-art functional capabilities, and we can re-market the hardware required by on-premise use of each software system. Our banking solutions can be delivered on-premise or through our private cloud delivery model and are backed by a company-wide commitment to provide exceptional client support.</w:t>
      </w:r>
    </w:p>
    <w:p>
      <w:pPr>
        <w:spacing w:after="0" w:line="9" w:lineRule="exact"/>
        <w:rPr>
          <w:sz w:val="20"/>
          <w:szCs w:val="20"/>
          <w:color w:val="auto"/>
        </w:rPr>
      </w:pPr>
    </w:p>
    <w:p>
      <w:pPr>
        <w:jc w:val="both"/>
        <w:ind w:left="340" w:hanging="332"/>
        <w:spacing w:after="0" w:line="255" w:lineRule="auto"/>
        <w:tabs>
          <w:tab w:leader="none" w:pos="335"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core credit union solutions support credit unions of all sizes with an information and transaction processing platform that provides enterprise-wide automation. Our solution includes one flagship core processing system and more than 100 fully integrated complementary/payment solutions, including business intelligence and credit union management, member and member business services, digital and mobile internet banking and electronic payment solutions, fraud and risk management and protection, account origination, and item and document imaging solutions. Our credit union solution also has state-of-the-art functional capabilities. We also re-market the hardware required by on-premise use of the software system. Our credit union solution can be delivered on-premise, through our private cloud, or through our partner private cloud delivery models. Each is backed by our company-wide commitment to provide exceptional client support.</w:t>
      </w:r>
    </w:p>
    <w:p>
      <w:pPr>
        <w:spacing w:after="0" w:line="22" w:lineRule="exact"/>
        <w:rPr>
          <w:rFonts w:ascii="Arial" w:cs="Arial" w:eastAsia="Arial" w:hAnsi="Arial"/>
          <w:sz w:val="18"/>
          <w:szCs w:val="18"/>
          <w:b w:val="1"/>
          <w:bCs w:val="1"/>
          <w:color w:val="auto"/>
        </w:rPr>
      </w:pPr>
    </w:p>
    <w:p>
      <w:pPr>
        <w:jc w:val="both"/>
        <w:ind w:left="340" w:hanging="332"/>
        <w:spacing w:after="0" w:line="256" w:lineRule="auto"/>
        <w:tabs>
          <w:tab w:leader="none" w:pos="335"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non-core solutions for financial institutions and diverse corporate entities are specialized products and services assembled primarily through our focused diversification acquisition strategy. These core-agnostic solutions are compatible with a wide variety of information technology platforms and operating environments and offer more than 100 complementary/payment solutions, including proven solutions for generating additional revenue and growth, increasing security and mitigating operational risks, and/or controlling operating costs. Our non-core products and services enhance the performance of financial services organizations of all asset sizes and charters, and diverse corporate entities. These distinct products and services can be implemented individually or as solution suites to address specific business problems or needs and enable effective responses to dynamic industry trends.</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committed to developing and maintaining modern and integrated solutions supported by high service levels. We continuously update and improve these solutions through an interactive client enhancement process, ensuring compliance with relevant regulations, and incorporating proven advances in technology. Our goal is to uphold our Company's reputation as a premium solution and service provider.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Software Systems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Core software systems primarily consist of the integrated applications required to process deposit, loan, and general ledger transactions, and to maintain centralized customer/member information.</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core banking solutions consist of three software systems marketed to banks, and our core credit union solution consists of one software system marketed to credit unions. These core systems are available for on-premise installation at client sites, or financial institutions can choose to leverage our private cloud environment for ongoing information processing.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Core banking platforms are:</w:t>
      </w:r>
    </w:p>
    <w:p>
      <w:pPr>
        <w:spacing w:after="0" w:line="63" w:lineRule="exact"/>
        <w:rPr>
          <w:sz w:val="20"/>
          <w:szCs w:val="20"/>
          <w:color w:val="auto"/>
        </w:rPr>
      </w:pPr>
    </w:p>
    <w:p>
      <w:pPr>
        <w:jc w:val="both"/>
        <w:ind w:left="340" w:hanging="332"/>
        <w:spacing w:after="0" w:line="237" w:lineRule="auto"/>
        <w:tabs>
          <w:tab w:leader="none" w:pos="33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SilverLake System</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robust system primarily designed for commercial-focused banks that currently serves banks with assets ranging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$1 billion to $50 billion. Some progressive smaller banks and de novo (start-up) banks also select SilverLake. This system is in use by approximately 490 banks, and now serves nearly 11% of the domestic banks with assets less than $50 billion.</w:t>
      </w:r>
    </w:p>
    <w:p>
      <w:pPr>
        <w:spacing w:after="0" w:line="32" w:lineRule="exact"/>
        <w:rPr>
          <w:rFonts w:ascii="Arial" w:cs="Arial" w:eastAsia="Arial" w:hAnsi="Arial"/>
          <w:sz w:val="18"/>
          <w:szCs w:val="18"/>
          <w:b w:val="1"/>
          <w:bCs w:val="1"/>
          <w:color w:val="auto"/>
        </w:rPr>
      </w:pPr>
    </w:p>
    <w:p>
      <w:pPr>
        <w:ind w:left="340" w:hanging="332"/>
        <w:spacing w:after="0" w:line="231" w:lineRule="auto"/>
        <w:tabs>
          <w:tab w:leader="none" w:pos="33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CIF 20/20</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parameter-driven, easy-to-use system that now supports approximately 280 banks ranging from de novo institutions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those with assets of $5 billion.</w:t>
      </w:r>
    </w:p>
    <w:p>
      <w:pPr>
        <w:spacing w:after="0" w:line="32" w:lineRule="exact"/>
        <w:rPr>
          <w:rFonts w:ascii="Arial" w:cs="Arial" w:eastAsia="Arial" w:hAnsi="Arial"/>
          <w:sz w:val="18"/>
          <w:szCs w:val="18"/>
          <w:b w:val="1"/>
          <w:bCs w:val="1"/>
          <w:color w:val="auto"/>
        </w:rPr>
      </w:pPr>
    </w:p>
    <w:p>
      <w:pPr>
        <w:ind w:left="340" w:hanging="332"/>
        <w:spacing w:after="0" w:line="231" w:lineRule="auto"/>
        <w:tabs>
          <w:tab w:leader="none" w:pos="33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Core Director</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cost-efficient system with point-and-click operation that now supports over 170 banks ranging from de novo institutions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those with assets of over $2 billion.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Core credit union platform is:</w:t>
      </w:r>
    </w:p>
    <w:p>
      <w:pPr>
        <w:spacing w:after="0" w:line="59" w:lineRule="exact"/>
        <w:rPr>
          <w:sz w:val="20"/>
          <w:szCs w:val="20"/>
          <w:color w:val="auto"/>
        </w:rPr>
      </w:pPr>
    </w:p>
    <w:p>
      <w:pPr>
        <w:jc w:val="both"/>
        <w:ind w:left="340" w:hanging="332"/>
        <w:spacing w:after="0" w:line="238" w:lineRule="auto"/>
        <w:tabs>
          <w:tab w:leader="none" w:pos="33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Symitar</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(formerly known as Episys</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robust system designed specifically for credit unions. It has been implemented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720 credit unions with assets ranging from $20 million to $30 billion, and according to National Credit Union Administration ("NCUA") data, is the system implemented by more credit unions with assets exceeding $25 million than any other core system.</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Clients electing to install our solutions on-premise license the proprietary software systems. The majority of these clients pay ongoing annual software maintenance fees. We re-market the hardware, hardware maintenance, and peripheral equipment that is required by on-premise use of our software solutions; and we perform software implementation, data conversion, training, ongoing support, and other related services. On-premise clients generally license our core software systems under a standard license agreement that provides a fully paid, nonexclusive, nontransferable right to use the software on a single computer at a single location.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p>
      <w:pPr>
        <w:jc w:val="both"/>
        <w:spacing w:after="0" w:line="256" w:lineRule="auto"/>
        <w:rPr>
          <w:sz w:val="20"/>
          <w:szCs w:val="20"/>
          <w:color w:val="auto"/>
        </w:rPr>
      </w:pPr>
      <w:r>
        <w:rPr>
          <w:rFonts w:ascii="Arial" w:cs="Arial" w:eastAsia="Arial" w:hAnsi="Arial"/>
          <w:sz w:val="18"/>
          <w:szCs w:val="18"/>
          <w:color w:val="auto"/>
        </w:rPr>
        <w:t>Clients can eliminate the significant up-front capital expenditures required by on-premise installations and the responsibility for operating information and transaction processing infrastructures by leveraging our private cloud environment for those functions. Our core private cloud services are provided through a highly resilient data center configuration across multiple physical locations. We also provide image item processing services from two host/archive sites and several key entry and balancing locations throughout the country. We print and mail customer/member statements for financial institutions from three regional printing and rendering centers. Clients electing to outsource their core processing typically sign contracts for six years that include "per account" fees and minimum guaranteed payments during the contract period.</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dedicated to meeting the evolving business needs of our core bank and credit union clients by continuously enhancing each core system, introducing new integrated complementary products regularly, integrating practical new technologies, and adhering to regulatory compliance initiatives. Additionally, we serve as a single point of contact for each core client for support and accountability.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Complementary Products and Services</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have more than 140 complementary/payment products and services that are targeted to our core banks and more than 100 targeted to credit unions. Many of these are selectively sold to financial institutions that use other core processing systems.</w:t>
      </w:r>
    </w:p>
    <w:p>
      <w:pPr>
        <w:spacing w:after="0" w:line="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complementary/payment solutions enable core bank and credit union clients to respond to evolving customer/member demands, expedite speed-to-market with competitive offerings, increase efficiency, address specific operational needs, and generate new revenue streams. The highly specialized solutions enable diverse financial institutions and corporate entities to generate additional revenue and growth opportunities, increase security, mitigate operational risks, and control operating costs.</w:t>
      </w:r>
    </w:p>
    <w:p>
      <w:pPr>
        <w:spacing w:after="0" w:line="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regularly introduce new products and services based on demand for integrated complementary/payment solutions from our existing core clients and based on the growing demand among financial institutions and corporate entities for specialized solutions capable of increasing revenue and growth opportunities, mitigating and controlling operational risks, and/or containing costs. Our Industry Research department solicits client guidance on the business solutions they need, evaluates available solutions and competitive offerings, and manages the introduction of new product offerings. Our new complementary/payment products and services are developed internally, acquired, or provided through strategic alliances.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and Training</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Most of our core bank and credit union clients contract with us for implementation and training services in connection with their systems and additional complementary products.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complete core system implementation typically includes detailed planning, project management, data conversion, and testing. Our experienced implementation teams travel to client facilities or work remotely with clients to help manage the implementation process and ensure that all data is transferred from the legacy system to the Jack Henry system. Our implementation fees are fixed or hourly based on the core system being installed.</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provide extensive initial and ongoing education to our clients. We have a comprehensive training program that supports new clients with basic training and longtime clients with continuing education. The training enables financial institutions to maximize the use of our core and complementary solutions, learn about ongoing system enhancements, and understand evolving legislative and regulatory requirements.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and Services</w:t>
      </w:r>
    </w:p>
    <w:p>
      <w:pPr>
        <w:spacing w:after="0" w:line="10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We serve our core clients as a single point of contact and support for the complex solutions we provide. Our comprehensive support infrastructure incorporates:</w:t>
      </w:r>
    </w:p>
    <w:p>
      <w:pPr>
        <w:spacing w:after="0" w:line="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 service standards.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Trained support staff available up to 24 hours a day, 365 days a year.</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Assigned account managers.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Sophisticated support tools, resources, and technology.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 experience converting diverse banks and credit unions to our core platforms from competitive platforms.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Highly effective change management and control processes.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Best practices methodology developed and refined through the company-wide, day-to-day experience.</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Most on-premise clients contract for annual software support services, and this represents a significant source of recurring revenue for Jack Henry. These support services are typically priced at approximately 20% of the respective product’s software license fee. The subsequent years' service fees generally increase as client assets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jc w:val="both"/>
        <w:spacing w:after="0" w:line="262" w:lineRule="auto"/>
        <w:rPr>
          <w:sz w:val="20"/>
          <w:szCs w:val="20"/>
          <w:color w:val="auto"/>
        </w:rPr>
      </w:pPr>
      <w:r>
        <w:rPr>
          <w:rFonts w:ascii="Arial" w:cs="Arial" w:eastAsia="Arial" w:hAnsi="Arial"/>
          <w:sz w:val="18"/>
          <w:szCs w:val="18"/>
          <w:color w:val="auto"/>
        </w:rPr>
        <w:t>increase and as additional complementary products are purchased. Annual software support fees typically are billed during June and are paid in advance for the entire fiscal year, with proration for new product implementations that occur during the fiscal year. Hardware support fees also are usually paid in advance for entire contract periods which typically range from one to five years. Most support contracts automatically renew unless the client or Jack Henry gives notice of termination at least 30 days prior to contract expiration.</w:t>
      </w:r>
    </w:p>
    <w:p>
      <w:pPr>
        <w:spacing w:after="0" w:line="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High levels of support are provided to our private cloud clients by the same support infrastructure utilized for on-premise clients. However, these support fees are included as part of monthly private cloud fees.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Hardware Systems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software systems operate on a variety of hardware platforms. We have established remarketing agreements with IBM Corporation, and many other hardware providers that allow Jack Henry to purchase hardware and related maintenance services at a discount and resell them directly to our clients. We currently sell IBM Power Systems™; Lenovo</w:t>
      </w:r>
      <w:r>
        <w:rPr>
          <w:rFonts w:ascii="Arial" w:cs="Arial" w:eastAsia="Arial" w:hAnsi="Arial"/>
          <w:sz w:val="23"/>
          <w:szCs w:val="23"/>
          <w:color w:val="auto"/>
          <w:vertAlign w:val="superscript"/>
        </w:rPr>
        <w:t>®</w:t>
      </w:r>
      <w:r>
        <w:rPr>
          <w:rFonts w:ascii="Arial" w:cs="Arial" w:eastAsia="Arial" w:hAnsi="Arial"/>
          <w:sz w:val="18"/>
          <w:szCs w:val="18"/>
          <w:color w:val="auto"/>
        </w:rPr>
        <w:t>, Dell, Hewlett Packard Enterprise, and Cisco servers and workstations; Canon</w:t>
      </w:r>
      <w:r>
        <w:rPr>
          <w:rFonts w:ascii="Arial" w:cs="Arial" w:eastAsia="Arial" w:hAnsi="Arial"/>
          <w:sz w:val="23"/>
          <w:szCs w:val="23"/>
          <w:color w:val="auto"/>
          <w:vertAlign w:val="superscript"/>
        </w:rPr>
        <w:t>®</w:t>
      </w:r>
      <w:r>
        <w:rPr>
          <w:rFonts w:ascii="Arial" w:cs="Arial" w:eastAsia="Arial" w:hAnsi="Arial"/>
          <w:sz w:val="18"/>
          <w:szCs w:val="18"/>
          <w:color w:val="auto"/>
        </w:rPr>
        <w:t>, Digital Check, Epson</w:t>
      </w:r>
      <w:r>
        <w:rPr>
          <w:rFonts w:ascii="Arial" w:cs="Arial" w:eastAsia="Arial" w:hAnsi="Arial"/>
          <w:sz w:val="23"/>
          <w:szCs w:val="23"/>
          <w:color w:val="auto"/>
          <w:vertAlign w:val="superscript"/>
        </w:rPr>
        <w:t>®</w:t>
      </w:r>
      <w:r>
        <w:rPr>
          <w:rFonts w:ascii="Arial" w:cs="Arial" w:eastAsia="Arial" w:hAnsi="Arial"/>
          <w:sz w:val="18"/>
          <w:szCs w:val="18"/>
          <w:color w:val="auto"/>
        </w:rPr>
        <w:t>, and Panini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check scanners; and other devices that complement our software solutions.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Products and Services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Jack Henry Digital represents a category of digital products and services that are being built and integrated together into one unified platform. Our main offering is the Banno Digital Platform™. It is an online and mobile banking platform that helps community and regional financial institutions strategically differentiate their digital offerings from those of megabanks and other financial technology companies. It is a complete, open digital banking platform that gives banks and credit unions attractive, fast, cloud-native applications for their customers and members and cloud-based, core-connected back-office tools for their employees.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Solutions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Electronic payment solutions provide our clients with the tools necessary to be at the forefront of payment innovation with secure payment processing designed to simplify complex payment processing, attract profitable retail and commercial accounts, increase operating efficiencies, comply with regulatory mandates, and proactively mitigate and manage payment-related risk.</w:t>
      </w:r>
    </w:p>
    <w:p>
      <w:pPr>
        <w:spacing w:after="0" w:line="9" w:lineRule="exact"/>
        <w:rPr>
          <w:sz w:val="20"/>
          <w:szCs w:val="20"/>
          <w:color w:val="auto"/>
        </w:rPr>
      </w:pPr>
    </w:p>
    <w:p>
      <w:pPr>
        <w:jc w:val="both"/>
        <w:ind w:left="340" w:hanging="332"/>
        <w:spacing w:after="0" w:line="259"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JHA Card Processing Solutions™ ("CPS") </w:t>
      </w:r>
      <w:r>
        <w:rPr>
          <w:rFonts w:ascii="Arial" w:cs="Arial" w:eastAsia="Arial" w:hAnsi="Arial"/>
          <w:sz w:val="18"/>
          <w:szCs w:val="18"/>
          <w:color w:val="auto"/>
        </w:rPr>
        <w:t>supports full-service and in-house debit and credit card programs, as well as an Agent</w:t>
      </w:r>
      <w:r>
        <w:rPr>
          <w:rFonts w:ascii="Arial" w:cs="Arial" w:eastAsia="Arial" w:hAnsi="Arial"/>
          <w:sz w:val="18"/>
          <w:szCs w:val="18"/>
          <w:b w:val="1"/>
          <w:bCs w:val="1"/>
          <w:color w:val="auto"/>
        </w:rPr>
        <w:t xml:space="preserve"> </w:t>
      </w:r>
      <w:r>
        <w:rPr>
          <w:rFonts w:ascii="Arial" w:cs="Arial" w:eastAsia="Arial" w:hAnsi="Arial"/>
          <w:sz w:val="18"/>
          <w:szCs w:val="18"/>
          <w:color w:val="auto"/>
        </w:rPr>
        <w:t>credit option, backed by a comprehensive suite of tools for 24/7 fraud mitigation, digital payments, full-service dispute management, plastics manufacturing and personalization, loyalty programs, data analytics, and ATM terminal driving. In addition, advisory services are offered to support a variety of needs including card portfolio growth, start-up program consultation, as well as customized fraud management; all tailored to individual financial institution goals and concerns.</w:t>
      </w:r>
    </w:p>
    <w:p>
      <w:pPr>
        <w:spacing w:after="0" w:line="17"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Enterprise Payment Solutions ("EPS") </w:t>
      </w:r>
      <w:r>
        <w:rPr>
          <w:rFonts w:ascii="Arial" w:cs="Arial" w:eastAsia="Arial" w:hAnsi="Arial"/>
          <w:sz w:val="18"/>
          <w:szCs w:val="18"/>
          <w:color w:val="auto"/>
        </w:rPr>
        <w:t>is a comprehensive payments engine, offering an integrated suite of remote deposit capture,</w:t>
      </w:r>
      <w:r>
        <w:rPr>
          <w:rFonts w:ascii="Arial" w:cs="Arial" w:eastAsia="Arial" w:hAnsi="Arial"/>
          <w:sz w:val="18"/>
          <w:szCs w:val="18"/>
          <w:b w:val="1"/>
          <w:bCs w:val="1"/>
          <w:color w:val="auto"/>
        </w:rPr>
        <w:t xml:space="preserve"> </w:t>
      </w:r>
      <w:r>
        <w:rPr>
          <w:rFonts w:ascii="Arial" w:cs="Arial" w:eastAsia="Arial" w:hAnsi="Arial"/>
          <w:sz w:val="18"/>
          <w:szCs w:val="18"/>
          <w:color w:val="auto"/>
        </w:rPr>
        <w:t>Automated Clearing House ("ACH") and card transaction processing solutions, supporting tools for accounts receivable posting, risk management, reporting, and application interfaces ("APIs") for financial institutions, businesses, and fintechs of all sizes. EPS helps clients succeed in today’s competitive market to increase revenue, improve efficiencies, better manage compliance, and enhance customer and member relationships.</w:t>
      </w:r>
    </w:p>
    <w:p>
      <w:pPr>
        <w:spacing w:after="0" w:line="17" w:lineRule="exact"/>
        <w:rPr>
          <w:rFonts w:ascii="Arial" w:cs="Arial" w:eastAsia="Arial" w:hAnsi="Arial"/>
          <w:sz w:val="18"/>
          <w:szCs w:val="18"/>
          <w:color w:val="auto"/>
        </w:rPr>
      </w:pPr>
    </w:p>
    <w:p>
      <w:pPr>
        <w:jc w:val="both"/>
        <w:ind w:left="340" w:hanging="332"/>
        <w:spacing w:after="0" w:line="245"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Payrailz</w:t>
      </w:r>
      <w:r>
        <w:rPr>
          <w:rFonts w:ascii="Arial" w:cs="Arial" w:eastAsia="Arial" w:hAnsi="Arial"/>
          <w:sz w:val="23"/>
          <w:szCs w:val="23"/>
          <w:b w:val="1"/>
          <w:bCs w:val="1"/>
          <w:color w:val="auto"/>
          <w:vertAlign w:val="superscript"/>
        </w:rPr>
        <w:t>TM</w:t>
      </w:r>
      <w:r>
        <w:rPr>
          <w:rFonts w:ascii="Arial" w:cs="Arial" w:eastAsia="Arial" w:hAnsi="Arial"/>
          <w:sz w:val="18"/>
          <w:szCs w:val="18"/>
          <w:b w:val="1"/>
          <w:bCs w:val="1"/>
          <w:color w:val="auto"/>
        </w:rPr>
        <w:t xml:space="preserve"> Payments Platform </w:t>
      </w:r>
      <w:r>
        <w:rPr>
          <w:rFonts w:ascii="Arial" w:cs="Arial" w:eastAsia="Arial" w:hAnsi="Arial"/>
          <w:sz w:val="18"/>
          <w:szCs w:val="18"/>
          <w:color w:val="auto"/>
        </w:rPr>
        <w:t>provides consumers and businesses with money movement options through their financial institutions’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platforms. It supports our technology modernization strategy by providing next-generation, cloud-native digital payment capabilities to our payment ecosystem. This money movement payments platform incorporates artificial intelligence ("AI") to make predictive and proactive recommendations, a flexible modern user experience, a layered security model, an automated fraud feature powered by machine learning, and a contemporary, adaptable administrative portal. In addition to bill payment capabilities, we provide a 'pay a loan' feature, an 'open looped' real-time person-to-person ("P2P") solution, and account-to-account ("A2A") transfer features. The array of money movement options maintains consumer and business engagement with the financial institution.</w:t>
      </w:r>
    </w:p>
    <w:p>
      <w:pPr>
        <w:spacing w:after="0" w:line="28" w:lineRule="exact"/>
        <w:rPr>
          <w:rFonts w:ascii="Arial" w:cs="Arial" w:eastAsia="Arial" w:hAnsi="Arial"/>
          <w:sz w:val="18"/>
          <w:szCs w:val="18"/>
          <w:color w:val="auto"/>
        </w:rPr>
      </w:pPr>
    </w:p>
    <w:p>
      <w:pPr>
        <w:jc w:val="both"/>
        <w:ind w:left="340" w:hanging="332"/>
        <w:spacing w:after="0" w:line="225"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JHA PayCenter</w:t>
      </w:r>
      <w:r>
        <w:rPr>
          <w:rFonts w:ascii="Arial" w:cs="Arial" w:eastAsia="Arial" w:hAnsi="Arial"/>
          <w:sz w:val="23"/>
          <w:szCs w:val="23"/>
          <w:b w:val="1"/>
          <w:bCs w:val="1"/>
          <w:color w:val="auto"/>
          <w:vertAlign w:val="superscript"/>
        </w:rPr>
        <w:t>TM</w:t>
      </w:r>
      <w:r>
        <w:rPr>
          <w:rFonts w:ascii="Arial" w:cs="Arial" w:eastAsia="Arial" w:hAnsi="Arial"/>
          <w:sz w:val="18"/>
          <w:szCs w:val="18"/>
          <w:color w:val="auto"/>
        </w:rPr>
        <w:t>, provides financial institutions with a single entry point to both Zelle</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Real Time Payments ("RTP") networks,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Federal Reserve's FedNow</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network. PayCenter manages the certification process and mandatory updates from the networks, simplifies integration with toolkits, and provides fraud monitoring. Financial institutions can send and receive transactions instantly 24 hours a day, 365 days a year, through our core and complementary solutions.</w:t>
      </w:r>
    </w:p>
    <w:p>
      <w:pPr>
        <w:spacing w:after="0" w:line="34"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Payments as a Service ("PaaS") </w:t>
      </w:r>
      <w:r>
        <w:rPr>
          <w:rFonts w:ascii="Arial" w:cs="Arial" w:eastAsia="Arial" w:hAnsi="Arial"/>
          <w:sz w:val="18"/>
          <w:szCs w:val="18"/>
          <w:color w:val="auto"/>
        </w:rPr>
        <w:t>ties together and further enhances the complete array of electronic payments functionality with a front-end Payments Developers Experience Portal, APIs, and back-end data analytics.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Research and Development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invest significant resources in ongoing research and development to build new software solutions and services and enhance existing solutions with additional functionality and features required to ensure regulatory compliance. We enhance our core and complementary systems a minimum of once each year. Product-specific enhancements are largely client-driven with recommended opportunities formally gathered through focus groups, change control boards, strategic initiatives meetings, annual user group meetings, and ongoing client contact. We also continually evaluate and implement process improvements that expedite the delivery of new products and enhancements to our clients and reduce related costs.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 thousands) for fiscal 2024, 2023, and 2022 were $148,256, $142,678, and $121,355,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recorded capitalized software (in thousands) in fiscal 2024, 2023, and 2022 of $167,175, $166,120, and $148,239,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serve established, well-defined markets that provide ongoing sales and cross-sell opportunities.</w:t>
      </w:r>
    </w:p>
    <w:p>
      <w:pPr>
        <w:spacing w:after="0" w:line="10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marketing and sales initiatives within the core business lines are primarily focused on identifying banks and credit unions evaluating alternative core information and transaction processing solutions. Our non-core specialized core-agnostic niche solutions are sold to complement existing technology platforms to financial services organizations of all asset sizes and charters.</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executives are responsible for the activities required to earn new clients in assigned territories, and regional account executives are responsible for nurturing client relationships and cross selling additional products and services. Our sales professionals receive base salaries and performance-based commission compensation. Sales support staff provide a variety of services, including product and service demonstrations, responses to prospect-issued requests-for-proposals, and proposal and contract generation. Our marketing department supports sales with lead generation and brand-building activities, including participation in state-specific, regional, and national trade shows; print and online advertising; telemarketing; client newsletters; ongoing promotional campaigns; and media relations. We also host annual national education conferences, which provide opportunities to network with existing clients and demonstrate new products and services.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Jack Henry has sold select products and services outside the United States, primarily in Latin America, the Caribbean and Canada.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International sales accounted for less than 1% of Jack Henry’s total revenue in each of fiscal 2024, 2023, and 2022.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 for companies providing technology solutions to financial services organizations is competitive, and we expect that competition from both existing competitors and companies entering our existing or future markets will remain strong. Some of our current competitors have longer operating histories, larger client bases, and greater financial resources. The principal competitive factors affecting the market for technology solutions include product/service functionality, price, operating flexibility and ease-of-use, client support, and existing client references. For more than a decade, there has been significant consolidation among providers of products and services designed for financial institutions, and this consolidation is expected to continue in the future.</w:t>
      </w:r>
    </w:p>
    <w:p>
      <w:pPr>
        <w:spacing w:after="0" w:line="4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core solutions compete with large vendors that provide information and transaction processing solutions to banks and credit unions, including Fidelity National Information Services, Inc.; Fiserv, Inc.; Corelation, Inc.; and Finastra. Our non-core specialized solutions compete with an array of disparate vendors that provide niche solutions to financial services organizations and corporate entities.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Patents, and Trademarks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believe our success depends upon our technical expertise more than our proprietary rights, our future success and ability to compete depend in part upon our proprietary technology. We have registered or filed applications for our primary trademarks. Most of our technology is not patented. Instead, we rely on a combination of contractual rights, copyrights, trademarks, and trade secrets to establish and protect our proprietary technology. We generally enter into confidentiality agreements with our associates, consultants, resellers, clients, and prospects. Access to and distribution of our Company’s source code is restricted, and the disclosure and use of other proprietary information is further limited. Despite our efforts to protect our proprietary rights, unauthorized parties can attempt to copy or otherwise obtain, or use our products or technology.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Regulatory Compliance</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Jack Henry maintains a corporate commitment to address compliance issues and implement requirements imposed by federal regulators prior to the effective date of such requirements when adequate prior notice is given. Our compliance program is coordinated by a team of qualified compliance analysts and auditors with extensive regulatory agency and financial institution experience, knowledge and understanding of Federal consumer protection regulations, and a thorough working knowledge of Jack Henry and our solutions. These compliance professionals leverage multiple channels to remain informed about potential and recently enacted regulatory requirements, including regular discussions on emerging topics with the Federal Banking Agencies (“FBA”) examination team and training sessions sponsored by various professional associations.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processes in place to inform internal stakeholders of new and revised regulatory requirements. Upcoming regulatory changes also are presented to the Company’s development teams through periodic regulatory compliance meetings and the necessary product changes are included in the ongoing product development cycle. We publish newsletters to keep our clients informed of regulatory changes that could impact their operations. Periodically, client advisory groups are assembled to discuss significant regulatory changes.</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Internal audits of our systems, networks, operations, business recovery plans, and applications are conducted and specialized outside firms are periodically engaged to perform testing and validation of our systems, processes, plans, and security. The FBA conducts annual reviews throughout the Company and issues a Report of Examination. The Board of Directors provides oversight of these activities through the Risk and Compliance Committee and the Audit Committee.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financial services industry is subject to extensive and complex federal and state regulation. All financial institutions are subject to substantial regulatory oversight and supervision. Our products and services must comply with the extensive and evolving regulatory requirements applicable to our clients, including but not limited to those mandated by federal truth-in-lending and truth-in-savings rules, the Privacy of Consumer Financial Information regulations, usury laws, the Equal Credit Opportunity Act, the Fair Housing Act, the Electronic Funds Transfer Act, the Fair Credit Reporting Act, the Bank Secrecy Act, the USA Patriot Act, the Gramm-Leach-Bliley Act, the Community Reinvestment Act and the Dodd-Frank Wall Street Reform and Consumer Protection Act. The compliance of Jack Henry’s products and services with these requirements depends on a variety of factors, including the parameters set through the interactive design, the classification of clients, and the manner in which the client utilizes the products and services. Our clients are contractually responsible for assessing and determining what is required of them under these regulations and then we provide solutions that assist them in meeting their regulatory needs through our products and services. We cannot predict the impact these regulations, any future amendments to these regulations or any newly implemented regulations will have on our business in the future.</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Jack Henry is not chartered by the Office of the Comptroller of Currency ("OCC"), the Board of Governors of the Federal Reserve System, the FDIC, the NCUA or other federal or state agencies that regulate or supervise depository institutions. However, operating as a service provider to financial institutions, Jack Henry’s operations are governed by the same regulatory requirements as those imposed on financial institutions, and subject to periodic reviews by FBA regulators who have broad supervisory authority to remedy any shortcomings identified in such reviews. Jack Henry is also subject to periodic examinations by the Consumer Financial Protection Bureau (“CFPB”), which provides supervision and enforcement related to federal consumer financial laws applicable to some products and services offered by our clients.</w:t>
      </w:r>
    </w:p>
    <w:p>
      <w:pPr>
        <w:spacing w:after="0" w:line="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provide private cloud services through JHA OutLink Processing Services™ for banks and EASE Processing Services™ for credit unions. We provide data centers and electronic transaction processing through JHA Card Processing Solutions™, internet banking through NetTeller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Banno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online solutions, bill payment through our Payrailz</w:t>
      </w:r>
      <w:r>
        <w:rPr>
          <w:rFonts w:ascii="Arial" w:cs="Arial" w:eastAsia="Arial" w:hAnsi="Arial"/>
          <w:sz w:val="23"/>
          <w:szCs w:val="23"/>
          <w:b w:val="1"/>
          <w:bCs w:val="1"/>
          <w:color w:val="auto"/>
          <w:vertAlign w:val="superscript"/>
        </w:rPr>
        <w:t>TM</w:t>
      </w:r>
      <w:r>
        <w:rPr>
          <w:rFonts w:ascii="Arial" w:cs="Arial" w:eastAsia="Arial" w:hAnsi="Arial"/>
          <w:sz w:val="18"/>
          <w:szCs w:val="18"/>
          <w:color w:val="auto"/>
        </w:rPr>
        <w:t xml:space="preserve"> Payments Platform, network security monitoring and Hosted Network Solutions ("HNS") through our Gladiator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 cloud services through Hosted Partner Services and Enterprise Integration Services, and business recovery services through Centurion Disaster Recovery</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p>
      <w:pPr>
        <w:spacing w:after="0" w:line="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private cloud services are subject to examination by FBA regulators under the Bank Service Company Act. These examinations cover a wide variety of subjects, including system development, functionality, reliability, and security, as well as disaster preparedness and business recovery planning. Our private cloud services are also subject to examination by state banking authorities on occasion.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Human Capital</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Associates</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2024, Jack Henry had approximately 7,170 full-time and part-time associates. Our associates are not covered by a collective bargaining agreement and there have been no labor-related work stoppages.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Attraction and Engagement</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people and culture strategy focuses on attracting, engaging, and retaining qualified, diverse, and innovative talent at all levels of the Company. We are a committed equal opportunity employer and all qualified candidates receive consideration for employment without regard to race, color, religion, national origin, age, disability, sex, sexual orientation, gender, gender identity, pregnancy, genetic information, or other characteristics protected by applicable law.</w:t>
      </w:r>
    </w:p>
    <w:p>
      <w:pPr>
        <w:spacing w:after="0" w:line="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Beyond nondiscrimination compliance, we are committed to fostering a respectful and inclusive workplace in which all individuals are treated with respect and dignity. We continue to concentrate efforts on assuring that all our associates feel like they belong at Jack Henry. We seek nontraditional talent streams to help identify candidates from underrepresented groups, including through our internship and apprenticeship programs. Our internship program focuses on attracting college and university students to paid work in Jack Henry departments related to their studies, while our apprenticeship program offers paid training and work for candidates (either students or non-students) with little to no traditional experience in the field, such as learning computer coding. Both our internship and apprenticeship programs can lead to full-time employment.</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actively collaborating with our Business Innovation Groups ("BIGs") to foster a culture of belonging. Their insights are crucial for sparking innovation and shaping strategies to attract and retain talent, ensuring our associates feel valued and connected. Our BIGs are company-sponsored groups open to all associates. As of June 30, 2024, we had over 1,740 unique associates participating in six active BIGs, with five focused on inclusion for specific communities — women, people of color, LGBTQ+, veterans, and people with disabilities — and one focused on environmental and sustainability topics. While BIGs allow associates to connect and support each other, they also function to assist us in addressing bona fide business problems through input and suggestions. For example, these groups work with executive leadership to actively improve our talent attraction processes for prospective associates. They also provide education, training, and conversation opportunities to all associates to increase belongingness and innovation throughout the Company. A significant portion of the Company’s associates work remotely on either a full-time or hybrid remote/office basis. The Company remains focused on equipping all associates with the tools necessary to effectively communicate, collaborate, and build connections in a remote environment, including ensuring leaders have the skills needed to effectively lead dispersed teams.</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seek to actively listen to our associates throughout the year using a defined and continuous listening strategy designed to gather regular feedback on well-being, engagement, leadership, ethics, culture and values, and other top of mind topics. These surveys allow us to respond to associate concerns, benefit from associate perspectives, and better design and develop processes to support our Company culture. Associates can learn about changes through our jhDaily online news center, regular email communications, monthly Manager Forum events, quarterly associate update videos, or all-associate town hall meetings delivered by senior management.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and Development</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depends not only on attracting and retaining talented associates, but also in developing our current associates and providing new opportunities for their growth. We offer our associates numerous live and on-demand courses, resources, and training programs to help them build knowledge, improve skills, and develop their career at Jack Henry. Learning opportunities include mandatory courses, such as security awareness, as well as recommended content in areas including leadership development; technical skills; and diversity, equity, inclusion, and belonging. Jack Tracks, an annual, company-wide virtual learning event, offers associates a large selection of curated topics such as technical and operational readiness, technology trends, company solutions, and industry trends.</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Recognizing the importance of mentoring in career development, we host an internal mentorship marketplace, which allows prospective mentors and mentees to connect and self-initiate a mentoring relationship. Career mobility and personal development resources are available to all associates through dedicated intranet sites. We continue to strengthen our leadership capacity by providing training on effective coaching practices to leaders of the Company.</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recognize and value the contribution of our associates who develop, improve, and support our technology solutions. Access to on-demand technical training libraries, customized learning plans, certification programs, and classes facilitated by external experts are available to advance their technical expertise. When there is a critical skill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jc w:val="both"/>
        <w:spacing w:after="0" w:line="287" w:lineRule="auto"/>
        <w:rPr>
          <w:sz w:val="20"/>
          <w:szCs w:val="20"/>
          <w:color w:val="auto"/>
        </w:rPr>
      </w:pPr>
      <w:r>
        <w:rPr>
          <w:rFonts w:ascii="Arial" w:cs="Arial" w:eastAsia="Arial" w:hAnsi="Arial"/>
          <w:sz w:val="18"/>
          <w:szCs w:val="18"/>
          <w:color w:val="auto"/>
        </w:rPr>
        <w:t>need or where the technology landscape is rapidly changing, we provide unique learning solutions to align associates' development with our strategic initiatives.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Wellness and Safety</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emphasize the safety and well-being of our associates as a top priority. We define wellness holistically and include mental, physical, emotional, financial, psychological, and environmental considerations. Our benefit plan offerings include supportive and dedicated campaigns that communicate directly to associates about financial wellness, mental health, healthful nutrition and exercise, and other wellness topics. Associate well-being is further supported through policies such as remote work, paid parental leave, military service leave, educational assistance, and bereavement leave policies.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Jack Henry’s website is easily accessible to the public at </w:t>
      </w:r>
      <w:r>
        <w:rPr>
          <w:rFonts w:ascii="Arial" w:cs="Arial" w:eastAsia="Arial" w:hAnsi="Arial"/>
          <w:sz w:val="18"/>
          <w:szCs w:val="18"/>
          <w:b w:val="1"/>
          <w:bCs w:val="1"/>
          <w:u w:val="single" w:color="auto"/>
          <w:color w:val="auto"/>
        </w:rPr>
        <w:t>jackhenry.com</w:t>
      </w:r>
      <w:r>
        <w:rPr>
          <w:rFonts w:ascii="Arial" w:cs="Arial" w:eastAsia="Arial" w:hAnsi="Arial"/>
          <w:sz w:val="18"/>
          <w:szCs w:val="18"/>
          <w:color w:val="auto"/>
        </w:rPr>
        <w:t xml:space="preserve">. The “Investor Relations" portion of the website provides key corporate governance documents, the code of conduct, an archive of press releases, and other relevant Company information. Our annual report on Form 10-K, quarterly reports on Form 10-Q, current reports on Form 8-K, and other filings and amendments thereto that are made with the SEC also are available free of charge on our website as soon as reasonably practical after these reports have been filed with or furnished to the SEC. The SEC also maintains a website that contains reports, proxy and information statements, and other information regarding issuers that file electronically with the SEC at </w:t>
      </w:r>
      <w:r>
        <w:rPr>
          <w:rFonts w:ascii="Arial" w:cs="Arial" w:eastAsia="Arial" w:hAnsi="Arial"/>
          <w:sz w:val="18"/>
          <w:szCs w:val="18"/>
          <w:b w:val="1"/>
          <w:bCs w:val="1"/>
          <w:u w:val="single" w:color="auto"/>
          <w:color w:val="auto"/>
        </w:rPr>
        <w:t>https://www.sec.gov</w:t>
      </w:r>
      <w:r>
        <w:rPr>
          <w:rFonts w:ascii="Arial" w:cs="Arial" w:eastAsia="Arial" w:hAnsi="Arial"/>
          <w:sz w:val="18"/>
          <w:szCs w:val="18"/>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business and the results of its operations are affected by numerous factors and uncertainties, some of which are beyond our control. The following is a description of some of the important risks and uncertainties that may cause our actual results of operations in future periods to differ materially from those expected or desired.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Operating Risks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Data security breaches, failures, or other incidents could damage our reputation and business. </w:t>
      </w:r>
      <w:r>
        <w:rPr>
          <w:rFonts w:ascii="Arial" w:cs="Arial" w:eastAsia="Arial" w:hAnsi="Arial"/>
          <w:sz w:val="18"/>
          <w:szCs w:val="18"/>
          <w:color w:val="auto"/>
        </w:rPr>
        <w:t>Our business relies upon receiving,</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storing, and transmitting sensitive information relating to our operations, associates, and clients. If we fail to maintain a sufficient digital security infrastructure, address security vulnerabilities and new threats, or deploy adequate technologies to secure our systems against attack, we may be subject to security breaches that compromise confidential information, adversely affect our ability to operate our business, damage our reputation and business, adversely affect our results of operations and financial condition, and expose us to liability. We rely on third parties for various business purposes, and these third parties face similar security risks. A security failure by one of these third parties could expose our data or subject our information systems to interruption of operations and security vulnerabilities. Our information systems rely on hardware, software, and other technological elements, whether developed in-house or provided by third parties, that occasionally need to be patched or updated to address existing or potential security vulnerabilities. If these vulnerabilities are not remediated in a timely manner, our systems and data may be at risk of compromise or interruption.</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services and infrastructure are increasingly reliant on the internet. Computer networks and the internet are vulnerable to disruptive problems such as denial of service attacks or other cyber-attacks carried out by cyber criminals or state-sponsored actors. We anticipate that unauthorized parties will continue to attempt to obtain access to confidential information or to destroy data, often through the introduction of computer viruses, ransomware or malware, cyber-attacks, and other means, which are constantly evolving and at times difficult to detect. Those same parties may also attempt to fraudulently induce associates, clients, vendors, or other users of our systems through phishing schemes or other social engineering methods to disclose sensitive information to gain access to our data or that of our clients or their customer/members. Any such coordinated attacks, if successful, can lead to data loss and exfiltration, disruption to systems and services, and damage to our reputation as a secure financial technology company.</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the risk that our associates may intercept and transmit unauthorized confidential or proprietary information or that corporate-owned computers used by associates are stolen, or client data media is lost in shipment. An interception, misuse, or mishandling of personal, confidential, or proprietary information being sent to or received from a client or third party could result in legal liability, remediation costs, regulatory action, and reputational harm, any of which could adversely affect our results of operations and financial condition.</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Like other financial institution service providers, we frequently face third-party attempts to discover and exploit system weaknesses or to circumvent our security measures. We anticipate that attempts to attack our systems, services, and infrastructure, and those of our clients, third-party service providers and other vendors, may grow 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jc w:val="both"/>
        <w:spacing w:after="0" w:line="253" w:lineRule="auto"/>
        <w:rPr>
          <w:sz w:val="20"/>
          <w:szCs w:val="20"/>
          <w:color w:val="auto"/>
        </w:rPr>
      </w:pPr>
      <w:r>
        <w:rPr>
          <w:rFonts w:ascii="Arial" w:cs="Arial" w:eastAsia="Arial" w:hAnsi="Arial"/>
          <w:sz w:val="18"/>
          <w:szCs w:val="18"/>
          <w:color w:val="auto"/>
        </w:rPr>
        <w:t>frequency and sophistication. We cannot be certain that our security controls and infrastructure will be adequate to continue to protect our systems and data and our efforts may not be sufficient to combat all current and future technological risks and threats. Advances in computer capabilities, new discoveries in the field of cryptography, the use of artificial intelligence, or other events or developments may render our security measures inadequate. Security risks may result in liability to our clients or other third parties, damage to our reputation, and may deter financial institutions from purchasing our products. The significant amount of capital and other resources we currently expend to protect against the threat of security breaches may prove insufficient to prevent a breach. We cannot ensure that any limitation-of-liability provisions in our client and user agreements, contracts with third-party vendors, or other contracts are sufficient to protect us from liabilities or damages with respect to claims relating to a security breach or similar matters. The insurance coverage we maintain to address data security risks may be insufficient to cover all types of claims or losses that may arise, and there is no assurance that such insurance coverage will continue to be available to us on economically reasonable terms, or at all. In the event of a security breach, we may need to spend substantial additional capital and resources alleviating problems caused by such breach. Under state, federal, and foreign laws requiring consumer notification of security breaches, the costs to remediate security breaches can be substantial. Addressing security problems may result in interruptions, delays, or cessation of service to users, any of which could harm our business.</w:t>
      </w:r>
    </w:p>
    <w:p>
      <w:pPr>
        <w:spacing w:after="0" w:line="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Failure to maintain sufficient technological infrastructure or an operational failure in our outsourcing facilities could expose us to damage claims, increase regulatory scrutiny, and cause us to lose clients. </w:t>
      </w:r>
      <w:r>
        <w:rPr>
          <w:rFonts w:ascii="Arial" w:cs="Arial" w:eastAsia="Arial" w:hAnsi="Arial"/>
          <w:sz w:val="18"/>
          <w:szCs w:val="18"/>
          <w:color w:val="auto"/>
        </w:rPr>
        <w:t>Our products and services require substantial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technological infrastructure, and we have experienced significant growth in the number of users, transactions, and data that our technological infrastructure supports. If we fail to adequately invest in and support our technological infrastructure and processing capacity, we may not be able to support our clients’ processing needs and may be more susceptible to interruptions and delays in services. Damage or destruction that interrupts our outsourcing operations could cause delays and failures in processing which could hurt our relationship with clients, damage our reputation, expose us to damage claims, and cause us to incur substantial additional expense to relocate operations and repair or replace damaged equipment. Events that could cause operational failures include, but are not limited to, hardware and software defects, breakdowns or malfunctions, cybersecurity incidents, human error, power losses, disruptions in telecommunications services, computer viruses or other malware, or other events. Our facilities are also subject to physical risks related to natural disasters or severe weather events, such as tornados, flooding, hurricanes, and heat waves. Climate change may increase the likelihood and severity of such events. Our back-up systems and procedures may prove insufficient or otherwise fail to prevent disruption, such as a prolonged interruption of our transaction processing services. If an interruption extends for more than several hours, we may experience data loss or a reduction in revenues by reason of such interruption. Any significant interruption of service could reduce revenue, have a negative impact on our reputation, result in damage claims, lead our present and potential clients to choose other service providers, and lead to increased regulatory scrutiny of the critical services we provide to financial institutions, with resulting increases in compliance burdens and costs. Implementing modifications and upgrades to our technological infrastructure subject us to inherent costs and risks associated with changing systems, policies, procedures, and monitoring tools.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Failures associated with payment transactions could result in financial loss. </w:t>
      </w:r>
      <w:r>
        <w:rPr>
          <w:rFonts w:ascii="Arial" w:cs="Arial" w:eastAsia="Arial" w:hAnsi="Arial"/>
          <w:sz w:val="18"/>
          <w:szCs w:val="18"/>
          <w:color w:val="auto"/>
        </w:rPr>
        <w:t>The volume and dollar amount of payment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process is significant and continues to grow. We direct the settlement of funds on behalf of financial institutions, other businesses, and consumers, and receive funds from clients, card issuers, payment networks, and consumers on a daily basis for a variety of transaction types. Transactions facilitated by us include debit card, credit card, electronic bill payment transactions, Automated Clearing House (“ACH”) payments, real-time payments through faster payment networks (such as Zelle, RTP, and FedNow), and check clearing that support consumers, financial institutions, and other businesses. If the continuity of operations, integrity of processing, or ability to detect or prevent fraudulent payments were compromised in connection with payments transactions, we could suffer financial as well as reputational loss. In addition, we rely on various third parties to process transactions and provide services in support of the processing of transactions and funds settlement for certain of our products and services that we cannot provide ourselves. If we are unable to obtain such services in the future or if the price of such services becomes unsustainable, our business, financial position, and results of operations could be materially and adversely affected. In addition, we may issue short-term credit to consumers, financial institutions, or other businesses as part of the funds settlement process. A default on this credit by a counterparty could result in a financial loss to us.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Failures of third-party service providers we rely upon could lead to financial loss. </w:t>
      </w:r>
      <w:r>
        <w:rPr>
          <w:rFonts w:ascii="Arial" w:cs="Arial" w:eastAsia="Arial" w:hAnsi="Arial"/>
          <w:sz w:val="18"/>
          <w:szCs w:val="18"/>
          <w:color w:val="auto"/>
        </w:rPr>
        <w:t>We rely on third-party service providers to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key portions of our operations. We also rely on third-party service providers to provide part, or all of, certain services we deliver to clients. As we continue to move more computing, storage, and processing services out of our data centers and facilities and into third-party hosting environments, our reliance 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18"/>
          <w:szCs w:val="18"/>
          <w:color w:val="auto"/>
        </w:rPr>
        <w:t>these providers and their systems will increase. This reliance is further concentrated as we use certain third -party vendors to provide large portions of our hosting needs. While we have selected these third-party vendors carefully, we do not control their actions. A failure of these services by a third party could have a material impact upon our delivery of services to our clients. Such a failure could lead to damage claims, loss of clients, and reputational harm, depending on the duration and severity of the failure. Third parties perform significant operational services on our behalf. These third-party vendors are subject to similar risks as us including, but not limited to, compliance with applicable laws and regulations, hardware and software defects, breakdowns or malfunctions, cybersecurity incidents, human error, failures in internal controls, power losses, disruptions in telecommunications services, computer viruses or other malware, natural disasters or severe weather events, or other events. One or more of our vendors may experience a cybersecurity event or operational disruption and, if any such event does occur, it may not be adequately addressed, either operationally or financially, by the third-party vendor. Certain of our vendors may have limited indemnification obligations or may not have the financial capacity to satisfy their indemnification obligations. If a critical vendor is unable to meet our needs in a timely manner or if the services or products provided by such a vendor are terminated or otherwise delayed and if we are not able to develop alternative sources for these services and products quickly and cost-effectively, our clients could be negatively impacted, and it could have a material adverse effect on our business.</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We operate in a competitive business environment and our business will be adversely affected if we fail to compete effectively.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vigorously compete with a variety of software vendors and service providers in all our major product lines. We compete on the basis of product quality, reliability, performance, ease of use, quality of support and services, integration with other products, and pricing. Some of our competitors may have advantages over us due to their size, product lines, greater marketing resources, or exclusive intellectual property rights. New competitors, including smaller start-ups, regularly appear with new products, services, and technology for financial institutions. If competitors offer more favorable pricing, payment or other contractual terms, warranties, or functionality, or otherwise attract our clients or prevent us from capturing new clients, we may need to lower prices or offer other terms that negatively impact our results of operations in order to successfully compete.</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Failure to achieve favorable renewals of service contracts could negatively affect our business. </w:t>
      </w:r>
      <w:r>
        <w:rPr>
          <w:rFonts w:ascii="Arial" w:cs="Arial" w:eastAsia="Arial" w:hAnsi="Arial"/>
          <w:sz w:val="18"/>
          <w:szCs w:val="18"/>
          <w:color w:val="auto"/>
        </w:rPr>
        <w:t>Our contracts with our clients for</w:t>
      </w:r>
      <w:r>
        <w:rPr>
          <w:rFonts w:ascii="Arial" w:cs="Arial" w:eastAsia="Arial" w:hAnsi="Arial"/>
          <w:sz w:val="18"/>
          <w:szCs w:val="18"/>
          <w:b w:val="1"/>
          <w:bCs w:val="1"/>
          <w:color w:val="auto"/>
        </w:rPr>
        <w:t xml:space="preserve"> </w:t>
      </w:r>
      <w:r>
        <w:rPr>
          <w:rFonts w:ascii="Arial" w:cs="Arial" w:eastAsia="Arial" w:hAnsi="Arial"/>
          <w:sz w:val="18"/>
          <w:szCs w:val="18"/>
          <w:color w:val="auto"/>
        </w:rPr>
        <w:t>outsourced data processing and electronic payment transaction processing services generally run for a period of six years. We will continue to experience a significant number of these contracts coming up for renewal each year. Renewal time presents our clients with the opportunity to consider other providers or to renegotiate their contracts with us, including reducing the services we provide or negotiating the prices paid for our services. If we are not successful in achieving high renewal rates upon favorable terms, revenues and profit margins will suffer. We may experience increased costs for services from our third-party vendors due to inflation or other cost expansion, but because our client contracts typically have longer terms than our vendor contracts, our ability to pass on those higher costs to clients may be limited. If inflation or costs outpace our contractual ability to adjust pricing during the contractual terms of our client contracts, our revenues and profit margins could be negatively impacted.</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If we fail to adapt our products and services to changes in technology and the markets we serve, we could lose existing clients and be unable to attract new business. </w:t>
      </w:r>
      <w:r>
        <w:rPr>
          <w:rFonts w:ascii="Arial" w:cs="Arial" w:eastAsia="Arial" w:hAnsi="Arial"/>
          <w:sz w:val="18"/>
          <w:szCs w:val="18"/>
          <w:color w:val="auto"/>
        </w:rPr>
        <w:t>The markets for our products and services are characterized by changing client and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and rapid technological changes. These factors and new product introductions by our existing competitors or by new market entrants could reduce the demand for our existing products and services, and we may be required to develop or acquire new products and services. Our future success is dependent on our ability to enhance our existing products and services in a timely manner and to develop or acquire new products and services. If we are unable to develop or acquire new products and services to address the needs of our clients, or if we fail to sell the new or enhanced products and services in which we have invested, we may incur unanticipated expenses or fail to achieve anticipated revenues, as well as lose prospective sales.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The use of emerging technologies like artificial intelligence, machine learning, and generative artificial intelligence could lead to unintended consequences and result in reputational harm and increased litigation. </w:t>
      </w:r>
      <w:r>
        <w:rPr>
          <w:rFonts w:ascii="Arial" w:cs="Arial" w:eastAsia="Arial" w:hAnsi="Arial"/>
          <w:sz w:val="18"/>
          <w:szCs w:val="18"/>
          <w:color w:val="auto"/>
        </w:rPr>
        <w:t>We continue to evaluate emerging technologies like</w:t>
      </w:r>
      <w:r>
        <w:rPr>
          <w:rFonts w:ascii="Arial" w:cs="Arial" w:eastAsia="Arial" w:hAnsi="Arial"/>
          <w:sz w:val="18"/>
          <w:szCs w:val="18"/>
          <w:b w:val="1"/>
          <w:bCs w:val="1"/>
          <w:color w:val="auto"/>
        </w:rPr>
        <w:t xml:space="preserve"> </w:t>
      </w:r>
      <w:r>
        <w:rPr>
          <w:rFonts w:ascii="Arial" w:cs="Arial" w:eastAsia="Arial" w:hAnsi="Arial"/>
          <w:sz w:val="18"/>
          <w:szCs w:val="18"/>
          <w:color w:val="auto"/>
        </w:rPr>
        <w:t>artificial intelligence, machine learning, and generative artificial intelligence for incorporation into our business to augment our products and services. Such technologies present unique business opportunities along with ever-changing legal and regulatory risks. Both state and federal regulations relating to these emerging technologies are quickly and constantly evolving and may require significant resources to modify and maintain business practices to comply with U.S. laws, the nature of which cannot be determined at this time. Our failure to accurately identify and address our responsibilities and liabilities in this new environment could negatively affect any solutions we develop incorporating such technology and could subject us to reputational harm, regulatory action, or litigation, which may harm our financial condition and operating results. These same risks apply to our third-party service providers who are implementing these tools into the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jc w:val="both"/>
        <w:spacing w:after="0" w:line="287" w:lineRule="auto"/>
        <w:rPr>
          <w:sz w:val="20"/>
          <w:szCs w:val="20"/>
          <w:color w:val="auto"/>
        </w:rPr>
      </w:pPr>
      <w:r>
        <w:rPr>
          <w:rFonts w:ascii="Arial" w:cs="Arial" w:eastAsia="Arial" w:hAnsi="Arial"/>
          <w:sz w:val="18"/>
          <w:szCs w:val="18"/>
          <w:color w:val="auto"/>
        </w:rPr>
        <w:t>products or services they provide to us. Any failures to manage and mitigate these risks by these third-party service providers may negatively affect the products and services we provide our clients.</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Software defects or problems with installations and updates may harm our business and reputation and expose us to potential liability. </w:t>
      </w:r>
      <w:r>
        <w:rPr>
          <w:rFonts w:ascii="Arial" w:cs="Arial" w:eastAsia="Arial" w:hAnsi="Arial"/>
          <w:sz w:val="18"/>
          <w:szCs w:val="18"/>
          <w:color w:val="auto"/>
        </w:rPr>
        <w:t>Our software products are complex and may contain undetected defects, especially in connection with newly released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updates. Software defects may cause interruptions or delays to our services as we attempt to correct the problem. We may also experience difficulties in installing or integrating our products on systems used by our clients. Defects in our software, installation problems or delays, or other difficulties could result in negative publicity, loss of revenues, loss of competitive position, or claims against us by clients. In addition, we rely on technologies and software supplied by third parties that may also contain undetected errors or defects that could have a negative effect on our business and results of operations. If patches or updates are not properly tested prior to installation, or are not properly installed, our systems and data may be at risk of compromise or interruption as a result of such failures.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Expansion of services to non-traditional clients could expose us to new risks. </w:t>
      </w:r>
      <w:r>
        <w:rPr>
          <w:rFonts w:ascii="Arial" w:cs="Arial" w:eastAsia="Arial" w:hAnsi="Arial"/>
          <w:sz w:val="18"/>
          <w:szCs w:val="18"/>
          <w:color w:val="auto"/>
        </w:rPr>
        <w:t>We have expanded our services to business lines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marketed outside our traditional, regulated, and litigation-averse base of financial institution clients. These non-regulated clients may entail greater operational, credit, and litigation risks than we have faced before and could result in increases in bad debts and litigation costs.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Compliance Risks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The software and services we provide to our clients are subject to government regulation that could hinder the development of our business, increase costs, or impose constraints on the way we conduct our operations. </w:t>
      </w:r>
      <w:r>
        <w:rPr>
          <w:rFonts w:ascii="Arial" w:cs="Arial" w:eastAsia="Arial" w:hAnsi="Arial"/>
          <w:sz w:val="18"/>
          <w:szCs w:val="18"/>
          <w:color w:val="auto"/>
        </w:rPr>
        <w:t>The financial services industry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extensive and complex federal and state regulation. As a supplier of software and services to financial institutions, portions of our operations are subject to ongoing supervision and examination by the Office of the Comptroller of the Currency, the Federal Reserve Board, the Federal Deposit Insurance Corporation, the Consumer Financial Protection Bureau, and the National Credit Union Association, among other regulatory agencies. These agencies regulate services we provide and the way we operate, and we are required to comply with a broad range of applicable federal and state laws and regulations. We are routinely subject to the examination process with such regulators, which includes the identification of areas where we can improve our practices to better comply with the applicable regulations and guidelines. If regulators identify significant issues, or if we fail to meet supervisory remediation expectations, we could be subject to regulatory actions that could harm our client relationships and reputation. Failure by third parties, with whom we contract or partner, to comply with regulations or guidelines could also harm our relationships and reputation. Such failures could require significant expenditures to correct and could negatively affect our ability to retain clients and obtain new clients.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existing laws, regulations, and policies could be amended or interpreted differently by regulators in a manner that imposes additional costs and has a negative impact on our existing operations or that limits our future growth or expansion. New regulations could require additional programming or other costly changes in our processes or personnel. Our clients are also regulated entities, and actions by regulatory authorities could influence both the decisions they make concerning the purchase of data processing and other services and the timing and implementation of these decisions. We will be required to apply substantial research and development and other corporate resources to adapt our products to this evolving, complex, and often unpredictable regulatory environment. Our failure to provide compliant solutions could result in significant fines or consumer liability on our clients, for which we may bear ultimate liability.</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Compliance with new and existing privacy laws, regulations, and rules may adversely impact our expenses, development, and strategy. </w:t>
      </w:r>
      <w:r>
        <w:rPr>
          <w:rFonts w:ascii="Arial" w:cs="Arial" w:eastAsia="Arial" w:hAnsi="Arial"/>
          <w:sz w:val="18"/>
          <w:szCs w:val="18"/>
          <w:color w:val="auto"/>
        </w:rPr>
        <w:t>We are subject to complex laws, rules, and regulations related to data privacy and cybersecurity. If we fail to comply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we could be subject to reputational harm, regulatory enforcement, and litigation. The use, confidentiality, and security of private client information is under increased scrutiny. Regulatory agencies, Congress, state legislatures, and foreign regulatory and governmental bodies are considering numerous regulatory and statutory proposals to protect the interests of consumers and to require compliance with standards and policies that have not been defined. The number of state privacy and cybersecurity laws and regulations has grown tremendously over the past several years, creating an increasingly complex patchwork of data privacy and security requirements. This includes industry-specific rules such as those enacted by the New York Department of Financial Services that require covered financial institutions to have a cybersecurity program along with other compliance requirements as well as comprehensive consumer data privacy rules such as the California Consumer Privacy Act, the Iowa Consumer Data Protection Act, and the Virginia Consumer Data Protection Act. Though several privacy concepts are common across the laws, each state requires compliance with standards and policies that are not cohesive with other laws and are often further amended by regulatory action. The unique data protection regulations issued by multiple agencies have created a fragmented series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requirements that makes it increasingly complex to comply with all the mandates in an efficient manner and may increase costs to deliver affected products and services as those requirements are established. In addition, compliance with these laws and regulations may require changes to our technology and our internal processes and procedures, including the way that we handle, process, and store data, which could divert company resources and negatively impact growth opportunities. We will also be affected by these regulations as a third-party provider to clients who are subject to such regulations and will seek our assistance in their compliance efforts.</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Failure to comply or readily address compliance and regulatory rule changes made by payment card networks could adversely affect our business. </w:t>
      </w:r>
      <w:r>
        <w:rPr>
          <w:rFonts w:ascii="Arial" w:cs="Arial" w:eastAsia="Arial" w:hAnsi="Arial"/>
          <w:sz w:val="18"/>
          <w:szCs w:val="18"/>
          <w:color w:val="auto"/>
        </w:rPr>
        <w:t>We are subject to card association and network compliance rules governing the payment networks we serve,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Visa, MasterCard, Zelle, FedNow, and The Clearing House’s RTP network, and all rules governing the Payment Card Data Security Standards. If we fail to comply with these rules and standards, we could be fined or our certifications could be suspended or terminated, which could limit our ability to service our clients and result in reductions in revenues and increased costs of operations. Changes made by the networks, even when complied with, may result in reduction in revenues and increased costs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Risks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Natural disasters, public health crises, wars, acts of terrorism, other armed conflict, and workforce shortages could adversely affect our results of operations. </w:t>
      </w:r>
      <w:r>
        <w:rPr>
          <w:rFonts w:ascii="Arial" w:cs="Arial" w:eastAsia="Arial" w:hAnsi="Arial"/>
          <w:sz w:val="18"/>
          <w:szCs w:val="18"/>
          <w:color w:val="auto"/>
        </w:rPr>
        <w:t>The occurrence of, or threat of, natural disasters, widespread public health crises, political unrest, war,</w:t>
      </w:r>
      <w:r>
        <w:rPr>
          <w:rFonts w:ascii="Arial" w:cs="Arial" w:eastAsia="Arial" w:hAnsi="Arial"/>
          <w:sz w:val="18"/>
          <w:szCs w:val="18"/>
          <w:b w:val="1"/>
          <w:bCs w:val="1"/>
          <w:color w:val="auto"/>
        </w:rPr>
        <w:t xml:space="preserve"> </w:t>
      </w:r>
      <w:r>
        <w:rPr>
          <w:rFonts w:ascii="Arial" w:cs="Arial" w:eastAsia="Arial" w:hAnsi="Arial"/>
          <w:sz w:val="18"/>
          <w:szCs w:val="18"/>
          <w:color w:val="auto"/>
        </w:rPr>
        <w:t>acts of terrorism, other armed conflicts involving the United States or foreign countries, or general workforce shortages can result in significant economic disruptions and uncertainties and could adversely affect our business, results of operation, and financial condition. The conditions caused by such events may affect the rate of spending by our clients and their ability to pay for our products and services, delay prospective clients’ purchasing decisions, interfere with our associates’ ability to support our business function, disrupt the ability of third-party providers we rely upon to deliver services, adversely impact our ability to provide on-site services or installations to our clients, or reduce the number of transactions we process, all of which could adversely affect our results of operation and financial position. We are unable to accurately predict the impact of such events on our business due to a number of uncertainties, including the duration, severity, geographic reach and governmental responses to such events, the impact on our clients’ and vendors' operations, and our ability to continue to provide products and services, including the ability of our associates to work remotely. If we are not able to respond to and manage the impact of such events effectively, our business will be harmed.</w:t>
      </w:r>
    </w:p>
    <w:p>
      <w:pPr>
        <w:spacing w:after="0" w:line="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Our business may be adversely impacted by general U.S. and global market and economic conditions or specific conditions in the financial services industry. </w:t>
      </w:r>
      <w:r>
        <w:rPr>
          <w:rFonts w:ascii="Arial" w:cs="Arial" w:eastAsia="Arial" w:hAnsi="Arial"/>
          <w:sz w:val="18"/>
          <w:szCs w:val="18"/>
          <w:color w:val="auto"/>
        </w:rPr>
        <w:t>We derive most of our revenue from products and services we provide to the financial services industry. If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economic environment worsens, including if inflation or interest rates continue to increase or remain at higher than recent historical levels, or if conditions or regulatory requirements within the financial services industry change, such as if financial institutions are required to increase reserve amounts or become subject to new regulatory assessments, clients may be less willing or able to pay the cost of our products and services, and we could face a reduction in demand from current and potential clients for our products and services, which could have a material adverse effect on our business, results of operations, and financial condition. In addition, a growing portion of our revenue is derived from transaction processing fees, which depend heavily on levels of consumer and business spending. Deterioration in general economic conditions could negatively impact consumer confidence and spending, resulting in reduced transaction volumes and our related revenues.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Consolidation and failures of financial institutions will continue to reduce the number of our clients and potential clients.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primary market consists of approximately 4,540 commercial and savings banks and more than 4,700 credit unions. The number of commercial banks and credit unions in the United States has experienced a steady decrease over recent decades due to mergers and acquisitions and financial failures and we expect this trend to continue as more consolidation occurs. Such events may reduce the number of our current and potential clients, which could negatively impact our results of operations. A client who merges with, or is acquired by, an entity that is not our client, or a client that is closed by regulatory action, can lead to a reduction or loss of services and negatively impact our results of operation.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Risks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Our growth may be affected if we are unable to find or complete suitable acquisitions. </w:t>
      </w:r>
      <w:r>
        <w:rPr>
          <w:rFonts w:ascii="Arial" w:cs="Arial" w:eastAsia="Arial" w:hAnsi="Arial"/>
          <w:sz w:val="18"/>
          <w:szCs w:val="18"/>
          <w:color w:val="auto"/>
        </w:rPr>
        <w:t>We have augmented the growth of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with a number of acquisitions and we plan to continue to acquire appropriate businesses, products, and services. This strategy depends on our ability to identify, negotiate, and finance suitable acquisitions. Merger and acquisition activity in our industry has affected the availability and pricing of such acquisitions. If we are unable to acquire suitable acquisition candidates, we may experience slower growth.</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8"/>
          <w:szCs w:val="18"/>
          <w:b w:val="1"/>
          <w:bCs w:val="1"/>
          <w:color w:val="auto"/>
        </w:rPr>
        <w:t xml:space="preserve">Acquisitions subject us to risks and may be costly and difficult to integrate. </w:t>
      </w:r>
      <w:r>
        <w:rPr>
          <w:rFonts w:ascii="Arial" w:cs="Arial" w:eastAsia="Arial" w:hAnsi="Arial"/>
          <w:sz w:val="18"/>
          <w:szCs w:val="18"/>
          <w:color w:val="auto"/>
        </w:rPr>
        <w:t>Acquisitions are difficult to evaluate, and our due diligence</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identify all potential liabilities or valuation issues. We may also be subject to risks related to cybersecurity incidents or vulnerabilities of the acquired company and the acquired systems. We may not be able to successfully integrate acquired companies. We may encounter problems with the integration of new businesses, including: financial control and computer system compatibility; unanticipated costs and liabilities; unanticipated quality or client problems with acquired products or services; differing regulatory and industry standards; diversion of management's attention; adverse effects on existing business relationships with suppliers and clients; loss of key associates; and significant depreciation and amortization expenses related to acquired assets. To finance future acquisitions, we may have to increase our borrowing or sell equity or debt securities to the public. If we fail to integrate our acquisitions, our business, financial condition, and results of operations could be materially and adversely affected. Failed acquisitions could also produce material and unpredictable impairment charges as we review our acquired assets.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Risks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If others claim that we have infringed their intellectual property rights, we could be liable for significant damages or could be required to change our processes. </w:t>
      </w:r>
      <w:r>
        <w:rPr>
          <w:rFonts w:ascii="Arial" w:cs="Arial" w:eastAsia="Arial" w:hAnsi="Arial"/>
          <w:sz w:val="18"/>
          <w:szCs w:val="18"/>
          <w:color w:val="auto"/>
        </w:rPr>
        <w:t>We have agreed to indemnify many of our clients against claims that our products and services infringe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proprietary rights of others. We also use certain open- source software in our products, which may subject us to suits by persons claiming ownership of what we believe to be open-source software. Infringement claims have been and will in the future be asserted with regard to our software solutions and services. Such claims, whether with or without merit, are time-consuming, may result in costly litigation and may not be resolved on terms favorable to us. If our defense of such claims is not successful, we could be forced to pay damages or could be subject to injunctions that would cause us to cease making or selling certain applications or force us to redesign applications.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Our failure to protect our intellectual property and proprietary rights may adversely affect our competitive position. </w:t>
      </w:r>
      <w:r>
        <w:rPr>
          <w:rFonts w:ascii="Arial" w:cs="Arial" w:eastAsia="Arial" w:hAnsi="Arial"/>
          <w:sz w:val="18"/>
          <w:szCs w:val="18"/>
          <w:color w:val="auto"/>
        </w:rPr>
        <w:t>Our success and</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compete depend in part upon protecting our proprietary systems and technology. Unauthorized parties may attempt to copy or access systems or technology that we consider proprietary. We actively take steps to protect our intellectual property and proprietary rights, including entering into agreements with users of our services for that purpose and maintaining security measures. However, these steps may be inadequate to prevent misappropriation. Policing unauthorized use of our proprietary rights is difficult and misappropriation or litigation relating to such matters could have a material negative effect on our results of operation.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A material weakness in our internal controls could have a material adverse effect on us. </w:t>
      </w:r>
      <w:r>
        <w:rPr>
          <w:rFonts w:ascii="Arial" w:cs="Arial" w:eastAsia="Arial" w:hAnsi="Arial"/>
          <w:sz w:val="18"/>
          <w:szCs w:val="18"/>
          <w:color w:val="auto"/>
        </w:rPr>
        <w:t>Effective internal controls are necessary for</w:t>
      </w:r>
      <w:r>
        <w:rPr>
          <w:rFonts w:ascii="Arial" w:cs="Arial" w:eastAsia="Arial" w:hAnsi="Arial"/>
          <w:sz w:val="18"/>
          <w:szCs w:val="18"/>
          <w:b w:val="1"/>
          <w:bCs w:val="1"/>
          <w:color w:val="auto"/>
        </w:rPr>
        <w:t xml:space="preserve"> </w:t>
      </w:r>
      <w:r>
        <w:rPr>
          <w:rFonts w:ascii="Arial" w:cs="Arial" w:eastAsia="Arial" w:hAnsi="Arial"/>
          <w:sz w:val="18"/>
          <w:szCs w:val="18"/>
          <w:color w:val="auto"/>
        </w:rPr>
        <w:t>us to provide reasonable assurance with respect to our financial reports and to mitigate risk of fraud. If material weaknesses in our internal controls are discovered or occur in the future, our consolidated financial statements may contain material misstatements and we could be required to restate our financial results, which could materially and adversely affect our business and results of operations or financial condition, restrict our ability to access the capital markets, require us to expend significant resources to correct the weaknesses or deficiencies, subject us to fines, penalties or judgments, harm our reputation, or otherwise cause a decline in investor confidence.</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The loss of key associates and difficulties in hiring and retaining associates could adversely affect our business. </w:t>
      </w:r>
      <w:r>
        <w:rPr>
          <w:rFonts w:ascii="Arial" w:cs="Arial" w:eastAsia="Arial" w:hAnsi="Arial"/>
          <w:sz w:val="18"/>
          <w:szCs w:val="18"/>
          <w:color w:val="auto"/>
        </w:rPr>
        <w:t>We depend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and abilities of our senior management and other key associates. Our Company has grown significantly in recent years and our management remains concentrated in a small number of highly qualified individuals. If we lose one or more of our key associates, we could suffer a loss of managerial experience, and management resources would have to be diverted from other activities to compensate for this loss. We do not have employment agreements with any of our executive officers. Further, we continue to face a competitive market for hiring and retaining skilled associates. Difficulties in hiring and retaining skilled associates may restrict our ability to adequately support our business needs and/or result in increased personnel costs. There is no assurance that we will be able to attract and retain the personnel necessary to maintain the Company’s strategic direction.</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Unfavorable resolution of tax contingencies or unfavorable future tax law changes could adversely affect our tax expense.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positions result in a significant net deferred income tax liability on our consolidated balance sheet. Unfavorable future tax law changes, including increasing U.S. corporate tax rates, could increase this net liability and negatively impact our provision for income taxes, net income, and cash flow.</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b w:val="1"/>
          <w:bCs w:val="1"/>
          <w:color w:val="auto"/>
        </w:rPr>
        <w:t xml:space="preserve">The impairment of a significant portion of our goodwill and intangible assets would adversely affect our results of operations.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includes goodwill and intangible assets that represent a significant portion of our total assets as of June 30, 2024. On an annual basis, and whenever circumstances require, we review our goodwill and intangible assets for impairment. If the carrying value of a material asset is determined to be impaired, it will be written down to fair value by a charge to operating earnings. An impairment of a significant portion of our goodwill or intangible assets could have a material negative effect on our operating results.</w:t>
      </w:r>
    </w:p>
    <w:p>
      <w:pPr>
        <w:spacing w:after="0" w:line="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An increase in interest rates could increase our borrowing costs. </w:t>
      </w:r>
      <w:r>
        <w:rPr>
          <w:rFonts w:ascii="Arial" w:cs="Arial" w:eastAsia="Arial" w:hAnsi="Arial"/>
          <w:sz w:val="18"/>
          <w:szCs w:val="18"/>
          <w:color w:val="auto"/>
        </w:rPr>
        <w:t>Although our debt borrowing levels have historically been low, we may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additional or increased borrowings in the future under existing or new debt facilities to support operations, finance acquisitions, or fund stock repurchases. Our current credit facilities bear interest at variable rates. Increases in interest rates on variable-rate debt would increase our interest expense, which could negatively impact our results of operations.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Risk Management and Strategy</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our increasingly interconnected environment, information is inherently exposed to a growing number of risks, threats, and vulnerabilities. As a provider of products and services to financial institutions, Jack Henry integrates industry-standard frameworks, policies, and procedures to securely process and store sensitive information, prioritizing the protection of our associates, clients, and their private data from the ever-evolving cyber threat environment.</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Jack Henry’s information and cybersecurity program is a key component of our overall enterprise risk management and is maintained by a team of diverse, highly skilled cybersecurity professionals, as well as a portfolio of investments in modern technology, including artificial intelligence and machine learning. The program safeguards Jack Henry and client confidentiality and privacy by systematically identifying, assessing, and managing material risks and cybersecurity threats through use of comprehensive cyber defense, threat and vulnerability management, and cyber intelligence. Our cybersecurity program includes continuous enterprise monitoring with well-defined and rehearsed business resilience and incident response procedures. Further, we use third-party vendors and consultants to assist in identifying and assessing cybersecurity risks.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Jack Henry systems and services undergo regular reviews performed by the same regulatory agencies that review financial institutions: Federal Reserve Bank (“FRB”), FDIC, Office of the Comptroller of the Currency (“OCC”), NCUA, and the CFPB, among others. Reviews such as those by the Federal Banking Agencies (comprised of the FDIC, FRB, and the OCC) assess and identify security gaps or flaws in controls. Critical services provided to our clients are subject to annual System and Organization Controls (“SOC”) reviews by independent auditors.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associates and contractors play a vital role in the safeguarding of systems and data. Associates and contractors complete mandatory annual security awareness training to ensure they stay abreast of the latest best practices and related cyber threats. Additionally, we conduct routine phishing exercises to help associates and contractors identify and responsibly respond to suspicious emails. Throughout the year, we target supplemental training and education to higher-risk individuals and teams.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Jack Henry relies on third-party service providers to deliver services and products to our clients, and we evaluate and attempt to mitigate the cybersecurity risks associated with the use of these third-party service providers. We conduct evaluations and risk assessments of third-party service providers prior to engagement and on an ongoing periodic basis to ensure our standards for security are maintained. Our strategic risk management committees review and address any identified risks.</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fiscal year 2024, we did not identify any risks from cybersecurity threats, including as a result of any previous cybersecurity incidents, that have materially affected our business strategy, results of operations, or financial condition.</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large financial technology provider, we continually face risks from cybersecurity threats that, if realized, are reasonably likely to materially affect us and our business strategy, results of operations, or financial condition. Despite our efforts to identify and respond to cybersecurity threats, we cannot ensure that we will not experience material cybersecurity incidents in the future or that we have not experienced an undetected incident. For a full discussion of cybersecurity risks, see the section entitled “Risk Factors” in Item 1A.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Cyber Security Governance and Oversight</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of Directors maintains ultimate oversight over risk functions but has delegated certain oversight responsibilities for enterprise and operational risks, including cybersecurity risk, to the Board’s Risk and Compliance Committee. The Risk and Compliance Committee’s obligations include overseeing Jack Henry’s risk assessment and management programs and reviewing risk preparedness. Our Audit Committee oversees financial risks and would also be informed of a material cybersecurity incident that could potentially have a material impact on our financial statements. The Chief Information Security Officer (“CISO”) reports to the Risk and Compliance Committee and to the full Board of Directors on a quarterly basis on information security matters. Additionally, the CISO meets with the Risk and Compliance Committee at least annually to evaluate our overall security environment and organization.</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Board of Directors, through the Risk and Compliance Committee, maintains oversight for cybersecurity risks, management is primarily responsible for identifying, assessing, and managing material cybersecurity risks within our broader risk management program. Management has established the Enterprise Risk Management Committee, headed by Company executives, to monitor the governance, risk, and compliance environment for Jack Henry, which includes review of cybersecurity risk. Management has also adopted specific policies and processes to monitor cybersecurity threats and to mitigate such threats as they arise. These policies and procedures include, among other things, an incident response program, which includes professionals with diverse backgrounds and skillsets, led by our CISO. Our incident response team is designed to monitor and assess cyber and information security related incidents. Any cybersecurity incidents that meet or exceed preestablished thresholds are escalated to management to establish the scope of the threat, apply mitigation and remediation efforts, and assess the need for disclosure to clients, third-party service providers, and regulators.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CISO, who reports directly to the Chief Risk Officer, has primary responsibility over Jack Henry’s overall information security strategy, policy, security engineering, operations, and cybersecurity threat detection and response. Our CISO has more than 20 years of technology and cybersecurity experience, including previous senior leadership roles at major financial institutions. The information security team, under the direction of the CISO, regularly monitors general cybersecurity trends and institutes preventative efforts and defensive measures to protect against cybersecurity threats.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own 154 acres located in Monett, Missouri on which we maintain eight office buildings, plus shipping and receiving, security, and maintenance buildings. We also own buildings in Allen, Texas; Birmingham, Alabama; Lenexa, Kansas; Angola, Indiana; Shawnee Mission, Kansas; and Springfield, Missouri. Our owned facilities represent approximately 795,000 square feet of office space in five states. We have 19 leased office facilities in 15 states, which total approximately 474,000 square feet. Of this total, approximately 54,700 square feet relates to our Elizabethtown, Kentucky leased office facility of which approximately 50,900 square feet is subleased. The remaining owned and leased office facilities are for normal business purposes.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own five aircraft. Many of our clients are located in communities that do not have an easily accessible commercial airline service. We primarily use our aircraft in connection with implementation, sales of systems and internal requirements for day-to-day operations. Transportation costs for implementation and other client services are billed to our clients. We lease property, including real estate and related facilities, at the Monett, Missouri regional airport.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generally accepted accounting principles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quoted on the Nasdaq Global Select Market (“Nasdaq”) under the symbol “JKHY."</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established a practice of paying quarterly dividends in fiscal 1991 and has paid dividends with respect to every quarter since that time. The declaration and payment of any future dividends will continue to be at the discretion of our Board of Directors and will depend upon, among other factors, our earnings, capital requirements, contractual restrictions, and operating and financial condition. The Company does not currently foresee any changes in its dividend practices.</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August 15, 2024, there were approximately 344,699 holders of the Company’s common stock, including individual participants in security position listings.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the Company were repurchased during the quarter ended June 30,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2440" w:type="dxa"/>
            <w:vAlign w:val="bottom"/>
            <w:vMerge w:val="restart"/>
          </w:tcPr>
          <w:p>
            <w:pPr>
              <w:jc w:val="center"/>
              <w:ind w:left="750"/>
              <w:spacing w:after="0"/>
              <w:rPr>
                <w:sz w:val="20"/>
                <w:szCs w:val="20"/>
                <w:color w:val="auto"/>
              </w:rPr>
            </w:pPr>
            <w:r>
              <w:rPr>
                <w:rFonts w:ascii="Arial" w:cs="Arial" w:eastAsia="Arial" w:hAnsi="Arial"/>
                <w:sz w:val="18"/>
                <w:szCs w:val="18"/>
                <w:b w:val="1"/>
                <w:bCs w:val="1"/>
                <w:color w:val="auto"/>
                <w:w w:val="98"/>
              </w:rPr>
              <w:t>Total Number of</w:t>
            </w:r>
          </w:p>
        </w:tc>
        <w:tc>
          <w:tcPr>
            <w:tcW w:w="14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Maximum Number of</w:t>
            </w: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2440" w:type="dxa"/>
            <w:vAlign w:val="bottom"/>
            <w:vMerge w:val="continue"/>
          </w:tcPr>
          <w:p>
            <w:pPr>
              <w:spacing w:after="0"/>
              <w:rPr>
                <w:sz w:val="16"/>
                <w:szCs w:val="16"/>
                <w:color w:val="auto"/>
              </w:rPr>
            </w:pPr>
          </w:p>
        </w:tc>
        <w:tc>
          <w:tcPr>
            <w:tcW w:w="14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Average Price</w:t>
            </w:r>
          </w:p>
        </w:tc>
        <w:tc>
          <w:tcPr>
            <w:tcW w:w="18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Shares Purchased</w:t>
            </w:r>
          </w:p>
        </w:tc>
        <w:tc>
          <w:tcPr>
            <w:tcW w:w="22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2440" w:type="dxa"/>
            <w:vAlign w:val="bottom"/>
          </w:tcPr>
          <w:p>
            <w:pPr>
              <w:jc w:val="center"/>
              <w:ind w:left="750"/>
              <w:spacing w:after="0" w:line="176" w:lineRule="exact"/>
              <w:rPr>
                <w:sz w:val="20"/>
                <w:szCs w:val="20"/>
                <w:color w:val="auto"/>
              </w:rPr>
            </w:pPr>
            <w:r>
              <w:rPr>
                <w:rFonts w:ascii="Arial" w:cs="Arial" w:eastAsia="Arial" w:hAnsi="Arial"/>
                <w:sz w:val="18"/>
                <w:szCs w:val="18"/>
                <w:b w:val="1"/>
                <w:bCs w:val="1"/>
                <w:color w:val="auto"/>
                <w:w w:val="99"/>
              </w:rPr>
              <w:t>Shares</w:t>
            </w:r>
          </w:p>
        </w:tc>
        <w:tc>
          <w:tcPr>
            <w:tcW w:w="1400" w:type="dxa"/>
            <w:vAlign w:val="bottom"/>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323"/>
        </w:trPr>
        <w:tc>
          <w:tcPr>
            <w:tcW w:w="3000" w:type="dxa"/>
            <w:vAlign w:val="bottom"/>
          </w:tcPr>
          <w:p>
            <w:pPr>
              <w:spacing w:after="0"/>
              <w:rPr>
                <w:sz w:val="24"/>
                <w:szCs w:val="24"/>
                <w:color w:val="auto"/>
              </w:rPr>
            </w:pPr>
          </w:p>
        </w:tc>
        <w:tc>
          <w:tcPr>
            <w:tcW w:w="2440" w:type="dxa"/>
            <w:vAlign w:val="bottom"/>
          </w:tcPr>
          <w:p>
            <w:pPr>
              <w:jc w:val="center"/>
              <w:ind w:left="770"/>
              <w:spacing w:after="0"/>
              <w:rPr>
                <w:sz w:val="20"/>
                <w:szCs w:val="20"/>
                <w:color w:val="auto"/>
              </w:rPr>
            </w:pPr>
            <w:r>
              <w:rPr>
                <w:rFonts w:ascii="Arial" w:cs="Arial" w:eastAsia="Arial" w:hAnsi="Arial"/>
                <w:sz w:val="18"/>
                <w:szCs w:val="18"/>
                <w:b w:val="1"/>
                <w:bCs w:val="1"/>
                <w:color w:val="auto"/>
                <w:w w:val="94"/>
              </w:rPr>
              <w:t xml:space="preserve">Purchased </w:t>
            </w:r>
            <w:r>
              <w:rPr>
                <w:rFonts w:ascii="Arial" w:cs="Arial" w:eastAsia="Arial" w:hAnsi="Arial"/>
                <w:sz w:val="23"/>
                <w:szCs w:val="23"/>
                <w:b w:val="1"/>
                <w:bCs w:val="1"/>
                <w:color w:val="auto"/>
                <w:w w:val="94"/>
                <w:vertAlign w:val="superscript"/>
              </w:rPr>
              <w:t>(1)</w:t>
            </w:r>
          </w:p>
        </w:tc>
        <w:tc>
          <w:tcPr>
            <w:tcW w:w="1400" w:type="dxa"/>
            <w:vAlign w:val="bottom"/>
          </w:tcPr>
          <w:p>
            <w:pPr>
              <w:ind w:left="340"/>
              <w:spacing w:after="0"/>
              <w:rPr>
                <w:sz w:val="20"/>
                <w:szCs w:val="20"/>
                <w:color w:val="auto"/>
              </w:rPr>
            </w:pPr>
            <w:r>
              <w:rPr>
                <w:rFonts w:ascii="Arial" w:cs="Arial" w:eastAsia="Arial" w:hAnsi="Arial"/>
                <w:sz w:val="18"/>
                <w:szCs w:val="18"/>
                <w:b w:val="1"/>
                <w:bCs w:val="1"/>
                <w:color w:val="auto"/>
              </w:rPr>
              <w:t>of Share</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Announced Plans</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1"/>
              </w:rPr>
              <w:t xml:space="preserve">Plans </w:t>
            </w:r>
            <w:r>
              <w:rPr>
                <w:rFonts w:ascii="Arial" w:cs="Arial" w:eastAsia="Arial" w:hAnsi="Arial"/>
                <w:sz w:val="23"/>
                <w:szCs w:val="23"/>
                <w:b w:val="1"/>
                <w:bCs w:val="1"/>
                <w:color w:val="auto"/>
                <w:w w:val="91"/>
                <w:vertAlign w:val="superscript"/>
              </w:rPr>
              <w:t>(1)</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April 1 — April 30, 2024</w:t>
            </w:r>
          </w:p>
        </w:tc>
        <w:tc>
          <w:tcPr>
            <w:tcW w:w="244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3,667,497</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May 1 — May 31, 2024</w:t>
            </w:r>
          </w:p>
        </w:tc>
        <w:tc>
          <w:tcPr>
            <w:tcW w:w="2440" w:type="dxa"/>
            <w:vAlign w:val="bottom"/>
          </w:tcPr>
          <w:p>
            <w:pPr>
              <w:jc w:val="center"/>
              <w:ind w:left="770"/>
              <w:spacing w:after="0"/>
              <w:rPr>
                <w:sz w:val="20"/>
                <w:szCs w:val="20"/>
                <w:color w:val="auto"/>
              </w:rPr>
            </w:pPr>
            <w:r>
              <w:rPr>
                <w:rFonts w:ascii="Arial" w:cs="Arial" w:eastAsia="Arial" w:hAnsi="Arial"/>
                <w:sz w:val="18"/>
                <w:szCs w:val="18"/>
                <w:color w:val="auto"/>
                <w:w w:val="99"/>
              </w:rPr>
              <w:t>—</w:t>
            </w:r>
          </w:p>
        </w:tc>
        <w:tc>
          <w:tcPr>
            <w:tcW w:w="1400" w:type="dxa"/>
            <w:vAlign w:val="bottom"/>
          </w:tcPr>
          <w:p>
            <w:pPr>
              <w:ind w:left="100"/>
              <w:spacing w:after="0"/>
              <w:rPr>
                <w:sz w:val="20"/>
                <w:szCs w:val="20"/>
                <w:color w:val="auto"/>
              </w:rPr>
            </w:pPr>
            <w:r>
              <w:rPr>
                <w:rFonts w:ascii="Arial" w:cs="Arial" w:eastAsia="Arial" w:hAnsi="Arial"/>
                <w:sz w:val="18"/>
                <w:szCs w:val="18"/>
                <w:color w:val="auto"/>
              </w:rPr>
              <w:t>$</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3,667,497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1 — June 30, 2024</w:t>
            </w:r>
          </w:p>
        </w:tc>
        <w:tc>
          <w:tcPr>
            <w:tcW w:w="244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8"/>
              </w:rPr>
              <w:t>49,840</w:t>
            </w:r>
          </w:p>
        </w:tc>
        <w:tc>
          <w:tcPr>
            <w:tcW w:w="1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$161.62</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49,840</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3,617,657</w:t>
            </w:r>
          </w:p>
        </w:tc>
        <w:tc>
          <w:tcPr>
            <w:tcW w:w="0" w:type="dxa"/>
            <w:vAlign w:val="bottom"/>
          </w:tcPr>
          <w:p>
            <w:pPr>
              <w:spacing w:after="0"/>
              <w:rPr>
                <w:sz w:val="1"/>
                <w:szCs w:val="1"/>
                <w:color w:val="auto"/>
              </w:rPr>
            </w:pPr>
          </w:p>
        </w:tc>
      </w:tr>
      <w:tr>
        <w:trPr>
          <w:trHeight w:val="247"/>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40" w:type="dxa"/>
            <w:vAlign w:val="bottom"/>
          </w:tcPr>
          <w:p>
            <w:pPr>
              <w:jc w:val="center"/>
              <w:ind w:left="770"/>
              <w:spacing w:after="0"/>
              <w:rPr>
                <w:sz w:val="20"/>
                <w:szCs w:val="20"/>
                <w:color w:val="auto"/>
              </w:rPr>
            </w:pPr>
            <w:r>
              <w:rPr>
                <w:rFonts w:ascii="Arial" w:cs="Arial" w:eastAsia="Arial" w:hAnsi="Arial"/>
                <w:sz w:val="18"/>
                <w:szCs w:val="18"/>
                <w:b w:val="1"/>
                <w:bCs w:val="1"/>
                <w:color w:val="auto"/>
                <w:w w:val="98"/>
              </w:rPr>
              <w:t>49,840</w:t>
            </w:r>
          </w:p>
        </w:tc>
        <w:tc>
          <w:tcPr>
            <w:tcW w:w="1400" w:type="dxa"/>
            <w:vAlign w:val="bottom"/>
          </w:tcPr>
          <w:p>
            <w:pPr>
              <w:ind w:left="100"/>
              <w:spacing w:after="0"/>
              <w:rPr>
                <w:sz w:val="20"/>
                <w:szCs w:val="20"/>
                <w:color w:val="auto"/>
              </w:rPr>
            </w:pPr>
            <w:r>
              <w:rPr>
                <w:rFonts w:ascii="Arial" w:cs="Arial" w:eastAsia="Arial" w:hAnsi="Arial"/>
                <w:sz w:val="18"/>
                <w:szCs w:val="18"/>
                <w:b w:val="1"/>
                <w:bCs w:val="1"/>
                <w:color w:val="auto"/>
              </w:rPr>
              <w:t>$161.62</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8"/>
              </w:rPr>
              <w:t>49,840</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3,617,657</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8"/>
        <w:spacing w:after="0" w:line="293" w:lineRule="auto"/>
        <w:tabs>
          <w:tab w:leader="none" w:pos="177" w:val="left"/>
        </w:tabs>
        <w:numPr>
          <w:ilvl w:val="0"/>
          <w:numId w:val="13"/>
        </w:numPr>
        <w:rPr>
          <w:rFonts w:ascii="Arial" w:cs="Arial" w:eastAsia="Arial" w:hAnsi="Arial"/>
          <w:sz w:val="9"/>
          <w:szCs w:val="9"/>
          <w:color w:val="auto"/>
        </w:rPr>
      </w:pPr>
      <w:r>
        <w:rPr>
          <w:rFonts w:ascii="Arial" w:cs="Arial" w:eastAsia="Arial" w:hAnsi="Arial"/>
          <w:sz w:val="14"/>
          <w:szCs w:val="14"/>
          <w:color w:val="auto"/>
        </w:rPr>
        <w:t>Total stock repurchase authorizations approved by the Company's Board of Directors as of May 14, 2021 were for 35.0 million shares. Under these authorizations, the Company has repurchased and not re-issued 31,372,959 shares and has repurchased and re-issued 9,384 shares. The authorizations have no specific dollar or share price targets and no expiration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chart presents a comparison for the five-year period ended June 30, 2024, of the market performance of the Company’s common stock with the Standard &amp; Poor's 500 ("S&amp;P 500") Index and the Standard &amp; Poor's Composite 1500 Software &amp; Services ("S&amp;P 1500 Software &amp; Services") Index. Historic stock price performance is not necessarily indicative of future stock price performance.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Among Jack Henry &amp; Associates, Inc., the S&amp;P 500 Index, and the S&amp;P 1500 Software &amp; Services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62230</wp:posOffset>
            </wp:positionV>
            <wp:extent cx="5846445" cy="3686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644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depicts a line graph with the following values: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40" w:type="dxa"/>
            <w:vAlign w:val="bottom"/>
          </w:tcPr>
          <w:p>
            <w:pPr>
              <w:spacing w:after="0"/>
              <w:rPr>
                <w:sz w:val="20"/>
                <w:szCs w:val="20"/>
                <w:color w:val="auto"/>
              </w:rPr>
            </w:pPr>
          </w:p>
        </w:tc>
        <w:tc>
          <w:tcPr>
            <w:tcW w:w="130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2019</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2020</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2021</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2022</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2023</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2024</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JKHY</w:t>
            </w:r>
          </w:p>
        </w:tc>
        <w:tc>
          <w:tcPr>
            <w:tcW w:w="13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100.00</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138.88</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124.80</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138.92</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130.65</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131.34</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S&amp;P 500</w:t>
            </w:r>
          </w:p>
        </w:tc>
        <w:tc>
          <w:tcPr>
            <w:tcW w:w="1300" w:type="dxa"/>
            <w:vAlign w:val="bottom"/>
          </w:tcPr>
          <w:p>
            <w:pPr>
              <w:jc w:val="center"/>
              <w:ind w:left="30"/>
              <w:spacing w:after="0"/>
              <w:rPr>
                <w:sz w:val="20"/>
                <w:szCs w:val="20"/>
                <w:color w:val="auto"/>
              </w:rPr>
            </w:pPr>
            <w:r>
              <w:rPr>
                <w:rFonts w:ascii="Arial" w:cs="Arial" w:eastAsia="Arial" w:hAnsi="Arial"/>
                <w:sz w:val="18"/>
                <w:szCs w:val="18"/>
                <w:color w:val="auto"/>
                <w:w w:val="98"/>
              </w:rPr>
              <w:t>100.00</w:t>
            </w: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107.51</w:t>
            </w: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151.36</w:t>
            </w: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135.29</w:t>
            </w: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161.80</w:t>
            </w: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201.54</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S&amp;P Composite 1500 Software &amp; Services</w:t>
            </w:r>
          </w:p>
        </w:tc>
        <w:tc>
          <w:tcPr>
            <w:tcW w:w="13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100.00</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127.92</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170.73</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142.67</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185.15</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235.60</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This comparison assumes $100 was invested on June 30, 2019, and assumes reinvestments of dividends.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stock performance graph shall not be deemed “filed” for purposes of Section 18 of the Exchange Act or incorporated by reference into any filing of the Company under the Securities Act of 1933, as amended, or the Exchange Act, except as shall be expressly set forth by specific reference in such filing.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section provides management's view of the Company's financial condition and results of operations and should be read in conjunction with the audited consolidated financial statements, and related notes included elsewhere in this report. All dollar and share amounts, except per share amounts, are in thousands and discussions compare fiscal 2024 to fiscal 2023. Discussions of fiscal 2022 items and comparisons between fiscal 2022 and fiscal 2023 that are not included in this Form 10-K can be found in Part II, Item 7 “Management’s Discussion and Analysis of Financial Condition and Results of Operations” in our Annual Report on Form 10-K for the fiscal year ended June 30, 2023.</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Jack Henry &amp; Associates, Inc. is a well-rounded financial technology company headquartered in Monett, Missouri, that employs approximately 7,170 full-time and part-time associates nationwide, and is a leading provider of technology solutions and payment processing services primarily to community and regional financial institutions. Our solutions serve approximately 7,500 clients and consist of integrated data processing systems solutions to banks ranging from de novo to multi-billion-dollar institutions with assets up to $50 billion, core data processing solutions for credit unions of all sizes, and non-core highly specialized core-agnostic products and services that enable financial institutions of every asset size and charter, and diverse corporate entities outside the financial services industry, to mitigate and control risks, optimize revenue and growth opportunities, and contain costs. Our integrated solutions are available for on-premise installation and delivery in our private and public cloud.</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of our solutions shares the fundamental commitment to provide high-quality business systems, service levels that consistently exceed client expectations, and integration of solutions and practical new technologies. The quality of our solutions, our high service standards, and the fundamental way we do business typically foster long-term client relationships, attract prospective clients, and have enabled us to capture substantial market share.</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Through internal product development, disciplined acquisitions, and alliances with companies offering niche solutions that complement our proprietary solutions, we regularly introduce new products and services and generate new cross-sales opportunities. We provide compatible computer hardware for our on-premise installations and secure processing environments for our outsourced solutions in our private and public cloud. We perform data conversions, software implementations, initial and ongoing client training, and ongoing client support services.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primary competitive advantage is client service. Our support infrastructure and strict standards provide service levels that generate high levels of client satisfaction and retention. We consistently measure client satisfaction using a variety of surveys, such as an annual survey on the client's anniversary date and randomly-generated surveys initiated each day by routine support requests. Dedicated surveys are also used to grade specific aspects of our client experience, including product implementation, education, and consulting services.</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fees that predominantly have contract terms of six years at inception; "product delivery and services" revenue, which includes revenue from the sales of licenses, implementation services, deconversion fees, consulting, and hardware; and "on-premise support" revenue, composed of maintenance fees which primarily contain annual contract terms. Processing revenue includes: "remittance" revenue from payment processing, remote capture, and ACH transactions; "card" fees, including card transaction processing and monthly fees; and "transaction and digital" revenue, which includes transaction and mobile processing fees. We continually seek opportunities to increase revenue while at the same time containing costs to expand margins.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four reportable segments: Core, Payments, Complementary, and Corporate and Other. The respective segments include all related revenues along with the related cost of sales.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the major components of the results of operations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2024 COMPARED TO FISCAL 2023</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31, 2022, the Company acquired all of the equity interest in Payrailz. Excluded Payrailz related revenue and operating expenses that are mentioned in the discussion below are for the first two months only of fiscal year ended June 30, 2024, since the first two months of fiscal year ended June 30, 2023, do not include Payrailz.</w:t>
      </w:r>
    </w:p>
    <w:p>
      <w:pPr>
        <w:spacing w:after="0" w:line="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fiscal 2024, total revenue increased 6.6% or $137,841, compared to fiscal 2023. Reducing total revenue for deconversion revenue of $16,554 in the current fiscal year and $31,775 in the prior fiscal year, and for Payrailz related revenue of $1,945 in the current fiscal year, results in a 7.4% increase, or $151,117. This increase was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primarily driven by growth in data processing and hosting within cloud revenue as new clients were added and volumes expanded, card processing revenue from expanded fraud detection and prevention services and the addition of new/add-on services, digital (including Banno) revenue as active monthly users and volumes increased, payment processing revenue from expanding volumes and new client revenue, and growth in remote capture and ACH revenue.</w:t>
      </w:r>
    </w:p>
    <w:p>
      <w:pPr>
        <w:spacing w:after="0" w:line="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increased 8.1%, or $ 129,138, in fiscal 2024 compared to fiscal 2023. Reducing total operating expenses for deconversion costs of $3,408 in the current fiscal year and $4,261 in the prior fiscal year, and for VEDIP related costs of $16,443 and Payrailz related expenses of $4,182, in the current fiscal year, and excluding the impact of the gain on sale of assets, net, of $4,567 in the prior fiscal year, results in a 6.6% increase, or $104,798. The VEDIP program was a Company voluntary separation program offered to certain eligible associates beginning in July 2023. This increase was primarily due to higher personnel costs, increased direct costs consistent with increases in the related revenue, and internal licenses and fees from price increases and higher deployments in the current fiscal year.</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move into fiscal 2025 following strong performance in fiscal 2024. Significant portions of our business continue to provide recurring revenue and our sales pipeline is also encouraging. Our clients continue to face regulatory and operational challenges which our products and services address, and in these times, they have an even greater need for our solutions that directly address institutional profitability, efficiency, and security. We believe our strong balance sheet, access to extensive lines of credit, the strength of our existing product line and an unwavering commitment to superior client service position us well to address current and future opportunities.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detailed discussion of the major components of the results of operations for the fiscal year ended June 30, 2024 compared to the fiscal year ended June 30, 2023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8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Services and Support Revenue</w:t>
            </w:r>
          </w:p>
        </w:tc>
        <w:tc>
          <w:tcPr>
            <w:tcW w:w="520" w:type="dxa"/>
            <w:vAlign w:val="bottom"/>
          </w:tcPr>
          <w:p>
            <w:pPr>
              <w:spacing w:after="0"/>
              <w:rPr>
                <w:sz w:val="22"/>
                <w:szCs w:val="22"/>
                <w:color w:val="auto"/>
              </w:rPr>
            </w:pPr>
          </w:p>
        </w:tc>
        <w:tc>
          <w:tcPr>
            <w:tcW w:w="2440" w:type="dxa"/>
            <w:vAlign w:val="bottom"/>
            <w:gridSpan w:val="5"/>
            <w:vMerge w:val="restart"/>
          </w:tcPr>
          <w:p>
            <w:pPr>
              <w:jc w:val="right"/>
              <w:ind w:right="640"/>
              <w:spacing w:after="0"/>
              <w:rPr>
                <w:sz w:val="20"/>
                <w:szCs w:val="20"/>
                <w:color w:val="auto"/>
              </w:rPr>
            </w:pPr>
            <w:r>
              <w:rPr>
                <w:rFonts w:ascii="Arial" w:cs="Arial" w:eastAsia="Arial" w:hAnsi="Arial"/>
                <w:sz w:val="18"/>
                <w:szCs w:val="18"/>
                <w:color w:val="auto"/>
              </w:rPr>
              <w:t>Year Ended June 30,</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2024</w:t>
            </w:r>
          </w:p>
        </w:tc>
        <w:tc>
          <w:tcPr>
            <w:tcW w:w="6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2023</w:t>
            </w:r>
          </w:p>
        </w:tc>
        <w:tc>
          <w:tcPr>
            <w:tcW w:w="1220" w:type="dxa"/>
            <w:vAlign w:val="bottom"/>
            <w:gridSpan w:val="3"/>
          </w:tcPr>
          <w:p>
            <w:pPr>
              <w:jc w:val="center"/>
              <w:ind w:left="10"/>
              <w:spacing w:after="0"/>
              <w:rPr>
                <w:sz w:val="20"/>
                <w:szCs w:val="20"/>
                <w:color w:val="auto"/>
              </w:rPr>
            </w:pPr>
            <w:r>
              <w:rPr>
                <w:rFonts w:ascii="Arial" w:cs="Arial" w:eastAsia="Arial" w:hAnsi="Arial"/>
                <w:sz w:val="18"/>
                <w:szCs w:val="18"/>
                <w:color w:val="auto"/>
                <w:w w:val="99"/>
              </w:rPr>
              <w:t>% Change</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1,275,954</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1,214,701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6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5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9"/>
              </w:rPr>
              <w:t>58%</w:t>
            </w: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58%</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Services and support includes: "private and public cloud" fees, which predominantly have contract terms of six years at inception; "product delivery and services" revenue, which includes revenue from the sales of licenses, implementation services, deconversion fees, consulting, and hardware; and "on-premise support" revenue, which is composed primarily of maintenance fees with annual contract terms.</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fiscal year ended June 30, 2024, services and support revenue increased 5.0% compared to the prior fiscal year. Reducing total services and support revenue by deconversion revenue for each year, which totaled $16,554 in fiscal 2024 and $31,775 in fiscal 2023, and for Payrailz related revenue of $2 from the current fiscal year, services and support revenue grew 6.5%. This increase was primarily driven by higher data processing and hosting within cloud revenue, primarily from organic growth including the addition of new and migrating clients and expanding volumes.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Processing Revenue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right"/>
              <w:ind w:right="240"/>
              <w:spacing w:after="0" w:line="184"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3"/>
          </w:tcPr>
          <w:p>
            <w:pPr>
              <w:jc w:val="right"/>
              <w:ind w:right="520"/>
              <w:spacing w:after="0" w:line="169" w:lineRule="exact"/>
              <w:rPr>
                <w:sz w:val="20"/>
                <w:szCs w:val="20"/>
                <w:color w:val="auto"/>
              </w:rPr>
            </w:pPr>
            <w:r>
              <w:rPr>
                <w:rFonts w:ascii="Arial" w:cs="Arial" w:eastAsia="Arial" w:hAnsi="Arial"/>
                <w:sz w:val="18"/>
                <w:szCs w:val="18"/>
                <w:b w:val="1"/>
                <w:bCs w:val="1"/>
                <w:color w:val="auto"/>
              </w:rPr>
              <w:t>2024</w:t>
            </w:r>
          </w:p>
        </w:tc>
        <w:tc>
          <w:tcPr>
            <w:tcW w:w="600" w:type="dxa"/>
            <w:vAlign w:val="bottom"/>
          </w:tcPr>
          <w:p>
            <w:pPr>
              <w:spacing w:after="0"/>
              <w:rPr>
                <w:sz w:val="15"/>
                <w:szCs w:val="15"/>
                <w:color w:val="auto"/>
              </w:rPr>
            </w:pPr>
          </w:p>
        </w:tc>
        <w:tc>
          <w:tcPr>
            <w:tcW w:w="900" w:type="dxa"/>
            <w:vAlign w:val="bottom"/>
            <w:gridSpan w:val="2"/>
          </w:tcPr>
          <w:p>
            <w:pPr>
              <w:jc w:val="right"/>
              <w:ind w:right="500"/>
              <w:spacing w:after="0" w:line="169" w:lineRule="exact"/>
              <w:rPr>
                <w:sz w:val="20"/>
                <w:szCs w:val="20"/>
                <w:color w:val="auto"/>
              </w:rPr>
            </w:pPr>
            <w:r>
              <w:rPr>
                <w:rFonts w:ascii="Arial" w:cs="Arial" w:eastAsia="Arial" w:hAnsi="Arial"/>
                <w:sz w:val="18"/>
                <w:szCs w:val="18"/>
                <w:color w:val="auto"/>
                <w:w w:val="94"/>
              </w:rPr>
              <w:t>2023</w:t>
            </w:r>
          </w:p>
        </w:tc>
        <w:tc>
          <w:tcPr>
            <w:tcW w:w="1220" w:type="dxa"/>
            <w:vAlign w:val="bottom"/>
            <w:gridSpan w:val="3"/>
          </w:tcPr>
          <w:p>
            <w:pPr>
              <w:ind w:left="360"/>
              <w:spacing w:after="0" w:line="169"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939,589</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863,001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42%</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Processing revenue includes: "remittance" revenue from payment processing, remote capture, and ACH transactions; "card" fees, including card transaction processing and monthly fees; and "transaction and digital" revenue, which includes transaction and mobile processing fees.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Processing revenue increased 8.9% for the fiscal year ended June 30, 2024, compared to the fiscal year ended June 30, 2023. Reducing total processing revenue by Payrailz related revenue of $1,943 from the current fiscal year, processing revenue grew 8.6%. This increase was driven by growth in card processing primarily from expanded fraud detection and prevention services and growth in the addition of new/add-on services, digital revenue (including Banno) through growth in active monthly users and increased volumes as well as the introduction and ramping up of new add-on products, payment processing revenues as new clients increased and the active user base and transaction volumes expanded, and higher remote capture and ACH revenues.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right"/>
              <w:ind w:right="240"/>
              <w:spacing w:after="0" w:line="184"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3"/>
          </w:tcPr>
          <w:p>
            <w:pPr>
              <w:jc w:val="right"/>
              <w:ind w:right="520"/>
              <w:spacing w:after="0" w:line="169" w:lineRule="exact"/>
              <w:rPr>
                <w:sz w:val="20"/>
                <w:szCs w:val="20"/>
                <w:color w:val="auto"/>
              </w:rPr>
            </w:pPr>
            <w:r>
              <w:rPr>
                <w:rFonts w:ascii="Arial" w:cs="Arial" w:eastAsia="Arial" w:hAnsi="Arial"/>
                <w:sz w:val="18"/>
                <w:szCs w:val="18"/>
                <w:b w:val="1"/>
                <w:bCs w:val="1"/>
                <w:color w:val="auto"/>
              </w:rPr>
              <w:t>2024</w:t>
            </w:r>
          </w:p>
        </w:tc>
        <w:tc>
          <w:tcPr>
            <w:tcW w:w="600" w:type="dxa"/>
            <w:vAlign w:val="bottom"/>
          </w:tcPr>
          <w:p>
            <w:pPr>
              <w:spacing w:after="0"/>
              <w:rPr>
                <w:sz w:val="15"/>
                <w:szCs w:val="15"/>
                <w:color w:val="auto"/>
              </w:rPr>
            </w:pPr>
          </w:p>
        </w:tc>
        <w:tc>
          <w:tcPr>
            <w:tcW w:w="900" w:type="dxa"/>
            <w:vAlign w:val="bottom"/>
            <w:gridSpan w:val="2"/>
          </w:tcPr>
          <w:p>
            <w:pPr>
              <w:jc w:val="right"/>
              <w:ind w:right="500"/>
              <w:spacing w:after="0" w:line="169" w:lineRule="exact"/>
              <w:rPr>
                <w:sz w:val="20"/>
                <w:szCs w:val="20"/>
                <w:color w:val="auto"/>
              </w:rPr>
            </w:pPr>
            <w:r>
              <w:rPr>
                <w:rFonts w:ascii="Arial" w:cs="Arial" w:eastAsia="Arial" w:hAnsi="Arial"/>
                <w:sz w:val="18"/>
                <w:szCs w:val="18"/>
                <w:color w:val="auto"/>
                <w:w w:val="94"/>
              </w:rPr>
              <w:t>2023</w:t>
            </w:r>
          </w:p>
        </w:tc>
        <w:tc>
          <w:tcPr>
            <w:tcW w:w="1220" w:type="dxa"/>
            <w:vAlign w:val="bottom"/>
            <w:gridSpan w:val="3"/>
          </w:tcPr>
          <w:p>
            <w:pPr>
              <w:ind w:left="360"/>
              <w:spacing w:after="0" w:line="169"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1,299,477</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1,219,062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59%</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59%</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for fiscal 2024 increased 6.6% compared to fiscal 2023. Reducing total cost of revenue for deconversion costs of $2,231 in the current fiscal year and $ 2,046 in the prior fiscal year, and for Payrailz related costs of $3,334 in the current fiscal year, results in a 6.3% increase. This increase was driven by higher direct costs consistent with increases in the related revenue, higher internal licenses and fees from price increases and higher deployments in the current fiscal year, and increased personnel costs. Cost of revenue remained consistent as a percentage of total revenue for fiscal 2024 compared to fiscal 2023.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right"/>
              <w:ind w:right="240"/>
              <w:spacing w:after="0" w:line="184"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3"/>
          </w:tcPr>
          <w:p>
            <w:pPr>
              <w:jc w:val="right"/>
              <w:ind w:right="520"/>
              <w:spacing w:after="0" w:line="169" w:lineRule="exact"/>
              <w:rPr>
                <w:sz w:val="20"/>
                <w:szCs w:val="20"/>
                <w:color w:val="auto"/>
              </w:rPr>
            </w:pPr>
            <w:r>
              <w:rPr>
                <w:rFonts w:ascii="Arial" w:cs="Arial" w:eastAsia="Arial" w:hAnsi="Arial"/>
                <w:sz w:val="18"/>
                <w:szCs w:val="18"/>
                <w:b w:val="1"/>
                <w:bCs w:val="1"/>
                <w:color w:val="auto"/>
              </w:rPr>
              <w:t>2024</w:t>
            </w:r>
          </w:p>
        </w:tc>
        <w:tc>
          <w:tcPr>
            <w:tcW w:w="600" w:type="dxa"/>
            <w:vAlign w:val="bottom"/>
          </w:tcPr>
          <w:p>
            <w:pPr>
              <w:spacing w:after="0"/>
              <w:rPr>
                <w:sz w:val="15"/>
                <w:szCs w:val="15"/>
                <w:color w:val="auto"/>
              </w:rPr>
            </w:pPr>
          </w:p>
        </w:tc>
        <w:tc>
          <w:tcPr>
            <w:tcW w:w="900" w:type="dxa"/>
            <w:vAlign w:val="bottom"/>
            <w:gridSpan w:val="2"/>
          </w:tcPr>
          <w:p>
            <w:pPr>
              <w:jc w:val="right"/>
              <w:ind w:right="500"/>
              <w:spacing w:after="0" w:line="169" w:lineRule="exact"/>
              <w:rPr>
                <w:sz w:val="20"/>
                <w:szCs w:val="20"/>
                <w:color w:val="auto"/>
              </w:rPr>
            </w:pPr>
            <w:r>
              <w:rPr>
                <w:rFonts w:ascii="Arial" w:cs="Arial" w:eastAsia="Arial" w:hAnsi="Arial"/>
                <w:sz w:val="18"/>
                <w:szCs w:val="18"/>
                <w:color w:val="auto"/>
                <w:w w:val="94"/>
              </w:rPr>
              <w:t>2023</w:t>
            </w:r>
          </w:p>
        </w:tc>
        <w:tc>
          <w:tcPr>
            <w:tcW w:w="1220" w:type="dxa"/>
            <w:vAlign w:val="bottom"/>
            <w:gridSpan w:val="3"/>
          </w:tcPr>
          <w:p>
            <w:pPr>
              <w:ind w:left="360"/>
              <w:spacing w:after="0" w:line="169"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148,256</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142,678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devote significant effort and expense to develop new software and service products and continually upgrade and enhance our existing offerings. We believe our research and development efforts are highly efficient because of the extensive experience of our research and development staff and because our product development is highly client driven.</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for fiscal 2024 increased 3.9% compared to fiscal 2023. Reducing total research and development expenses for Payrailz related costs of $656 in the current fiscal year, results in a 3.4% increase. This increase is primarily due to higher cloud consumption, net of capitalization, increased personnel costs, including Payrailz acquisition and Jack Henry Platform costs, net of capitalization. Research and development expense remained consistent as a percentage of total revenue for fiscal 2024 compared to fiscal 2023. The increase in this expense category for the current fiscal year reflects our continuing commitment to the development of strategic products.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Selling, General, and Administrative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right"/>
              <w:ind w:right="240"/>
              <w:spacing w:after="0" w:line="184"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3"/>
          </w:tcPr>
          <w:p>
            <w:pPr>
              <w:jc w:val="right"/>
              <w:ind w:right="520"/>
              <w:spacing w:after="0" w:line="169" w:lineRule="exact"/>
              <w:rPr>
                <w:sz w:val="20"/>
                <w:szCs w:val="20"/>
                <w:color w:val="auto"/>
              </w:rPr>
            </w:pPr>
            <w:r>
              <w:rPr>
                <w:rFonts w:ascii="Arial" w:cs="Arial" w:eastAsia="Arial" w:hAnsi="Arial"/>
                <w:sz w:val="18"/>
                <w:szCs w:val="18"/>
                <w:b w:val="1"/>
                <w:bCs w:val="1"/>
                <w:color w:val="auto"/>
              </w:rPr>
              <w:t>2024</w:t>
            </w:r>
          </w:p>
        </w:tc>
        <w:tc>
          <w:tcPr>
            <w:tcW w:w="600" w:type="dxa"/>
            <w:vAlign w:val="bottom"/>
          </w:tcPr>
          <w:p>
            <w:pPr>
              <w:spacing w:after="0"/>
              <w:rPr>
                <w:sz w:val="15"/>
                <w:szCs w:val="15"/>
                <w:color w:val="auto"/>
              </w:rPr>
            </w:pPr>
          </w:p>
        </w:tc>
        <w:tc>
          <w:tcPr>
            <w:tcW w:w="900" w:type="dxa"/>
            <w:vAlign w:val="bottom"/>
            <w:gridSpan w:val="2"/>
          </w:tcPr>
          <w:p>
            <w:pPr>
              <w:jc w:val="right"/>
              <w:ind w:right="500"/>
              <w:spacing w:after="0" w:line="169" w:lineRule="exact"/>
              <w:rPr>
                <w:sz w:val="20"/>
                <w:szCs w:val="20"/>
                <w:color w:val="auto"/>
              </w:rPr>
            </w:pPr>
            <w:r>
              <w:rPr>
                <w:rFonts w:ascii="Arial" w:cs="Arial" w:eastAsia="Arial" w:hAnsi="Arial"/>
                <w:sz w:val="18"/>
                <w:szCs w:val="18"/>
                <w:color w:val="auto"/>
                <w:w w:val="94"/>
              </w:rPr>
              <w:t>2023</w:t>
            </w:r>
          </w:p>
        </w:tc>
        <w:tc>
          <w:tcPr>
            <w:tcW w:w="1220" w:type="dxa"/>
            <w:vAlign w:val="bottom"/>
            <w:gridSpan w:val="3"/>
          </w:tcPr>
          <w:p>
            <w:pPr>
              <w:ind w:left="360"/>
              <w:spacing w:after="0" w:line="169"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278,419</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235,274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18.3%</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11%</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Selling, general, and administrative costs included all expenses related to sales efforts, commissions, finance, legal, and human resources, plus all administrative costs.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for fiscal 2024 increased 18.3% compared to fiscal 2023. Reducing total selling, general, and administrative expense for deconversion costs from each year, which totaled $ 1,177 in fiscal 2024 and $2,216 in fiscal 2023, VEDIP program expenses of $ 16,443 and Payrailz related costs of $192 for the current fiscal year, and excluding the impact of the gain on sale of assets, net, of $4,567 for the prior fiscal year, results in a 9.7% increase. This increase was primarily due to higher personnel costs, including a headcount increase in the trailing twelve months and higher commission expense. Selling, general, and administrative expenses increased 2.0% as a percentage of total revenue for fiscal 2024 compared to fiscal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INTEREST INCOME AND EXPENSE</w:t>
            </w:r>
          </w:p>
        </w:tc>
        <w:tc>
          <w:tcPr>
            <w:tcW w:w="2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center"/>
              <w:ind w:left="250"/>
              <w:spacing w:after="0" w:line="184"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3"/>
          </w:tcPr>
          <w:p>
            <w:pPr>
              <w:jc w:val="right"/>
              <w:ind w:right="540"/>
              <w:spacing w:after="0" w:line="196" w:lineRule="exact"/>
              <w:rPr>
                <w:sz w:val="20"/>
                <w:szCs w:val="20"/>
                <w:color w:val="auto"/>
              </w:rPr>
            </w:pPr>
            <w:r>
              <w:rPr>
                <w:rFonts w:ascii="Arial" w:cs="Arial" w:eastAsia="Arial" w:hAnsi="Arial"/>
                <w:sz w:val="18"/>
                <w:szCs w:val="18"/>
                <w:b w:val="1"/>
                <w:bCs w:val="1"/>
                <w:color w:val="auto"/>
              </w:rPr>
              <w:t>2024</w:t>
            </w:r>
          </w:p>
        </w:tc>
        <w:tc>
          <w:tcPr>
            <w:tcW w:w="580" w:type="dxa"/>
            <w:vAlign w:val="bottom"/>
          </w:tcPr>
          <w:p>
            <w:pPr>
              <w:spacing w:after="0"/>
              <w:rPr>
                <w:sz w:val="17"/>
                <w:szCs w:val="17"/>
                <w:color w:val="auto"/>
              </w:rPr>
            </w:pPr>
          </w:p>
        </w:tc>
        <w:tc>
          <w:tcPr>
            <w:tcW w:w="90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w w:val="94"/>
              </w:rPr>
              <w:t>2023</w:t>
            </w:r>
          </w:p>
        </w:tc>
        <w:tc>
          <w:tcPr>
            <w:tcW w:w="12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25,012</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8,959</w:t>
            </w:r>
          </w:p>
        </w:tc>
        <w:tc>
          <w:tcPr>
            <w:tcW w:w="98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rPr>
              <w:t>179.2%</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(16,384)</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(15,073)</w:t>
            </w:r>
          </w:p>
        </w:tc>
        <w:tc>
          <w:tcPr>
            <w:tcW w:w="9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b w:val="1"/>
                <w:bCs w:val="1"/>
                <w:color w:val="auto"/>
              </w:rPr>
              <w:t>8.7%</w:t>
            </w:r>
          </w:p>
        </w:tc>
        <w:tc>
          <w:tcPr>
            <w:tcW w:w="2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8"/>
        </w:trPr>
        <w:tc>
          <w:tcPr>
            <w:tcW w:w="4280" w:type="dxa"/>
            <w:vAlign w:val="bottom"/>
          </w:tcPr>
          <w:p>
            <w:pPr>
              <w:spacing w:after="0"/>
              <w:rPr>
                <w:sz w:val="24"/>
                <w:szCs w:val="24"/>
                <w:color w:val="auto"/>
              </w:rPr>
            </w:pPr>
          </w:p>
        </w:tc>
        <w:tc>
          <w:tcPr>
            <w:tcW w:w="2760" w:type="dxa"/>
            <w:vAlign w:val="bottom"/>
          </w:tcPr>
          <w:p>
            <w:pPr>
              <w:jc w:val="right"/>
              <w:ind w:right="123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8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Interest income increased over the prior fiscal year due to increased interest earned on balances fiscal year over fiscal year. Interest expense increased in fiscal 2024 mainly due to the timing and amounts of borrowed balances and increases in interest rates.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6"/>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vMerge w:val="continue"/>
          </w:tcPr>
          <w:p>
            <w:pPr>
              <w:spacing w:after="0"/>
              <w:rPr>
                <w:sz w:val="16"/>
                <w:szCs w:val="16"/>
                <w:color w:val="auto"/>
              </w:rPr>
            </w:pPr>
          </w:p>
        </w:tc>
        <w:tc>
          <w:tcPr>
            <w:tcW w:w="980" w:type="dxa"/>
            <w:vAlign w:val="bottom"/>
            <w:gridSpan w:val="2"/>
          </w:tcPr>
          <w:p>
            <w:pPr>
              <w:jc w:val="right"/>
              <w:ind w:right="240"/>
              <w:spacing w:after="0" w:line="19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2024</w:t>
            </w:r>
          </w:p>
        </w:tc>
        <w:tc>
          <w:tcPr>
            <w:tcW w:w="38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2023</w:t>
            </w:r>
          </w:p>
        </w:tc>
        <w:tc>
          <w:tcPr>
            <w:tcW w:w="1220" w:type="dxa"/>
            <w:vAlign w:val="bottom"/>
            <w:gridSpan w:val="3"/>
          </w:tcPr>
          <w:p>
            <w:pPr>
              <w:ind w:left="3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116,203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107,928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23.3%</w:t>
            </w: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22.7%</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the Company's effective tax rate in fiscal 2024 compared to fiscal 2023 was the result of changes in uncertain tax positions for periods open under the statute of limitations in the current fiscal year. This increase is partially offset by greater benefits received from research and development tax credits during the current fiscal year.</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center"/>
              <w:ind w:left="250"/>
              <w:spacing w:after="0" w:line="190"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2024</w:t>
            </w:r>
          </w:p>
        </w:tc>
        <w:tc>
          <w:tcPr>
            <w:tcW w:w="6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2023</w:t>
            </w:r>
          </w:p>
        </w:tc>
        <w:tc>
          <w:tcPr>
            <w:tcW w:w="1220" w:type="dxa"/>
            <w:vAlign w:val="bottom"/>
            <w:gridSpan w:val="3"/>
          </w:tcPr>
          <w:p>
            <w:pPr>
              <w:ind w:left="3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381,816</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366,646</w:t>
            </w:r>
          </w:p>
        </w:tc>
        <w:tc>
          <w:tcPr>
            <w:tcW w:w="98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rPr>
              <w:t>4.1%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5.23</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w:t>
            </w:r>
          </w:p>
        </w:tc>
        <w:tc>
          <w:tcPr>
            <w:tcW w:w="9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b w:val="1"/>
                <w:bCs w:val="1"/>
                <w:color w:val="auto"/>
              </w:rPr>
              <w:t>4.2%</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income grew 4.1% to $381,816, or $5.23 per diluted share, in fiscal 2024 from $366,646, or $5.02 per diluted share, in fiscal 2023. The diluted earnings per share increase fiscal year over fiscal year was 4.2%. This increase was primarily due to growth in our lines of revenue and a reduction in the number of weighted average shares outstanding partially offset by higher operating expenses in fiscal 2024 compared to fiscal 2023 .</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 well-rounded financial technology company and is a leading provider of technology solutions and payment processing services primarily to community and regional financial institutions. 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4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Immaterial adjustments between segments were made in fiscal 2024 to reclassify revenue and cost of revenue that was recognized in fiscal 2023. These reclasses were made to be consistent with the current allocation of revenue and cost of revenue by segment. Revenue reclassed for the fiscal year ended June 30, 2023, from Core to Corporate and Other was $7,119, from Payments to Corporate and Other was $30, and from Complementary to Corporate and Other was $307. Cost of revenue reclassed for the fiscal year ended June 30, 2023, from Core to Corporate and Other was $6,713, from Payments to Corporate and Other was $2,594, and from Complementary to Corporate and Other was $1,286.</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 Change</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2023</w:t>
            </w:r>
          </w:p>
        </w:tc>
        <w:tc>
          <w:tcPr>
            <w:tcW w:w="2840" w:type="dxa"/>
            <w:vAlign w:val="bottom"/>
          </w:tcPr>
          <w:p>
            <w:pPr>
              <w:spacing w:after="0"/>
              <w:rPr>
                <w:sz w:val="19"/>
                <w:szCs w:val="19"/>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690,738</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6.4%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649,045</w:t>
            </w:r>
          </w:p>
        </w:tc>
        <w:tc>
          <w:tcPr>
            <w:tcW w:w="2840" w:type="dxa"/>
            <w:vAlign w:val="bottom"/>
          </w:tcPr>
          <w:p>
            <w:pPr>
              <w:spacing w:after="0"/>
              <w:rPr>
                <w:sz w:val="19"/>
                <w:szCs w:val="19"/>
                <w:color w:val="auto"/>
              </w:rPr>
            </w:pPr>
          </w:p>
        </w:tc>
      </w:tr>
      <w:tr>
        <w:trPr>
          <w:trHeight w:val="247"/>
        </w:trPr>
        <w:tc>
          <w:tcPr>
            <w:tcW w:w="41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287,349</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276,818</w:t>
            </w:r>
          </w:p>
        </w:tc>
        <w:tc>
          <w:tcPr>
            <w:tcW w:w="2840" w:type="dxa"/>
            <w:vAlign w:val="bottom"/>
          </w:tcPr>
          <w:p>
            <w:pPr>
              <w:spacing w:after="0"/>
              <w:rPr>
                <w:sz w:val="21"/>
                <w:szCs w:val="21"/>
                <w:color w:val="auto"/>
              </w:rPr>
            </w:pPr>
          </w:p>
        </w:tc>
      </w:tr>
      <w:tr>
        <w:trPr>
          <w:trHeight w:val="837"/>
        </w:trPr>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gridSpan w:val="2"/>
          </w:tcPr>
          <w:p>
            <w:pPr>
              <w:jc w:val="right"/>
              <w:ind w:right="1130"/>
              <w:spacing w:after="0"/>
              <w:rPr>
                <w:sz w:val="20"/>
                <w:szCs w:val="20"/>
                <w:color w:val="auto"/>
              </w:rPr>
            </w:pPr>
            <w:r>
              <w:rPr>
                <w:rFonts w:ascii="Arial" w:cs="Arial" w:eastAsia="Arial" w:hAnsi="Arial"/>
                <w:sz w:val="18"/>
                <w:szCs w:val="18"/>
                <w:color w:val="auto"/>
                <w:w w:val="89"/>
              </w:rPr>
              <w:t>27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11"/>
        </w:trPr>
        <w:tc>
          <w:tcPr>
            <w:tcW w:w="4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fiscal 2024, revenue in the Core segment increased 6.4% compared to fiscal 2023. Reducing total Core revenue by deconversion revenue from both fiscal years, which totaled $7,292 in fiscal 2024 and $10,924 in fiscal 2023, Core segment revenue increased 7.1%. This increase was primarily driven by organic increases in our data processing and hosting within cloud revenue. Cost of revenue in the Core segment increased 3.8% for fiscal 2024 compared to fiscal 2023. This increase was primarily due to increased direct costs associated with the organic growth in cloud revenue. Deconversion and/or acquisition costs did not significantly affect Core cost of revenue fiscal year over fiscal year. Core segment cost of revenue decreased 1% as a percentage of revenue for fiscal 2024 compared to fiscal 2023.</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Payments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 Change</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2023</w:t>
            </w: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817,708</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6.6%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767,309</w:t>
            </w:r>
          </w:p>
        </w:tc>
      </w:tr>
      <w:tr>
        <w:trPr>
          <w:trHeight w:val="247"/>
        </w:trPr>
        <w:tc>
          <w:tcPr>
            <w:tcW w:w="41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442,084</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420,880</w:t>
            </w:r>
          </w:p>
        </w:tc>
      </w:tr>
    </w:tbl>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fiscal 2024, revenue in the Payments segment increased 6.6% compared to fiscal 2023. Reducing total Payments revenue by deconversion revenue from both fiscal years, which totaled $5,836 in fiscal 2024 and $7,924 in fiscal 2023, and Payrailz related revenue from the current fiscal year of $1,945, Payments segment revenue increased 6.7%. This increase was primarily driven by growth within card revenue and payment processing within remittance revenue. Cost of revenue in the Payments segment increased 5.0% for fiscal 2024 compared to fiscal 2023. Reducing total Payments cost of revenue by deconversion costs from both fiscal years, which totaled $259 in fiscal 2024 and $303 in fiscal 2023 and Payrailz related costs from the current fiscal year of $ 3,314, Payments cost of revenue increased 4.3%. This increase was primarily due to increased direct costs related to growth in the card and remittance revenue lines, and increased personnel costs, including benefits expenses. Payments segment cost of revenue decreased 1% as a percentage of revenue for fiscal 2024 compared to fiscal 2023.</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Complementary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 Change</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2023</w:t>
            </w: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618,211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5.9%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583,586</w:t>
            </w:r>
          </w:p>
        </w:tc>
      </w:tr>
      <w:tr>
        <w:trPr>
          <w:trHeight w:val="247"/>
        </w:trPr>
        <w:tc>
          <w:tcPr>
            <w:tcW w:w="41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256,007</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237,758</w:t>
            </w:r>
          </w:p>
        </w:tc>
      </w:tr>
    </w:tbl>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Complementary segment increased 5.9% for fiscal 2024 compared to fiscal 2023. Reducing total Complementary revenue by deconversion revenue from both fiscal years, which totaled $3,217 in fiscal 2024 and $12,649 in fiscal 2023, Complementary segment revenue increased 7.7%. This increase was primarily driven by organic increases in digital revenue (including Banno) and hosting within cloud revenue. Cost of revenue in the Complementary segment increased 7.7% for fiscal 2024 compared to fiscal 2023. This increase was primarily due to higher direct costs related to the organic growth in the digital and hosting within cloud revenue lines, increased amortization of capitalized software, and higher internal licenses and fees. Deconversion and/or acquisition costs did not significantly affect Complementary cost of revenue fiscal year over fiscal year. Complementary segment cost of revenue increased 1% as a percentage of revenue for fiscal 2024 compared to fiscal 2023.</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Corporate and Other</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 Change</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2023</w:t>
            </w: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88,886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77,762</w:t>
            </w:r>
          </w:p>
        </w:tc>
      </w:tr>
      <w:tr>
        <w:trPr>
          <w:trHeight w:val="247"/>
        </w:trPr>
        <w:tc>
          <w:tcPr>
            <w:tcW w:w="41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314,037</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283,606</w:t>
            </w:r>
          </w:p>
        </w:tc>
      </w:tr>
    </w:tbl>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in the Corporate and Other segment increased 14.3% for fiscal 2024 compared to fiscal 2023. Reducing total Corporate and Other revenue by deconversion revenue from both fiscal years, which totaled $209 in fiscal 2024 and $278 in fiscal 2023, Corporate and Other segment revenue increased 14.4%. The increase was mainly due to increased hardware revenue and subscriptions and software usage within support revenues.</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revenue for the Corporate and Other segment includes operating expenses not directly attributable to any of the other three segments and increased 10.7% for fiscal 2024 compared to fiscal 2023. This increase was primarily related to higher internal licenses and fees and personnel costs, including benefits expenses. Deconversion and/or acquisition costs did not significantly affect Corporate and Other cost of revenue fiscal year over fiscal year.</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cash and cash equivalents increased to $38,284 at June 30, 2024, from $12,243 at June 30, 2023. The following table summarizes net cash from operating activities in the statement of cash flows: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Year Ended</w:t>
            </w:r>
          </w:p>
        </w:tc>
        <w:tc>
          <w:tcPr>
            <w:tcW w:w="940" w:type="dxa"/>
            <w:vAlign w:val="bottom"/>
          </w:tcPr>
          <w:p>
            <w:pPr>
              <w:spacing w:after="0"/>
              <w:rPr>
                <w:sz w:val="19"/>
                <w:szCs w:val="19"/>
                <w:color w:val="auto"/>
              </w:rPr>
            </w:pPr>
          </w:p>
        </w:tc>
      </w:tr>
      <w:tr>
        <w:trPr>
          <w:trHeight w:val="235"/>
        </w:trPr>
        <w:tc>
          <w:tcPr>
            <w:tcW w:w="8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381,816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366,646</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231,709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166,621</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(10,797)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(10,547)</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(62,906)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(129,094)</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568,041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381,559</w:t>
            </w:r>
          </w:p>
        </w:tc>
      </w:tr>
      <w:tr>
        <w:trPr>
          <w:trHeight w:val="21"/>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operating activities for fiscal 2024 increased 48.9% compared to fiscal 2023, primarily due to higher than historical collections in fiscal 2024 of annual maintenance billings related to fiscal year 2025 and to an overpayment of income taxes in fiscal 2023, which led to lower cash taxes paid in fiscal 2024. The Company paid income taxes, net of refunds, of $106,966, $145,862, and $60,553 in fiscal 2024, 2023, and 2022, respectively. Cash from operations is primarily used to repay debt, pay dividends, repurchase stock, and for capital expenditures.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used in investing activities for fiscal 2024 totaled $240,165 and included: $167,175 for the ongoing enhancements and development of existing and new product and service offerings; capital expenditures on facilities and equipment of $58,118, mainly for the purchase of computer equipment; $8,646 for purchase of investments; and $7,130 for the purchase and development of internal use software. These expenditures were partially offset by $904 of proceeds from asset sales.</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used in investing activities for fiscal 2023 totaled $409,673 and included: payment for the acquisition of Payrailz of $229,628, $166,120 for the ongoing enhancements and development of existing and new product and service offerings; capital expenditures on facilities and equipment of $39,179, mainly for the purchase of computer equipment; $1,685 for the purchase and development of internal use software; and $1,000 for the purchase of investments. These expenditures were partially offset by $27,939 of proceeds from the sale of assets.</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Financing activities used cash of $301,835 for fiscal 2024 and included: $155,877 for dividends paid to stockholders; borrowing and repayments on our credit facilities which netted to repayments of $125,000; and $28,055 for the purchase of treasury shares. These expenditures were partially offset by $7,097 of net cash inflow related to stock-based compensation.</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Financing activities used cash in fiscal 2023 of $8,430 and included $147,237 for dividends paid to stockholders and $25,000 for the purchase of treasury shares. These expenditures were partially offset by borrowings and repayments on our revolving credit facility and financing leases which netted to borrowings of $159,940 at June 30, 2023, and $3,867 of net cash inflow related to stock-based compensation.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Resources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$58,118 and $39,179 for fiscal years ended June 30, 2024, and June 30, 2023, respectively, were made primarily for additional equipment and the improvement of existing facilities. These additions were funded from cash generated by operations. At June 30, 2024, the Company had $24,694 of significant outstanding purchase commitments related to property and equipment. We assessed our liquidity needs throughout fiscal 2024, and determined we had adequate capital resources and sufficient access to external financing sources to satisfy our current and reasonably anticipated funding needs. We will continue to monitor and assess these needs going forward.</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July 2023, the Company conducted a voluntary separation program for certain eligible associates that included a VEDIP payment for the eligible associates who chose to participate in the program. The Company made payments associated with the VEDIP program in the approximate amount of $16,443 from July 2023 through December 2023, including immaterial payments continuing into calendar 2024.</w:t>
      </w:r>
    </w:p>
    <w:p>
      <w:pPr>
        <w:spacing w:after="0" w:line="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June 30, 2024, the Company had contractual obligations of $1,488,248, including operating lease obligations, and $1,421,125 related to off-balance sheet contractual purchase obligations. Contractual obligations exclude $22,429 of liabilities for uncertain tax positions as we are unable to reasonably estimate the ultimate amount or timing of settlement.</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short-term borrowings on its existing credit facilities. The share repurchase program does not include specific price targets 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timetables and may be suspended at any time. At June 30, 2024, there were 31,373 shares in treasury stock and the Company had the remaining authority to repurchase up to 3,618 additional shares. The total cost of treasury shares at June 30, 2024 was $1,860,173. During fiscal 2024, the Company repurchased 179 treasury shares for $28,055. At June 30, 2023, there were 31,194 shares in treasury stock and the Company had authority to repurchase up to 3,796 additional shares.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Payrailz</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2022, the Company acquired all of the equity interest in Payrailz. The final purchase price, following customary post-closing adjustments to the extent actual closing date working capital, cash, debt, and unpaid seller transaction expenses exceeded or were less than the amounts estimated at closing, was $230,205. Pursuant to the merger agreement for the transaction, $48,500 of the purchase price was placed in an escrow account at the closing, consisting of $2,500 for any final purchase price adjustments owed by the sellers, which amount was released to the sellers on December 15, 2022, in connection with post-closing purchase price adjustments, and $46,000 for indemnification matters under the merger agreement, which amount was released to the sellers on September 20, 2023.</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primary reason for the acquisition was to expand the Company's digital financial management solutions and the purchase was originally funded by our revolving line of credit and cash generated from operations. Payrailz provides cloud-native, API-first, AI-enabled consumer and commercial digital payment solutions and experiences that enable money to be moved in the moment of need.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a prior credit facility that was entered into on February 10, 2020. The credit agreement allows for borrowings of up to $600,000, which may be increased to $1,000,000 by the Company at any time until maturity. The credit agreement bears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June 30, 2024, the Company was in compliance with all such covenants. The amended and restated credit facility terminates August 31, 2027. There was $60,000 and $95,000 outstanding under the amended and restated credit facility at June 30, 2024, and June 30, 2023,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bear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plus an applicable percentage in each case determined by the Company's leverage ratio. The term loan credit agreement is guaranteed by certain subsidiaries of the Company and is subject to various financial covenants that require the Company to maintain certain financial ratios as defined in the term loan credit agreement. As of June 30, 2024, the Company was in compliance with all such covenants. The term loan credit agreement has a maturity date of May 16, 2025. There was $90,000 and $ 180,000 outstanding under the term loan at June 30, 2024, and June 30, 2023, respectively. We currently anticipate that we will be able to repay the remaining outstanding balance under the term loan prior to its maturity using cash generated by our operations or borrowings under our revolving credit facility.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10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1.0%. The credit line was renewed in May 2019 and modified in May 2023 to extend the expiration to April 30, 2025. There was no balance outstanding at June 30, 2024, or 2023.</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which improves the accounting for acquired revenue contracts with customers in a business combination by addressing diversity in practice and inconsistency related to recognition of an acquired contract liability and payment terms and their effect on subsequent revenue recognized by the acquirer. The ASU is effective for fiscal years beginning after December 15, 2022, and interim periods within those fiscal years. The Company adopted the ASU effective July 1, 2023, and will apply it prospectively to business combinations occurring after that date.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Adopted at Fiscal Year End</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is effective for fiscal years beginning after December 15, 2023, and interim periods within fiscal years beginning after December 15, 2024, and should be applied retrospectively to all prior periods presented in the financial statements. Early adoption is permitted. The Company is currently evaluating the impact of this ASU on its consolidated financial statements and related disclosures.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is currently evaluating the impact of this ASU on its consolidated financial statements and related disclosures.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prepare our consolidated financial statements in accordance with U.S. GAAP. The significant accounting policies are discussed in Note 1 to the consolidated financial statements. The preparation of consolidated financial statements in accordance with U.S. GAAP requires us to make estimates and judgments that affect the reported amounts of assets, liabilities, revenue and expenses, as well as disclosure of contingent assets and liabilities. We base our estimates and judgments upon historical experience and other factors believed to be reasonable under the circumstances. Changes in estimates or assumptions could result in a material adjustment to the consolidated financial statements.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identified several critical accounting estimates. An accounting estimate is considered critical if both: (a) the nature of the estimates or assumptions is material due to the levels of subjectivity and judgment involved, and (b) the impact of changes in the estimates and assumptions would have a material effect on the consolidated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generate revenue from data processing, transaction processing, software licensing and related services, professional services, and hardware sales.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contracts with clients that may include multiple types of goods and services. At contract inception, we assess the solutions and services promised in our contracts with clients and identify a performance obligation for each promise to transfer to the client a solution or service (or bundle of solutions or services) that is distinct — that is, if the solution or service is separately identifiable from other items in the arrangement and if the client can benefit from the solution or service on its own or together with other resources that are readily available. Judgment is used in the identification and accounting for all performance obligations. We recognize revenue when or as we satisfy each performance obligation by transferring control of a solution or service to the client.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amount of revenue recognized is based on the consideration we expect to receive in exchange for transferring goods and services to the client. Our contracts with our clients frequently contain some component of variable consideration. We estimate variable consideration in our contracts primarily using the expected value method,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both historical and current information. Where appropriate, we may constrain the estimated variable consideration included in the transaction price in the event of a high degree of uncertainty as to the final consideration amount. Significant judgment is used in the estimate of variable consideration of client contracts that are long-term and include varying transactional volumes.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transaction price, once determined, is allocated between the various performance obligations in the contract based upon their relative standalone selling prices. The standalone selling prices are determined based on the prices at which we separately sell each good or service. For items that are not sold separately, we estimate the standalone selling prices using all information that is reasonably available, including reference to historical pricing data.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incur incremental costs to obtain a contract as well as costs to fulfill contracts with clients that are expected to be recovered. These costs consist primarily of sales commissions, which are incurred only if a contract is obtained, and client conversion or implementation-related costs.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Capitalized costs are amortized based on the transfer of goods or services to which the asset relates, in line with the percentage of revenue recognized for each performance obligation to which the costs are allocated.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software development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capitalize certain costs incurred for use in our cloud-based services and to develop commercial software products. For internal use software, capitalization begins at the beginning of application development. Costs incurred prior to this are expensed as incurred. Significant estimates and assumptions include determining the appropriate amortization period based on the estimated useful life and assessing the unamortized cost balances for impairment. Amortization begins on the date the software is placed in service and the amortization period is based on estimated useful life</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software that is to be sold, significant areas of judgment include: establishing when technological feasibility has been met and costs should be capitalized, determining the appropriate period over which to amortize the capitalized costs based on the estimated useful lives, estimating the marketability of the commercial software products and related future revenues, and assessing the unamortized cost balances for impairment. Costs incurred prior to establishing technological feasibility are expensed as incurred. Amortization begins on the date of general release and the appropriate amortization period is based on estimates of future revenues from sales of the products. We consider various factors to project marketability and future revenues, including an assessment of alternative solutions or products, current and historical demand for the product, and anticipated changes in technology that may make the product obsolete.</w:t>
      </w:r>
    </w:p>
    <w:p>
      <w:pPr>
        <w:spacing w:after="0" w:line="75" w:lineRule="exact"/>
        <w:rPr>
          <w:sz w:val="20"/>
          <w:szCs w:val="20"/>
          <w:color w:val="auto"/>
        </w:rPr>
      </w:pPr>
    </w:p>
    <w:p>
      <w:pPr>
        <w:ind w:right="300"/>
        <w:spacing w:after="0" w:line="375" w:lineRule="auto"/>
        <w:rPr>
          <w:sz w:val="20"/>
          <w:szCs w:val="20"/>
          <w:color w:val="auto"/>
        </w:rPr>
      </w:pPr>
      <w:r>
        <w:rPr>
          <w:rFonts w:ascii="Arial" w:cs="Arial" w:eastAsia="Arial" w:hAnsi="Arial"/>
          <w:sz w:val="18"/>
          <w:szCs w:val="18"/>
          <w:color w:val="auto"/>
        </w:rPr>
        <w:t xml:space="preserve">A significant change in an estimate related to one or more software products could result in a material change to our results of operations. </w:t>
      </w:r>
      <w:r>
        <w:rPr>
          <w:rFonts w:ascii="Arial" w:cs="Arial" w:eastAsia="Arial" w:hAnsi="Arial"/>
          <w:sz w:val="18"/>
          <w:szCs w:val="18"/>
          <w:b w:val="1"/>
          <w:bCs w:val="1"/>
          <w:color w:val="auto"/>
        </w:rPr>
        <w:t>Purchase accounting</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our acquisitions using the purchase method of accounting. This method requires estimates to determine the fair values of assets and liabilities acquired, including judgments to determine any acquired intangible assets such as computer software and client-related intangibles. Third-party valuation firms may be used to assist in the appraisal of certain assets and liabilities, but even those determinations would be based on significant estimates provided by us, such as forecast revenues or profits on contract-related intangibles. Numerous factors are typically considered in the purchase accounting assessments, which are conducted by Company professionals from legal, finance, human resources, information systems, program management and other disciplines. Changes in assumptions and estimates of the acquired assets and liabilities would result in changes to the fair values, resulting in an offsetting change to the goodwill balance associated with the business acquired.</w:t>
      </w:r>
    </w:p>
    <w:p>
      <w:pPr>
        <w:spacing w:after="0" w:line="3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clients and interest rate risk on outstanding debt. We do not currently use any derivative financial instruments. We actively monitor these risks through a variety of controlled procedures involving senior management.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line="287" w:lineRule="auto"/>
        <w:rPr>
          <w:sz w:val="20"/>
          <w:szCs w:val="20"/>
          <w:color w:val="auto"/>
        </w:rPr>
      </w:pPr>
      <w:r>
        <w:rPr>
          <w:rFonts w:ascii="Arial" w:cs="Arial" w:eastAsia="Arial" w:hAnsi="Arial"/>
          <w:sz w:val="18"/>
          <w:szCs w:val="18"/>
          <w:color w:val="auto"/>
        </w:rPr>
        <w:t>Based on the controls in place and the credit worthiness of the client base, we believe the credit risk associated with the extension of credit to our clients will not have a material adverse effect on our consolidated financial position, results of operations, or cash flows.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have $ 150,000 outstanding debt with variable interest rates as of June 30, 2024, and a 1% increase in our borrowing rate would increase our annual interest expense by $1,500.</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100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00" w:type="dxa"/>
            <w:vAlign w:val="bottom"/>
          </w:tcPr>
          <w:p>
            <w:pPr>
              <w:spacing w:after="0"/>
              <w:rPr>
                <w:sz w:val="21"/>
                <w:szCs w:val="21"/>
                <w:color w:val="auto"/>
              </w:rPr>
            </w:pPr>
          </w:p>
        </w:tc>
      </w:tr>
      <w:tr>
        <w:trPr>
          <w:trHeight w:val="311"/>
        </w:trPr>
        <w:tc>
          <w:tcPr>
            <w:tcW w:w="11000" w:type="dxa"/>
            <w:vAlign w:val="bottom"/>
            <w:gridSpan w:val="10"/>
          </w:tcPr>
          <w:p>
            <w:pPr>
              <w:spacing w:after="0"/>
              <w:rPr>
                <w:sz w:val="20"/>
                <w:szCs w:val="20"/>
                <w:color w:val="auto"/>
              </w:rPr>
            </w:pPr>
            <w:r>
              <w:rPr>
                <w:rFonts w:ascii="Arial" w:cs="Arial" w:eastAsia="Arial" w:hAnsi="Arial"/>
                <w:sz w:val="18"/>
                <w:szCs w:val="18"/>
                <w:b w:val="1"/>
                <w:bCs w:val="1"/>
                <w:color w:val="auto"/>
              </w:rPr>
              <w:t>Index to Financial Statements</w:t>
            </w:r>
          </w:p>
        </w:tc>
        <w:tc>
          <w:tcPr>
            <w:tcW w:w="200" w:type="dxa"/>
            <w:vAlign w:val="bottom"/>
          </w:tcPr>
          <w:p>
            <w:pPr>
              <w:spacing w:after="0"/>
              <w:rPr>
                <w:sz w:val="24"/>
                <w:szCs w:val="24"/>
                <w:color w:val="auto"/>
              </w:rPr>
            </w:pPr>
          </w:p>
        </w:tc>
      </w:tr>
      <w:tr>
        <w:trPr>
          <w:trHeight w:val="204"/>
        </w:trPr>
        <w:tc>
          <w:tcPr>
            <w:tcW w:w="460" w:type="dxa"/>
            <w:vAlign w:val="bottom"/>
          </w:tcPr>
          <w:p>
            <w:pPr>
              <w:spacing w:after="0"/>
              <w:rPr>
                <w:sz w:val="17"/>
                <w:szCs w:val="17"/>
                <w:color w:val="auto"/>
              </w:rPr>
            </w:pPr>
          </w:p>
        </w:tc>
        <w:tc>
          <w:tcPr>
            <w:tcW w:w="4600" w:type="dxa"/>
            <w:vAlign w:val="bottom"/>
            <w:tcBorders>
              <w:bottom w:val="single" w:sz="8" w:color="0000FF"/>
            </w:tcBorders>
            <w:gridSpan w:val="6"/>
          </w:tcPr>
          <w:p>
            <w:pPr>
              <w:spacing w:after="0" w:line="204" w:lineRule="exact"/>
              <w:rPr>
                <w:sz w:val="20"/>
                <w:szCs w:val="20"/>
                <w:color w:val="auto"/>
              </w:rPr>
            </w:pPr>
            <w:r>
              <w:rPr>
                <w:rFonts w:ascii="Arial" w:cs="Arial" w:eastAsia="Arial" w:hAnsi="Arial"/>
                <w:sz w:val="18"/>
                <w:szCs w:val="18"/>
                <w:color w:val="0000FF"/>
                <w:w w:val="99"/>
              </w:rPr>
              <w:t>Report of Independent Registered Public Accounting Firm</w:t>
            </w:r>
          </w:p>
        </w:tc>
        <w:tc>
          <w:tcPr>
            <w:tcW w:w="5940" w:type="dxa"/>
            <w:vAlign w:val="bottom"/>
            <w:gridSpan w:val="3"/>
          </w:tcPr>
          <w:p>
            <w:pPr>
              <w:spacing w:after="0"/>
              <w:rPr>
                <w:sz w:val="17"/>
                <w:szCs w:val="17"/>
                <w:color w:val="auto"/>
              </w:rPr>
            </w:pPr>
          </w:p>
        </w:tc>
        <w:tc>
          <w:tcPr>
            <w:tcW w:w="200" w:type="dxa"/>
            <w:vAlign w:val="bottom"/>
            <w:tcBorders>
              <w:bottom w:val="single" w:sz="8" w:color="0000FF"/>
            </w:tcBorders>
          </w:tcPr>
          <w:p>
            <w:pPr>
              <w:jc w:val="right"/>
              <w:spacing w:after="0" w:line="204" w:lineRule="exact"/>
              <w:rPr>
                <w:sz w:val="20"/>
                <w:szCs w:val="20"/>
                <w:color w:val="auto"/>
              </w:rPr>
            </w:pPr>
            <w:r>
              <w:rPr>
                <w:rFonts w:ascii="Arial" w:cs="Arial" w:eastAsia="Arial" w:hAnsi="Arial"/>
                <w:sz w:val="18"/>
                <w:szCs w:val="18"/>
                <w:color w:val="0000FF"/>
                <w:w w:val="89"/>
              </w:rPr>
              <w:t>34</w:t>
            </w:r>
          </w:p>
        </w:tc>
      </w:tr>
      <w:tr>
        <w:trPr>
          <w:trHeight w:val="439"/>
        </w:trPr>
        <w:tc>
          <w:tcPr>
            <w:tcW w:w="460" w:type="dxa"/>
            <w:vAlign w:val="bottom"/>
          </w:tcPr>
          <w:p>
            <w:pPr>
              <w:spacing w:after="0"/>
              <w:rPr>
                <w:sz w:val="24"/>
                <w:szCs w:val="24"/>
                <w:color w:val="auto"/>
              </w:rPr>
            </w:pPr>
          </w:p>
        </w:tc>
        <w:tc>
          <w:tcPr>
            <w:tcW w:w="10540" w:type="dxa"/>
            <w:vAlign w:val="bottom"/>
            <w:gridSpan w:val="9"/>
          </w:tcPr>
          <w:p>
            <w:pPr>
              <w:spacing w:after="0"/>
              <w:rPr>
                <w:sz w:val="20"/>
                <w:szCs w:val="20"/>
                <w:color w:val="auto"/>
              </w:rPr>
            </w:pPr>
            <w:r>
              <w:rPr>
                <w:rFonts w:ascii="Arial" w:cs="Arial" w:eastAsia="Arial" w:hAnsi="Arial"/>
                <w:sz w:val="18"/>
                <w:szCs w:val="18"/>
                <w:color w:val="0000FF"/>
              </w:rPr>
              <w:t>Management's Annual Report on Internal Control over Financial Reporting</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36</w:t>
            </w:r>
          </w:p>
        </w:tc>
      </w:tr>
      <w:tr>
        <w:trPr>
          <w:trHeight w:val="483"/>
        </w:trPr>
        <w:tc>
          <w:tcPr>
            <w:tcW w:w="460" w:type="dxa"/>
            <w:vAlign w:val="bottom"/>
          </w:tcPr>
          <w:p>
            <w:pPr>
              <w:spacing w:after="0"/>
              <w:rPr>
                <w:sz w:val="24"/>
                <w:szCs w:val="24"/>
                <w:color w:val="auto"/>
              </w:rPr>
            </w:pPr>
          </w:p>
        </w:tc>
        <w:tc>
          <w:tcPr>
            <w:tcW w:w="59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Financial Statements</w:t>
            </w:r>
          </w:p>
        </w:tc>
        <w:tc>
          <w:tcPr>
            <w:tcW w:w="46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r>
      <w:tr>
        <w:trPr>
          <w:trHeight w:val="414"/>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0000FF"/>
              </w:rPr>
              <w:t>Consolidated Statements of Income,</w:t>
            </w:r>
          </w:p>
        </w:tc>
        <w:tc>
          <w:tcPr>
            <w:tcW w:w="20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Years Ended June 30, 2024, 2023, and 2022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37</w:t>
            </w:r>
          </w:p>
        </w:tc>
      </w:tr>
      <w:tr>
        <w:trPr>
          <w:trHeight w:val="439"/>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Consolidated Balance Sheets,</w:t>
            </w:r>
          </w:p>
        </w:tc>
        <w:tc>
          <w:tcPr>
            <w:tcW w:w="7800" w:type="dxa"/>
            <w:vAlign w:val="bottom"/>
            <w:gridSpan w:val="7"/>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June 30, 2024, and 2023</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38</w:t>
            </w:r>
          </w:p>
        </w:tc>
      </w:tr>
      <w:tr>
        <w:trPr>
          <w:trHeight w:val="466"/>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0000FF"/>
              </w:rPr>
              <w:t>Consolidated Statements of Changes in Stockholders' Equity,</w:t>
            </w:r>
          </w:p>
        </w:tc>
        <w:tc>
          <w:tcPr>
            <w:tcW w:w="200" w:type="dxa"/>
            <w:vAlign w:val="bottom"/>
          </w:tcPr>
          <w:p>
            <w:pPr>
              <w:spacing w:after="0"/>
              <w:rPr>
                <w:sz w:val="24"/>
                <w:szCs w:val="24"/>
                <w:color w:val="auto"/>
              </w:rPr>
            </w:pPr>
          </w:p>
        </w:tc>
      </w:tr>
      <w:tr>
        <w:trPr>
          <w:trHeight w:val="209"/>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Years Ended June 30, 2024, 2023, and 2022</w:t>
            </w:r>
          </w:p>
        </w:tc>
        <w:tc>
          <w:tcPr>
            <w:tcW w:w="5340" w:type="dxa"/>
            <w:vAlign w:val="bottom"/>
            <w:gridSpan w:val="2"/>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39</w:t>
            </w:r>
          </w:p>
        </w:tc>
      </w:tr>
      <w:tr>
        <w:trPr>
          <w:trHeight w:val="439"/>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Consolidated Statements of Cash Flows,</w:t>
            </w:r>
          </w:p>
        </w:tc>
        <w:tc>
          <w:tcPr>
            <w:tcW w:w="6960" w:type="dxa"/>
            <w:vAlign w:val="bottom"/>
            <w:gridSpan w:val="5"/>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Years Ended June 30, 2024, 2023, and 2022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40</w:t>
            </w:r>
          </w:p>
        </w:tc>
      </w:tr>
      <w:tr>
        <w:trPr>
          <w:trHeight w:val="439"/>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41</w:t>
            </w: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0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There are no schedules included because they are not applicable, or the required information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ind w:left="2940"/>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Jack Henry &amp; Associates, Inc.</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right="40"/>
        <w:spacing w:after="0" w:line="253" w:lineRule="auto"/>
        <w:rPr>
          <w:sz w:val="20"/>
          <w:szCs w:val="20"/>
          <w:color w:val="auto"/>
        </w:rPr>
      </w:pPr>
      <w:r>
        <w:rPr>
          <w:rFonts w:ascii="Georgia" w:cs="Georgia" w:eastAsia="Georgia" w:hAnsi="Georgia"/>
          <w:sz w:val="18"/>
          <w:szCs w:val="18"/>
          <w:color w:val="auto"/>
        </w:rPr>
        <w:t xml:space="preserve">We have audited the accompanying consolidated balance sheets of Jack Henry &amp; Associates, Inc. and its subsidiaries (the "Company") as of June 30, 2024 and 2023, and the related consolidated statements of income, of changes in stockholders’ equity and of cash flows for each of the three years in the period ended June 30, 2024, including the related notes (collectively referred to as the "consolidated financial statements"). We also have audited the Company's internal control over financial reporting as of June 30, 2024,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Committee of Sponsoring Organizations of the Treadway Commission (COSO).</w:t>
      </w:r>
    </w:p>
    <w:p>
      <w:pPr>
        <w:spacing w:after="0" w:line="110" w:lineRule="exact"/>
        <w:rPr>
          <w:sz w:val="20"/>
          <w:szCs w:val="20"/>
          <w:color w:val="auto"/>
        </w:rPr>
      </w:pPr>
    </w:p>
    <w:p>
      <w:pPr>
        <w:spacing w:after="0" w:line="253" w:lineRule="auto"/>
        <w:rPr>
          <w:sz w:val="20"/>
          <w:szCs w:val="20"/>
          <w:color w:val="auto"/>
        </w:rPr>
      </w:pPr>
      <w:r>
        <w:rPr>
          <w:rFonts w:ascii="Georgia" w:cs="Georgia" w:eastAsia="Georgia" w:hAnsi="Georgia"/>
          <w:sz w:val="18"/>
          <w:szCs w:val="18"/>
          <w:color w:val="auto"/>
        </w:rPr>
        <w:t xml:space="preserve">In our opinion, the consolidated financial statements referred to above present fairly, in all material respects, the financial position of the Company as of June 30, 2024 and 2023, and the results of its operations and its cash flows for each of the three years in the period ended June 30, 2024 in conformity with accounting principles generally accepted in the United States of America. Also in our opinion, the Company maintained, in all material respects, effective internal control over financial reporting as of June 30, 2024, based on criteria established in </w:t>
      </w:r>
      <w:r>
        <w:rPr>
          <w:rFonts w:ascii="Georgia" w:cs="Georgia" w:eastAsia="Georgia" w:hAnsi="Georgia"/>
          <w:sz w:val="18"/>
          <w:szCs w:val="18"/>
          <w:i w:val="1"/>
          <w:iCs w:val="1"/>
          <w:color w:val="auto"/>
        </w:rPr>
        <w:t xml:space="preserve">Internal Control - Integrated Framework </w:t>
      </w:r>
      <w:r>
        <w:rPr>
          <w:rFonts w:ascii="Georgia" w:cs="Georgia" w:eastAsia="Georgia" w:hAnsi="Georgia"/>
          <w:sz w:val="18"/>
          <w:szCs w:val="18"/>
          <w:color w:val="auto"/>
        </w:rPr>
        <w:t>(2013) issued by the COSO.</w:t>
      </w:r>
    </w:p>
    <w:p>
      <w:pPr>
        <w:spacing w:after="0" w:line="108"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121" w:lineRule="exact"/>
        <w:rPr>
          <w:sz w:val="20"/>
          <w:szCs w:val="20"/>
          <w:color w:val="auto"/>
        </w:rPr>
      </w:pPr>
    </w:p>
    <w:p>
      <w:pPr>
        <w:ind w:right="180"/>
        <w:spacing w:after="0" w:line="253"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right="140"/>
        <w:spacing w:after="0" w:line="252"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2" w:lineRule="exact"/>
        <w:rPr>
          <w:sz w:val="20"/>
          <w:szCs w:val="20"/>
          <w:color w:val="auto"/>
        </w:rPr>
      </w:pPr>
    </w:p>
    <w:p>
      <w:pPr>
        <w:ind w:right="40"/>
        <w:spacing w:after="0" w:line="253"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right="40"/>
        <w:spacing w:after="0" w:line="253"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8" w:lineRule="exact"/>
        <w:rPr>
          <w:sz w:val="20"/>
          <w:szCs w:val="20"/>
          <w:color w:val="auto"/>
        </w:rPr>
      </w:pPr>
    </w:p>
    <w:p>
      <w:pPr>
        <w:jc w:val="both"/>
        <w:ind w:right="20"/>
        <w:spacing w:after="0" w:line="237"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21" w:lineRule="exact"/>
        <w:rPr>
          <w:sz w:val="20"/>
          <w:szCs w:val="20"/>
          <w:color w:val="auto"/>
        </w:rPr>
      </w:pPr>
    </w:p>
    <w:p>
      <w:pPr>
        <w:ind w:right="100"/>
        <w:spacing w:after="0" w:line="253"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9"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Revenue Recognition - estimating variable consideration</w:t>
      </w:r>
    </w:p>
    <w:p>
      <w:pPr>
        <w:spacing w:after="0" w:line="121" w:lineRule="exact"/>
        <w:rPr>
          <w:sz w:val="20"/>
          <w:szCs w:val="20"/>
          <w:color w:val="auto"/>
        </w:rPr>
      </w:pPr>
    </w:p>
    <w:p>
      <w:pPr>
        <w:spacing w:after="0" w:line="253" w:lineRule="auto"/>
        <w:rPr>
          <w:sz w:val="20"/>
          <w:szCs w:val="20"/>
          <w:color w:val="auto"/>
        </w:rPr>
      </w:pPr>
      <w:r>
        <w:rPr>
          <w:rFonts w:ascii="Georgia" w:cs="Georgia" w:eastAsia="Georgia" w:hAnsi="Georgia"/>
          <w:sz w:val="18"/>
          <w:szCs w:val="18"/>
          <w:color w:val="auto"/>
        </w:rPr>
        <w:t>As discussed in Notes 1 and 2 to the consolidated financial statements, the Company recorded revenue of $2.216 billion for the year ended June 30, 2024. The Company enters into contracts with its clients that may include multiple types of goods and services. The amount of revenue recognized is based on the consideration the Company expects to receive in exchange for transferring goods and services to the client. The Company’s contracts with its clients frequently contain some component of variable consideration. Management estimates variable consideration in its contracts primarily using the expected value method, based on both historical and current information. Where appropriate, the Company may constrain the estimated variable consideration included in the transaction price in the event of a high degree of uncertainty as to the final consideration amount. At contract inception, management assesses the solutions and services promised in its contracts with clients and identifies a performance obligation for each promise to transfer to the client a solution or service (or bundle of solutions or services) that is distinct - that is, if the solution or service is separately identifiable from other items in the arrangement and if the client can benefit from the solution or service on its own or together with other resources that are readily available. The Company recognizes revenue when or as it satisfies each performance obligation by transferring control of a solution or service to the client. Significant judgment is used in the estimate of variable consideration of client contracts that are long-term and include varying transactional volumes.</w:t>
      </w:r>
    </w:p>
    <w:p>
      <w:pPr>
        <w:spacing w:after="0" w:line="113" w:lineRule="exact"/>
        <w:rPr>
          <w:sz w:val="20"/>
          <w:szCs w:val="20"/>
          <w:color w:val="auto"/>
        </w:rPr>
      </w:pPr>
    </w:p>
    <w:p>
      <w:pPr>
        <w:ind w:right="180"/>
        <w:spacing w:after="0" w:line="252" w:lineRule="auto"/>
        <w:rPr>
          <w:sz w:val="20"/>
          <w:szCs w:val="20"/>
          <w:color w:val="auto"/>
        </w:rPr>
      </w:pPr>
      <w:r>
        <w:rPr>
          <w:rFonts w:ascii="Georgia" w:cs="Georgia" w:eastAsia="Georgia" w:hAnsi="Georgia"/>
          <w:sz w:val="18"/>
          <w:szCs w:val="18"/>
          <w:color w:val="auto"/>
        </w:rPr>
        <w:t>The principal considerations for our determination that performing procedures relating to the estimation of variable consideration is a critical audit matter are significant judgment by management to estimate the variable consideration, principally, the varying volume of transactional activity. This in turn resulted in a high degree of auditor judgment, subjectivity, and effort in performing our audit procedures and in evaluating the audit evidence obtained.</w:t>
      </w:r>
    </w:p>
    <w:p>
      <w:pPr>
        <w:spacing w:after="0" w:line="99"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the estimation of variable consideration. The procedures also included, among others, evaluating and testing management’s process for determining the variable consideration and testing the reasonableness of management’s estimation of variable consideration. Testing the estimation of variable consideration included evaluating the terms and conditions of the long-term contracts and the related significant assumptions used in the estimate of the variable consideration, principally, the use of historical transaction volumes to estimate</w:t>
      </w:r>
    </w:p>
    <w:p>
      <w:pPr>
        <w:spacing w:after="0" w:line="3" w:lineRule="exact"/>
        <w:rPr>
          <w:sz w:val="20"/>
          <w:szCs w:val="20"/>
          <w:color w:val="auto"/>
        </w:rPr>
      </w:pPr>
    </w:p>
    <w:p>
      <w:pPr>
        <w:ind w:right="860"/>
        <w:spacing w:after="0" w:line="230" w:lineRule="auto"/>
        <w:rPr>
          <w:sz w:val="20"/>
          <w:szCs w:val="20"/>
          <w:color w:val="auto"/>
        </w:rPr>
      </w:pPr>
      <w:r>
        <w:rPr>
          <w:rFonts w:ascii="Georgia" w:cs="Georgia" w:eastAsia="Georgia" w:hAnsi="Georgia"/>
          <w:sz w:val="18"/>
          <w:szCs w:val="18"/>
          <w:color w:val="auto"/>
        </w:rPr>
        <w:t>the varying volume of transactional activity. The procedures for testing variable consideration included evaluation of the terms and conditions for a sample of contracts.</w:t>
      </w:r>
    </w:p>
    <w:p>
      <w:pPr>
        <w:spacing w:after="0" w:line="34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color w:val="auto"/>
        </w:rPr>
        <w:t>Kansas City, Missouri</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August 26, 2024</w:t>
      </w: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2015.</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management of Jack Henry &amp; Associates, Inc. is responsible for establishing and maintaining adequate internal control over financial reporting, as such term is defined in Exchange Act Rules 13a-15(f) and 15d-15(e). The Company’s internal control over financial reporting is a process designed to provide reasonable assurance regarding the reliability of financial reporting and the preparation of the Company’s consolidated financial statements for external reporting purposes in accordance with U.S. GAAP.</w:t>
      </w:r>
    </w:p>
    <w:p>
      <w:pPr>
        <w:spacing w:after="0" w:line="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internal control over financial reporting includes policies and procedures pertaining to the maintenance of records that, in reasonable detail, accurately and fairly reflect transactions and dispositions of assets of the Company; provide reasonable assurance transactions are recorded as necessary to permit preparation of consolidated financial statements in accordance with U.S. GAAP, and receipts and expenditures of the Company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the Company’s consolidated financial statements. All internal controls, no matter how well designed, have inherent limitations. Therefore, even where internal control over financial reporting is determined to be effective, it can provide only reasonable assurance. Projections of any evaluation of effectiveness to future periods are subject to the risk controls may become inadequate because of changes in conditions, or the degree of compliance with the policies or procedures may deteriorate.</w:t>
      </w:r>
    </w:p>
    <w:p>
      <w:pPr>
        <w:spacing w:after="0" w:line="5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June 30, 2024, management conducted an assessment of the effectiveness of the Company’s internal control over financial reporting based on the framework established in Internal Control-Integrated Framework (2013) issued by the Committee of Sponsoring Organizations of the Treadway Commission ("COSO"). Based on this assessment, management has concluded the Company’s internal control over financial reporting as of June 30, 2024, was effective.</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internal control over financial reporting as of June 30, 2024, has been audited by PricewaterhouseCoopers LLP, an independent registered public accounting firm, as stated in their report appearing in this Item 8.</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JACK HENRY &amp; ASSOCIATES, INC. AND SUBSIDIARIES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Year Ended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5"/>
        </w:trPr>
        <w:tc>
          <w:tcPr>
            <w:tcW w:w="6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9"/>
              </w:rPr>
              <w:t>June 30,</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r>
      <w:tr>
        <w:trPr>
          <w:trHeight w:val="237"/>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2,215,543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2,077,702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1,942,884</w:t>
            </w:r>
          </w:p>
        </w:tc>
      </w:tr>
      <w:tr>
        <w:trPr>
          <w:trHeight w:val="257"/>
        </w:trPr>
        <w:tc>
          <w:tcPr>
            <w:tcW w:w="6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52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1,299,477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1,219,062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1,128,614</w:t>
            </w:r>
          </w:p>
        </w:tc>
      </w:tr>
      <w:tr>
        <w:trPr>
          <w:trHeight w:val="229"/>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148,256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121,355</w:t>
            </w:r>
          </w:p>
        </w:tc>
      </w:tr>
      <w:tr>
        <w:trPr>
          <w:trHeight w:val="230"/>
        </w:trPr>
        <w:tc>
          <w:tcPr>
            <w:tcW w:w="6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278,419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218,296</w:t>
            </w:r>
          </w:p>
        </w:tc>
      </w:tr>
      <w:tr>
        <w:trPr>
          <w:trHeight w:val="223"/>
        </w:trPr>
        <w:tc>
          <w:tcPr>
            <w:tcW w:w="65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1,726,152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1,597,014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1,468,265</w:t>
            </w:r>
          </w:p>
        </w:tc>
      </w:tr>
      <w:tr>
        <w:trPr>
          <w:trHeight w:val="237"/>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489,391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474,619</w:t>
            </w:r>
          </w:p>
        </w:tc>
      </w:tr>
      <w:tr>
        <w:trPr>
          <w:trHeight w:val="257"/>
        </w:trPr>
        <w:tc>
          <w:tcPr>
            <w:tcW w:w="6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5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25,012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r>
      <w:tr>
        <w:trPr>
          <w:trHeight w:val="223"/>
        </w:trPr>
        <w:tc>
          <w:tcPr>
            <w:tcW w:w="65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 (Expense)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r>
      <w:tr>
        <w:trPr>
          <w:trHeight w:val="237"/>
        </w:trPr>
        <w:tc>
          <w:tcPr>
            <w:tcW w:w="6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498,019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474,574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472,267</w:t>
            </w:r>
          </w:p>
        </w:tc>
      </w:tr>
      <w:tr>
        <w:trPr>
          <w:trHeight w:val="257"/>
        </w:trPr>
        <w:tc>
          <w:tcPr>
            <w:tcW w:w="65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116,203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107,928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109,351</w:t>
            </w:r>
          </w:p>
        </w:tc>
      </w:tr>
      <w:tr>
        <w:trPr>
          <w:trHeight w:val="257"/>
        </w:trPr>
        <w:tc>
          <w:tcPr>
            <w:tcW w:w="65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381,816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362,916</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73,324</w:t>
            </w:r>
          </w:p>
        </w:tc>
      </w:tr>
      <w:tr>
        <w:trPr>
          <w:trHeight w:val="257"/>
        </w:trPr>
        <w:tc>
          <w:tcPr>
            <w:tcW w:w="6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73,025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73,096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73,486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JACK HENRY &amp; ASSOCIATES,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43"/>
        </w:trPr>
        <w:tc>
          <w:tcPr>
            <w:tcW w:w="77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8"/>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333,033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361,252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168,768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169,178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85,784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77,766</w:t>
            </w:r>
          </w:p>
        </w:tc>
        <w:tc>
          <w:tcPr>
            <w:tcW w:w="0" w:type="dxa"/>
            <w:vAlign w:val="bottom"/>
          </w:tcPr>
          <w:p>
            <w:pPr>
              <w:spacing w:after="0"/>
              <w:rPr>
                <w:sz w:val="1"/>
                <w:szCs w:val="1"/>
                <w:color w:val="auto"/>
              </w:rPr>
            </w:pPr>
          </w:p>
        </w:tc>
      </w:tr>
      <w:tr>
        <w:trPr>
          <w:trHeight w:val="223"/>
        </w:trPr>
        <w:tc>
          <w:tcPr>
            <w:tcW w:w="7780" w:type="dxa"/>
            <w:vAlign w:val="bottom"/>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632,018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627,962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215,069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205,664</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costs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183,307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161,465</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Computer software, net of amortization</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592,761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565,714</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417,621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322,698</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56,757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65,528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804,797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804,797</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2,077,394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1,940,200</w:t>
            </w:r>
          </w:p>
        </w:tc>
        <w:tc>
          <w:tcPr>
            <w:tcW w:w="0" w:type="dxa"/>
            <w:vAlign w:val="bottom"/>
          </w:tcPr>
          <w:p>
            <w:pPr>
              <w:spacing w:after="0"/>
              <w:rPr>
                <w:sz w:val="1"/>
                <w:szCs w:val="1"/>
                <w:color w:val="auto"/>
              </w:rPr>
            </w:pPr>
          </w:p>
        </w:tc>
      </w:tr>
      <w:tr>
        <w:trPr>
          <w:trHeight w:val="223"/>
        </w:trPr>
        <w:tc>
          <w:tcPr>
            <w:tcW w:w="7780" w:type="dxa"/>
            <w:vAlign w:val="bottom"/>
          </w:tcPr>
          <w:p>
            <w:pPr>
              <w:ind w:left="56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2,924,481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2,773,826</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19,156</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200,770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172,629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revenues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317,730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331,974</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633,814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523,759</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revenues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71,202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67,755</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Deferred income tax liability</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243,522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244,431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net of current maturities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54,371</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448,303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641,557</w:t>
            </w:r>
          </w:p>
        </w:tc>
        <w:tc>
          <w:tcPr>
            <w:tcW w:w="0" w:type="dxa"/>
            <w:vAlign w:val="bottom"/>
          </w:tcPr>
          <w:p>
            <w:pPr>
              <w:spacing w:after="0"/>
              <w:rPr>
                <w:sz w:val="1"/>
                <w:szCs w:val="1"/>
                <w:color w:val="auto"/>
              </w:rPr>
            </w:pPr>
          </w:p>
        </w:tc>
      </w:tr>
      <w:tr>
        <w:trPr>
          <w:trHeight w:val="223"/>
        </w:trPr>
        <w:tc>
          <w:tcPr>
            <w:tcW w:w="7780" w:type="dxa"/>
            <w:vAlign w:val="bottom"/>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1,082,117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1,165,316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Preferred stock - $1 par value; 500,000 shares authorized, none issued</w:t>
            </w: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 $0.01 par value; 250,000,000 shares authorized;</w:t>
            </w: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80" w:type="dxa"/>
            <w:vAlign w:val="bottom"/>
            <w:shd w:val="clear" w:color="auto" w:fill="CCEEFF"/>
          </w:tcPr>
          <w:p>
            <w:pPr>
              <w:ind w:left="400"/>
              <w:spacing w:after="0" w:line="183" w:lineRule="exact"/>
              <w:rPr>
                <w:sz w:val="20"/>
                <w:szCs w:val="20"/>
                <w:color w:val="auto"/>
              </w:rPr>
            </w:pPr>
            <w:r>
              <w:rPr>
                <w:rFonts w:ascii="Arial" w:cs="Arial" w:eastAsia="Arial" w:hAnsi="Arial"/>
                <w:sz w:val="18"/>
                <w:szCs w:val="18"/>
                <w:color w:val="auto"/>
              </w:rPr>
              <w:t>104,245,089 shares issued at June 30, 2024;</w:t>
            </w:r>
          </w:p>
        </w:tc>
        <w:tc>
          <w:tcPr>
            <w:tcW w:w="2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1,042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35"/>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104,088,784 shares issued at June 30, 2023</w:t>
            </w:r>
          </w:p>
        </w:tc>
        <w:tc>
          <w:tcPr>
            <w:tcW w:w="28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619,805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583,836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3,081,690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2,855,751</w:t>
            </w:r>
          </w:p>
        </w:tc>
        <w:tc>
          <w:tcPr>
            <w:tcW w:w="0" w:type="dxa"/>
            <w:vAlign w:val="bottom"/>
          </w:tcPr>
          <w:p>
            <w:pPr>
              <w:spacing w:after="0"/>
              <w:rPr>
                <w:sz w:val="1"/>
                <w:szCs w:val="1"/>
                <w:color w:val="auto"/>
              </w:rPr>
            </w:pPr>
          </w:p>
        </w:tc>
      </w:tr>
      <w:tr>
        <w:trPr>
          <w:trHeight w:val="175"/>
        </w:trPr>
        <w:tc>
          <w:tcPr>
            <w:tcW w:w="7780" w:type="dxa"/>
            <w:vAlign w:val="bottom"/>
          </w:tcPr>
          <w:p>
            <w:pPr>
              <w:ind w:left="140"/>
              <w:spacing w:after="0" w:line="176" w:lineRule="exact"/>
              <w:rPr>
                <w:sz w:val="20"/>
                <w:szCs w:val="20"/>
                <w:color w:val="auto"/>
              </w:rPr>
            </w:pPr>
            <w:r>
              <w:rPr>
                <w:rFonts w:ascii="Arial" w:cs="Arial" w:eastAsia="Arial" w:hAnsi="Arial"/>
                <w:sz w:val="18"/>
                <w:szCs w:val="18"/>
                <w:color w:val="auto"/>
              </w:rPr>
              <w:t>Less treasury stock at cost</w:t>
            </w: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80" w:type="dxa"/>
            <w:vAlign w:val="bottom"/>
          </w:tcPr>
          <w:p>
            <w:pPr>
              <w:ind w:left="400"/>
              <w:spacing w:after="0" w:line="183" w:lineRule="exact"/>
              <w:rPr>
                <w:sz w:val="20"/>
                <w:szCs w:val="20"/>
                <w:color w:val="auto"/>
              </w:rPr>
            </w:pPr>
            <w:r>
              <w:rPr>
                <w:rFonts w:ascii="Arial" w:cs="Arial" w:eastAsia="Arial" w:hAnsi="Arial"/>
                <w:sz w:val="18"/>
                <w:szCs w:val="18"/>
                <w:color w:val="auto"/>
              </w:rPr>
              <w:t>31,372,959 shares at June 30, 2024;</w:t>
            </w:r>
          </w:p>
        </w:tc>
        <w:tc>
          <w:tcPr>
            <w:tcW w:w="2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(1,860,173)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(1,832,118)</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31,194,351 shares at June 30, 2023</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1,842,364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1,608,510</w:t>
            </w:r>
          </w:p>
        </w:tc>
        <w:tc>
          <w:tcPr>
            <w:tcW w:w="0" w:type="dxa"/>
            <w:vAlign w:val="bottom"/>
          </w:tcPr>
          <w:p>
            <w:pPr>
              <w:spacing w:after="0"/>
              <w:rPr>
                <w:sz w:val="1"/>
                <w:szCs w:val="1"/>
                <w:color w:val="auto"/>
              </w:rPr>
            </w:pPr>
          </w:p>
        </w:tc>
      </w:tr>
      <w:tr>
        <w:trPr>
          <w:trHeight w:val="223"/>
        </w:trPr>
        <w:tc>
          <w:tcPr>
            <w:tcW w:w="7780" w:type="dxa"/>
            <w:vAlign w:val="bottom"/>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2,924,481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2,773,826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340" w:right="2340"/>
        <w:spacing w:after="0" w:line="284" w:lineRule="auto"/>
        <w:rPr>
          <w:sz w:val="20"/>
          <w:szCs w:val="20"/>
          <w:color w:val="auto"/>
        </w:rPr>
      </w:pPr>
      <w:r>
        <w:rPr>
          <w:rFonts w:ascii="Arial" w:cs="Arial" w:eastAsia="Arial" w:hAnsi="Arial"/>
          <w:sz w:val="18"/>
          <w:szCs w:val="18"/>
          <w:b w:val="1"/>
          <w:bCs w:val="1"/>
          <w:color w:val="auto"/>
        </w:rPr>
        <w:t xml:space="preserve">JACK HENRY &amp; ASSOCIATES, INC. AND SUBSIDIARIES CONSOLIDATED STATEMENTS OF CHANGES IN STOCKHOLDERS' EQUITY </w:t>
      </w:r>
      <w:r>
        <w:rPr>
          <w:rFonts w:ascii="Arial" w:cs="Arial" w:eastAsia="Arial" w:hAnsi="Arial"/>
          <w:sz w:val="18"/>
          <w:szCs w:val="18"/>
          <w:color w:val="auto"/>
        </w:rPr>
        <w:t>(In Thousands, Except Share and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Year Ended June 30,</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r>
      <w:tr>
        <w:trPr>
          <w:trHeight w:val="196"/>
        </w:trPr>
        <w:tc>
          <w:tcPr>
            <w:tcW w:w="5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Shares, beginning of year</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104,088,784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103,921,724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103,795,169</w:t>
            </w: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46,669</w:t>
            </w:r>
          </w:p>
        </w:tc>
      </w:tr>
      <w:tr>
        <w:trPr>
          <w:trHeight w:val="230"/>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79,886</w:t>
            </w:r>
          </w:p>
        </w:tc>
      </w:tr>
      <w:tr>
        <w:trPr>
          <w:trHeight w:val="248"/>
        </w:trPr>
        <w:tc>
          <w:tcPr>
            <w:tcW w:w="59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year</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104,245,089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104,088,784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103,921,724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1,041</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r>
      <w:tr>
        <w:trPr>
          <w:trHeight w:val="196"/>
        </w:trPr>
        <w:tc>
          <w:tcPr>
            <w:tcW w:w="5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583,836</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551,360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518,960</w:t>
            </w: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Tax withholding related to share based compensation</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(5,378)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(4,152)</w:t>
            </w: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w:t>
            </w:r>
          </w:p>
        </w:tc>
      </w:tr>
      <w:tr>
        <w:trPr>
          <w:trHeight w:val="230"/>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24,780</w:t>
            </w:r>
          </w:p>
        </w:tc>
      </w:tr>
      <w:tr>
        <w:trPr>
          <w:trHeight w:val="223"/>
        </w:trPr>
        <w:tc>
          <w:tcPr>
            <w:tcW w:w="5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619,805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583,836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551,360</w:t>
            </w:r>
          </w:p>
        </w:tc>
      </w:tr>
      <w:tr>
        <w:trPr>
          <w:trHeight w:val="196"/>
        </w:trPr>
        <w:tc>
          <w:tcPr>
            <w:tcW w:w="5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2,855,751</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2,636,342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2,412,496</w:t>
            </w: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381,816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362,916</w:t>
            </w:r>
          </w:p>
        </w:tc>
      </w:tr>
      <w:tr>
        <w:trPr>
          <w:trHeight w:val="229"/>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(155,877)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(139,070)</w:t>
            </w:r>
          </w:p>
        </w:tc>
      </w:tr>
      <w:tr>
        <w:trPr>
          <w:trHeight w:val="223"/>
        </w:trPr>
        <w:tc>
          <w:tcPr>
            <w:tcW w:w="5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3,081,690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2,855,751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2,636,342</w:t>
            </w:r>
          </w:p>
        </w:tc>
      </w:tr>
      <w:tr>
        <w:trPr>
          <w:trHeight w:val="196"/>
        </w:trPr>
        <w:tc>
          <w:tcPr>
            <w:tcW w:w="5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TREASURY STOCK:</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(1,832,118)</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(1,807,118)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(1,613,202)</w:t>
            </w: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shares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(193,916)</w:t>
            </w:r>
          </w:p>
        </w:tc>
      </w:tr>
      <w:tr>
        <w:trPr>
          <w:trHeight w:val="223"/>
        </w:trPr>
        <w:tc>
          <w:tcPr>
            <w:tcW w:w="59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year</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(1,860,173)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(1,832,118)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(1,807,118)</w:t>
            </w:r>
          </w:p>
        </w:tc>
      </w:tr>
      <w:tr>
        <w:trPr>
          <w:trHeight w:val="196"/>
        </w:trPr>
        <w:tc>
          <w:tcPr>
            <w:tcW w:w="5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1,842,364</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1,608,510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1,381,623</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9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2.14</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JACK HENRY &amp; ASSOCIATES, INC. AND SUBSIDIARIES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Year Ended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9"/>
              </w:rPr>
              <w:t>June 30,</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60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381,816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362,916</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line="176" w:lineRule="exact"/>
              <w:rPr>
                <w:sz w:val="20"/>
                <w:szCs w:val="20"/>
                <w:color w:val="auto"/>
              </w:rPr>
            </w:pPr>
            <w:r>
              <w:rPr>
                <w:rFonts w:ascii="Arial" w:cs="Arial" w:eastAsia="Arial" w:hAnsi="Arial"/>
                <w:sz w:val="18"/>
                <w:szCs w:val="18"/>
                <w:color w:val="auto"/>
              </w:rPr>
              <w:t>Adjustments to reconcile net income from operations</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020" w:type="dxa"/>
            <w:vAlign w:val="bottom"/>
          </w:tcPr>
          <w:p>
            <w:pPr>
              <w:ind w:left="280"/>
              <w:spacing w:after="0"/>
              <w:rPr>
                <w:sz w:val="20"/>
                <w:szCs w:val="20"/>
                <w:color w:val="auto"/>
              </w:rPr>
            </w:pPr>
            <w:r>
              <w:rPr>
                <w:rFonts w:ascii="Arial" w:cs="Arial" w:eastAsia="Arial" w:hAnsi="Arial"/>
                <w:sz w:val="18"/>
                <w:szCs w:val="18"/>
                <w:color w:val="auto"/>
              </w:rPr>
              <w:t>to net cash from operating activities: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46,342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50,789</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153,562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142,006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126,835</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income taxes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31,872</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Expense for stock-based compensation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28,873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28,611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24,780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(Gain)/loss on disposal of assets and businesses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receivables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(41,508)</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(115,558)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(112,316)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(82,565)</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accounts payable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Change in accrued expenses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37,292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income taxes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16,704</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 in deferred revenues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(10,797)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568,041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504,631</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Payment for acquisitions, net of cash acquired</w:t>
            </w: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(229,628)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(58,118)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Proceeds from the sale of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27,939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Purchased software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Computer software developed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(167,175)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(166,120)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(148,239)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investments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6020" w:type="dxa"/>
            <w:vAlign w:val="bottom"/>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(240,165)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(409,673)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(196,344)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Borrowings on credit facilities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332,000</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Repayments on credit facilities and financing leases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(650,060)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(317,127)</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stock</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(193,916)</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(155,877)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(147,237)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(139,070)</w:t>
            </w:r>
          </w:p>
        </w:tc>
        <w:tc>
          <w:tcPr>
            <w:tcW w:w="0" w:type="dxa"/>
            <w:vAlign w:val="bottom"/>
          </w:tcPr>
          <w:p>
            <w:pPr>
              <w:spacing w:after="0"/>
              <w:rPr>
                <w:sz w:val="1"/>
                <w:szCs w:val="1"/>
                <w:color w:val="auto"/>
              </w:rPr>
            </w:pPr>
          </w:p>
        </w:tc>
      </w:tr>
      <w:tr>
        <w:trPr>
          <w:trHeight w:val="175"/>
        </w:trPr>
        <w:tc>
          <w:tcPr>
            <w:tcW w:w="6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Proceeds from issuance of common stock upon exercise of stock</w:t>
            </w:r>
          </w:p>
        </w:tc>
        <w:tc>
          <w:tcPr>
            <w:tcW w:w="36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w:t>
            </w:r>
          </w:p>
        </w:tc>
        <w:tc>
          <w:tcPr>
            <w:tcW w:w="36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Tax withholding payments related to share based compensation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(5,378)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12,475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11,773</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(301,835)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(310,492)</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12,243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50,992</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JACK HENRY &amp; ASSOCIATES,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34" w:lineRule="exact"/>
        <w:rPr>
          <w:sz w:val="20"/>
          <w:szCs w:val="20"/>
          <w:color w:val="auto"/>
        </w:rPr>
      </w:pPr>
    </w:p>
    <w:p>
      <w:pPr>
        <w:ind w:right="3060"/>
        <w:spacing w:after="0" w:line="352" w:lineRule="auto"/>
        <w:rPr>
          <w:sz w:val="20"/>
          <w:szCs w:val="20"/>
          <w:color w:val="auto"/>
        </w:rPr>
      </w:pPr>
      <w:r>
        <w:rPr>
          <w:rFonts w:ascii="Arial" w:cs="Arial" w:eastAsia="Arial" w:hAnsi="Arial"/>
          <w:sz w:val="18"/>
          <w:szCs w:val="18"/>
          <w:color w:val="auto"/>
        </w:rPr>
        <w:t>NOTE 1. NATURE OF OPERATIONS AND SUMMARY OF SIGNIFICANT ACCOUNTING POLICIES DESCRIPTION OF THE COMPANY</w:t>
      </w:r>
    </w:p>
    <w:p>
      <w:pPr>
        <w:jc w:val="both"/>
        <w:spacing w:after="0" w:line="262" w:lineRule="auto"/>
        <w:rPr>
          <w:sz w:val="20"/>
          <w:szCs w:val="20"/>
          <w:color w:val="auto"/>
        </w:rPr>
      </w:pPr>
      <w:r>
        <w:rPr>
          <w:rFonts w:ascii="Arial" w:cs="Arial" w:eastAsia="Arial" w:hAnsi="Arial"/>
          <w:sz w:val="18"/>
          <w:szCs w:val="18"/>
          <w:color w:val="auto"/>
        </w:rPr>
        <w:t>Jack Henry &amp; Associates, Inc. and subsidiaries ("Jack Henry" or the "Company") is a well-rounded financial technology company. Jack Henry was founded in 1976 as a provider of core processing solutions for banks. Today, the Company’s extensive array of products and services includes processing transactions, automating business processes, and managing information for approximately 7,500 financial institutions and diverse corporate entities.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CONSOLIDATION</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consolidated financial statements include the accounts of Jack Henry and all its subsidiaries, which are wholly owned, and all intercompany accounts and transactions have been eliminated.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generates "Services and Support" revenue through software licensing and related services, private cloud core and complementary software solutions, professional services, and hardware sales. The Company generates "Processing" revenue through processing of remittance transactions, card transactions and monthly fees, and digital transactions.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enters into contracts with clients that may include multiple types of goods and services. At contract inception, the Company assesses the solutions and services promised in its contracts with clients and identifies a performance obligation for each promise to transfer to the client a solution or service (or bundle of solutions or services) that is distinct - that is, if the solution or service is separately identifiable from other items in the arrangement and if the client can benefit from the solution or service on its own or together with other resources that are readily available. Judgment is used in the identification and accounting for all performance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amount of revenue recognized is based on the consideration the Company expects to receive in exchange for transferring goods and services to the client. The Company’s contracts with its clients frequently contain some component of variable consideration. The Company estimates variable consideration in its contracts primarily using the expected value method, based on both historical and current information. Where appropriate, the Company may constrain the estimated variable consideration included in the transaction price in the event of a high degree of uncertainty as to the final consideration amount. Significant judgment is used in the estimate of variable consideration of client contracts that are long-term and include varying transactional volumes.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transaction price, once determined, is allocated between the various performance obligations in the contract based upon their relative standalone selling prices. The standalone selling prices are determined based on the prices at which the Company separately sells each good or service. For items that are not sold separately, the Company estimates the standalone selling prices using all information that is reasonably available, including reference to historical pricing data.</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COMPUTER SOFTWARE DEVELOPMENT</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capitalizes new product development costs incurred for software to be sold from the point at which technological feasibility has been established through the point at which the product is ready for general availability. Software development costs that are capitalized are evaluated on a product-by-product basis annually for impairment and are assigned an estimated economic life based on the type of product, market characteristics, and maturity of the market for that particular product. These costs are amortized based on current and estimated future revenue from the product or on a straight-line basis, whichever yields greater amortization expense. All of this amortization expense is included within components of operating income, primarily cost of revenue.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capitalizes development costs for internal use software beginning at the start of application development. Amortization begins on the date the software is placed in service and the amortization period is based on estimated useful life.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with maturities of three months or less at the time of acquisition to be cash equivalents.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Receivables are recorded at the time of billing. 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allowance for credit losses activity for the years ended June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Year Ended June 30,</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183"/>
        </w:trPr>
        <w:tc>
          <w:tcPr>
            <w:tcW w:w="6780" w:type="dxa"/>
            <w:vAlign w:val="bottom"/>
          </w:tcPr>
          <w:p>
            <w:pPr>
              <w:spacing w:after="0"/>
              <w:rPr>
                <w:sz w:val="15"/>
                <w:szCs w:val="15"/>
                <w:color w:val="auto"/>
              </w:rPr>
            </w:pPr>
          </w:p>
        </w:tc>
        <w:tc>
          <w:tcPr>
            <w:tcW w:w="1320" w:type="dxa"/>
            <w:vAlign w:val="bottom"/>
            <w:gridSpan w:val="3"/>
          </w:tcPr>
          <w:p>
            <w:pPr>
              <w:jc w:val="right"/>
              <w:ind w:right="80"/>
              <w:spacing w:after="0" w:line="182" w:lineRule="exact"/>
              <w:rPr>
                <w:sz w:val="20"/>
                <w:szCs w:val="20"/>
                <w:color w:val="auto"/>
              </w:rPr>
            </w:pPr>
            <w:r>
              <w:rPr>
                <w:rFonts w:ascii="Arial" w:cs="Arial" w:eastAsia="Arial" w:hAnsi="Arial"/>
                <w:sz w:val="18"/>
                <w:szCs w:val="18"/>
                <w:b w:val="1"/>
                <w:bCs w:val="1"/>
                <w:color w:val="auto"/>
              </w:rPr>
              <w:t>2024</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gridSpan w:val="2"/>
          </w:tcPr>
          <w:p>
            <w:pPr>
              <w:jc w:val="right"/>
              <w:ind w:right="940"/>
              <w:spacing w:after="0" w:line="182" w:lineRule="exact"/>
              <w:rPr>
                <w:sz w:val="20"/>
                <w:szCs w:val="20"/>
                <w:color w:val="auto"/>
              </w:rPr>
            </w:pPr>
            <w:r>
              <w:rPr>
                <w:rFonts w:ascii="Arial" w:cs="Arial" w:eastAsia="Arial" w:hAnsi="Arial"/>
                <w:sz w:val="18"/>
                <w:szCs w:val="18"/>
                <w:color w:val="auto"/>
                <w:w w:val="94"/>
              </w:rPr>
              <w:t>2023</w:t>
            </w:r>
          </w:p>
        </w:tc>
      </w:tr>
      <w:tr>
        <w:trPr>
          <w:trHeight w:val="20"/>
        </w:trPr>
        <w:tc>
          <w:tcPr>
            <w:tcW w:w="6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 beginning balance</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7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7,616</w:t>
            </w:r>
          </w:p>
        </w:tc>
      </w:tr>
      <w:tr>
        <w:trPr>
          <w:trHeight w:val="229"/>
        </w:trPr>
        <w:tc>
          <w:tcPr>
            <w:tcW w:w="6780" w:type="dxa"/>
            <w:vAlign w:val="bottom"/>
          </w:tcPr>
          <w:p>
            <w:pPr>
              <w:ind w:left="240"/>
              <w:spacing w:after="0"/>
              <w:rPr>
                <w:sz w:val="20"/>
                <w:szCs w:val="20"/>
                <w:color w:val="auto"/>
              </w:rPr>
            </w:pPr>
            <w:r>
              <w:rPr>
                <w:rFonts w:ascii="Arial" w:cs="Arial" w:eastAsia="Arial" w:hAnsi="Arial"/>
                <w:sz w:val="18"/>
                <w:szCs w:val="18"/>
                <w:color w:val="auto"/>
              </w:rPr>
              <w:t>Current provision for expected credit losses</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1,920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1,800</w:t>
            </w:r>
          </w:p>
        </w:tc>
      </w:tr>
      <w:tr>
        <w:trPr>
          <w:trHeight w:val="230"/>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Write-offs charged against allowance</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(1,458)</w:t>
            </w:r>
          </w:p>
        </w:tc>
      </w:tr>
      <w:tr>
        <w:trPr>
          <w:trHeight w:val="229"/>
        </w:trPr>
        <w:tc>
          <w:tcPr>
            <w:tcW w:w="6780" w:type="dxa"/>
            <w:vAlign w:val="bottom"/>
          </w:tcPr>
          <w:p>
            <w:pPr>
              <w:ind w:left="240"/>
              <w:spacing w:after="0"/>
              <w:rPr>
                <w:sz w:val="20"/>
                <w:szCs w:val="20"/>
                <w:color w:val="auto"/>
              </w:rPr>
            </w:pPr>
            <w:r>
              <w:rPr>
                <w:rFonts w:ascii="Arial" w:cs="Arial" w:eastAsia="Arial" w:hAnsi="Arial"/>
                <w:sz w:val="18"/>
                <w:szCs w:val="18"/>
                <w:color w:val="auto"/>
              </w:rPr>
              <w:t>Recoveries of amounts previously written off</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29"/>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Allowance for credit losses - ending balance</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7,477</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center"/>
              <w:ind w:right="7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7,955</w:t>
            </w:r>
          </w:p>
        </w:tc>
      </w:tr>
      <w:tr>
        <w:trPr>
          <w:trHeight w:val="21"/>
        </w:trPr>
        <w:tc>
          <w:tcPr>
            <w:tcW w:w="6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AND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stated at cost and depreciated using the straight-line method over the estimated useful lives of the assets.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with an indefinite life (goodwill), over an estimated economic benefit period, generally three to twenty years.</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reviews its long-lived assets and identifiable intangible assets with finite lives for impairment whenever events or changes in circumstances have indicated that it is more likely than not that the carrying amount of its assets might not be recoverable. The Company evaluates goodwill for impairment of value on an annual basis as of January 1 and between annual tests if events or changes in circumstances indicate that it is more likely than not that the asset might be impaired.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PURCHASE OF INVESTMENTS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June 30, 2024, and 2023, the Company had $25,750 and $18,250, respectively, in non-current investments. These investments were recorded at cost and are included within other non-current assets on the Company's balance sheet. The fair values of these investments have not been estimated, as estimation is not practicable due to limited investors which reduces available comparative information. There have been no events or changes in circumstances that would indicate an impairment and no price changes resulting from observing similar or identical investments. An impairment and/or an observable price change would be an adjustment to recorded cost. Fair values will not be estimated unless there are identified events or changes in circumstances that may have a significant adverse effect on the fair values of the investments. Equity transactions are monitored quarterly to assess whether there are indicators that fair value may be below carrying value.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each of the fiscal years ending June 30, 2024, 2023, and 2022, equals the Company’s 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 INFORMATION</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accordance with U.S. GAAP, the Company's operations are classified as four reportable segments: Core, Payments, Complementary, and Corporate and Other (see Note 14). Substantially all the Company’s revenues are derived from operations and assets located within the United States of America.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short-term borrowings on its existing credit facilities. The share repurchase program does not include specific price targets or timetables and may be suspended at any time. At June 30, 2024, there were 31,373 shares in treasury stock and the Company had the remaining authority to repurchase up to 3,618 additional shares of its common stock. The total cost of treasury shares at June 30, 2024, was $1,860,173. During fiscal 2024, the Company repurchased 179 shares of its common stock for $28,055 to be held in treasury. At June 30, 2023, there were 31,194 shares in treasury stock and the Company had authority to repurchase up to 3,796 additional shares of its common stock.</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10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Per share information is based on the weighted average number of common shares outstanding during the year. Stock options and restricted stock have been included in the calculation of income per diluted share to the extent they are dilutive. The difference between basic and diluted weighted average shares outstanding is the dilutive effect of outstanding stock options and restricted stock (see Note 11).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and tax bases of assets and liabilities. A valuation allowance would be established to reduce deferred tax assets if it is more likely than not that a deferred tax asset will not be realized.</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 are recognized on the full amount of unrecognized benefits for uncertain tax positions. The Company's policy is to include interest and penalties related to unrecognized tax benefits in income tax expense.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which improves the accounting for acquired revenue contracts with customers in a business combination by addressing diversity in practice and inconsistency related to recognition of an acquired contract liability and payment terms and their effect on subsequent revenue recognized by the acquirer. The ASU is effective for fiscal years beginning after December 15, 2022, and interim periods within those fiscal years. The Company adopted the ASU effective July 1, 2023, and will apply it prospectively to business combinations occurring after that date.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Adopted at Fiscal Year End</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is effective for fiscal years beginning after December 15, 2023, and interim periods within fiscal years beginning after December 15, 2024, and should be applied retrospectively to all prior periods presented in the financial statements. Early adoption is permitted. The Company is currently evaluating the impact of this ASU on its consolidated financial statements and related disclosures.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is currently evaluating the impact of this ASU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2.</w:t>
        <w:tab/>
        <w:t>REVENUE AND DEFERRED COSTS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generates revenue from data processing, transaction processing, software licensing and related services, professional services, and hardware sales.</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recognizes revenue when or as it satisfies each performance obligation by transferring control of a solution or service to the client.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the nature of the Company’s primary types of revenue: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Processing revenue is generated from transaction-based fees for electronic deposit and payment services, electronic funds transfers and debit and credit card processing. The Company’s arrangements for these services typically require the Company to “stand-ready” to provide specific services on a when and if needed basis by processing an unspecified number of transactions over the contractual term. The fees for these services may be fixed or variable (based upon performing an unspecified quantity of services), and pricing may include tiered pricing structures. Amounts of revenue allocated to these services are recognized as those services are performed. Clients are typically billed monthly for transactions processed during the month. The Company evaluates tiered pricing to determine if a material right exists. If, after that evaluation, it determines a material right does exist, it assigns value to the material right based upon standalone selling price after estimation of breakage associated with the material right.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and public cloud</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Private and public cloud revenue is generated from data and item processing services and hosting fees. The Company’s arrangements for these services typically require the Company to “stand-ready” to provide specific services on a when and if needed basis. The fees for these services may be fixed or variable (based upon performing an unspecified quantity of services), and pricing may include tiered pricing structures. Amounts of revenue allocated to these services are recognized as those services are performed. Data and item processing services are typically billed monthly. The Company evaluates tiered pricing to determine if a material right exists. If, after that evaluation, it determines a material right does exist, it assigns value to the material right based upon standalone selling price.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delivery and services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delivery and services revenue is generated primarily from software licensing and related professional services and hardware delivery. Software licenses, along with any professional services from which they are not considered distinct, are recognized as they are delivered to the client. Hardware revenue is recognized upon delivery. Professional services that are distinct are recognized as the services are performed. Deconversion fees are also included within product delivery and services and are considered a contract modification. Therefore, the Company recognizes these fees over the remaining modified contract term.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On-premise support</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On-premise support revenue is generated from software maintenance for ongoing client support and software usage, which includes a license and ongoing client support. The Company’s arrangements for these services typically require the Company to “stand-ready” to provide specific services on a when and if needed basis. The fees for these services may be fixed or variable (based upon performing an unspecified quantity of services). Software maintenance fees are typically billed to the client annually in advance and recognized ratably over the maintenance term. Software usage is typically billed annually in advance, with the license delivered and recognized at the outset, and the maintenance fee recognized ratably over the maintenance term. Accordingly, the Company utilizes the practical expedient which allows entities to disregard the effects of a financing component when the contract period is one year or less.</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Taxes collected from clients and remitted to governmental authorities are not included in revenue. The Company includes reimbursements from clients for expenses incurred in providing services (such as for postage, travel and telecommunications costs) in revenue, while the related costs are included in cost of revenue.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tables below present the Company's revenue disaggregated by type of revenue. Refer to Note 14 – Reportable Segment Information for disaggregated revenue by type and reportable segment. The majority of the Company’s revenue is earned domestically, with revenue from clients outside the United States comprising less than 1% of total revenue.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color w:val="auto"/>
              </w:rPr>
              <w:t>Year Ended June 30,</w:t>
            </w:r>
          </w:p>
        </w:tc>
        <w:tc>
          <w:tcPr>
            <w:tcW w:w="6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170"/>
        </w:trPr>
        <w:tc>
          <w:tcPr>
            <w:tcW w:w="6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6"/>
                <w:szCs w:val="16"/>
                <w:b w:val="1"/>
                <w:bCs w:val="1"/>
                <w:color w:val="auto"/>
                <w:w w:val="95"/>
              </w:rPr>
              <w:t>2024</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3"/>
          </w:tcPr>
          <w:p>
            <w:pPr>
              <w:jc w:val="right"/>
              <w:ind w:right="620"/>
              <w:spacing w:after="0" w:line="170" w:lineRule="exact"/>
              <w:rPr>
                <w:sz w:val="20"/>
                <w:szCs w:val="20"/>
                <w:color w:val="auto"/>
              </w:rPr>
            </w:pPr>
            <w:r>
              <w:rPr>
                <w:rFonts w:ascii="Arial" w:cs="Arial" w:eastAsia="Arial" w:hAnsi="Arial"/>
                <w:sz w:val="16"/>
                <w:szCs w:val="16"/>
                <w:color w:val="auto"/>
              </w:rPr>
              <w:t>2023</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6"/>
                <w:szCs w:val="16"/>
                <w:color w:val="auto"/>
                <w:w w:val="95"/>
              </w:rPr>
              <w:t>2022</w:t>
            </w:r>
          </w:p>
        </w:tc>
        <w:tc>
          <w:tcPr>
            <w:tcW w:w="620" w:type="dxa"/>
            <w:vAlign w:val="bottom"/>
          </w:tcPr>
          <w:p>
            <w:pPr>
              <w:spacing w:after="0"/>
              <w:rPr>
                <w:sz w:val="14"/>
                <w:szCs w:val="14"/>
                <w:color w:val="auto"/>
              </w:rPr>
            </w:pPr>
          </w:p>
        </w:tc>
      </w:tr>
      <w:tr>
        <w:trPr>
          <w:trHeight w:val="20"/>
        </w:trPr>
        <w:tc>
          <w:tcPr>
            <w:tcW w:w="6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and Public Cloud</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682,146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618,850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561,500</w:t>
            </w:r>
          </w:p>
        </w:tc>
      </w:tr>
      <w:tr>
        <w:trPr>
          <w:trHeight w:val="216"/>
        </w:trPr>
        <w:tc>
          <w:tcPr>
            <w:tcW w:w="6280" w:type="dxa"/>
            <w:vAlign w:val="bottom"/>
          </w:tcPr>
          <w:p>
            <w:pPr>
              <w:ind w:left="20"/>
              <w:spacing w:after="0"/>
              <w:rPr>
                <w:sz w:val="20"/>
                <w:szCs w:val="20"/>
                <w:color w:val="auto"/>
              </w:rPr>
            </w:pPr>
            <w:r>
              <w:rPr>
                <w:rFonts w:ascii="Arial" w:cs="Arial" w:eastAsia="Arial" w:hAnsi="Arial"/>
                <w:sz w:val="16"/>
                <w:szCs w:val="16"/>
                <w:color w:val="auto"/>
              </w:rPr>
              <w:t>Product Delivery and Services</w:t>
            </w: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238,723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245,687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250,843</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On-Premise Support</w:t>
            </w: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355,085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350,164</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344,022</w:t>
            </w:r>
          </w:p>
        </w:tc>
      </w:tr>
      <w:tr>
        <w:trPr>
          <w:trHeight w:val="209"/>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Services and Support</w:t>
            </w: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1,275,954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1,214,701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1,156,365</w:t>
            </w:r>
          </w:p>
        </w:tc>
      </w:tr>
      <w:tr>
        <w:trPr>
          <w:trHeight w:val="216"/>
        </w:trPr>
        <w:tc>
          <w:tcPr>
            <w:tcW w:w="6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939,589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863,001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786,519</w:t>
            </w:r>
          </w:p>
        </w:tc>
      </w:tr>
      <w:tr>
        <w:trPr>
          <w:trHeight w:val="216"/>
        </w:trPr>
        <w:tc>
          <w:tcPr>
            <w:tcW w:w="62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r>
      <w:tr>
        <w:trPr>
          <w:trHeight w:val="209"/>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2,215,543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2,077,702</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1,942,884</w:t>
            </w:r>
          </w:p>
        </w:tc>
      </w:tr>
      <w:tr>
        <w:trPr>
          <w:trHeight w:val="21"/>
        </w:trPr>
        <w:tc>
          <w:tcPr>
            <w:tcW w:w="6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clients.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43"/>
        </w:trPr>
        <w:tc>
          <w:tcPr>
            <w:tcW w:w="77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333,033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361,252</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Assets - Current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33,610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26,711</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Non-current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81,561</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Contract Liabilities (Deferred Revenue) - Current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317,730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331,974</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 Non-current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71,202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67,755</w:t>
            </w:r>
          </w:p>
        </w:tc>
      </w:tr>
    </w:tbl>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 assets primarily result from revenue being recognized when or as control of a solution or service is transferred to the client, but where invoicing is contingent upon the completion of other performance obligations or payment terms differ from the provisioning of services. The current portion of contract assets is reported within prepaid expenses and other in the consolidated balance sheet, and the non-current portion is included in other non-current assets. Contract liabilities (deferred revenue) primarily relate to consideration received from clients in advance of delivery of the related goods and services to the client. Contract balances are reported in a net contract asset or liability position on a contract-by-contract basis at the end of each reporting period.</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fiscal years ended June 30, 2024, 2023, and 2022, the Company recognized revenue of $270,241, $267,978, and $270,972, respectively, that was included in the corresponding deferred revenue balance at the beginning of the periods.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2024, estimated revenue expected to be recognized in the future related to performance obligations that are unsatisfied (or partially unsatisfied) at the end of the reporting period totaled $6,810,946. The Company expects to recognize approximately 25% over the next 12 months, 19% in 13 - 24 months, and the balance thereafter.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clients that are expected to be recovered. These costs consist primarily of sales commissions, which are incurred only if a contract is obtained, and client conversion or implementation-related costs. Capitalized costs are amortized based on the transfer of goods or services to which the asset relates, in line with the percentage of revenue recognized for each performance obligation to which the costs are allocated.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Capitalized costs totaled $503,152 and $442,012, at June 30, 2024, and 2023, respectively.</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fiscal years ended June 30, 2024, 2023, and 2022, amortization of deferred contract costs totaled $175,029, $154,008, and $133,174, respectively. There were no impairment losses in relation to capitalized costs for the periods presented.</w:t>
      </w:r>
    </w:p>
    <w:p>
      <w:pPr>
        <w:spacing w:after="0" w:line="26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r>
      <w:r>
        <w:rPr>
          <w:sz w:val="20"/>
          <w:szCs w:val="20"/>
          <w:color w:val="auto"/>
        </w:rPr>
        <w:tab/>
      </w:r>
      <w:r>
        <w:rPr>
          <w:rFonts w:ascii="Arial" w:cs="Arial" w:eastAsia="Arial" w:hAnsi="Arial"/>
          <w:sz w:val="17"/>
          <w:szCs w:val="17"/>
          <w:color w:val="auto"/>
        </w:rPr>
        <w:t>FAIR VALUE OF FINANCIAL INSTRUMENTS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104"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20" w:type="dxa"/>
            <w:vAlign w:val="bottom"/>
          </w:tcPr>
          <w:p>
            <w:pPr>
              <w:spacing w:after="0"/>
              <w:rPr>
                <w:sz w:val="20"/>
                <w:szCs w:val="20"/>
                <w:color w:val="auto"/>
              </w:rPr>
            </w:pPr>
          </w:p>
        </w:tc>
        <w:tc>
          <w:tcPr>
            <w:tcW w:w="4440" w:type="dxa"/>
            <w:vAlign w:val="bottom"/>
            <w:tcBorders>
              <w:bottom w:val="single" w:sz="8" w:color="auto"/>
            </w:tcBorders>
            <w:gridSpan w:val="7"/>
          </w:tcPr>
          <w:p>
            <w:pPr>
              <w:jc w:val="center"/>
              <w:ind w:left="270"/>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Total Fair</w:t>
            </w:r>
          </w:p>
        </w:tc>
      </w:tr>
      <w:tr>
        <w:trPr>
          <w:trHeight w:val="223"/>
        </w:trPr>
        <w:tc>
          <w:tcPr>
            <w:tcW w:w="47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June 30, 2024</w:t>
            </w: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400"/>
              <w:spacing w:after="0"/>
              <w:rPr>
                <w:sz w:val="20"/>
                <w:szCs w:val="20"/>
                <w:color w:val="auto"/>
              </w:rPr>
            </w:pPr>
            <w:r>
              <w:rPr>
                <w:rFonts w:ascii="Arial" w:cs="Arial" w:eastAsia="Arial" w:hAnsi="Arial"/>
                <w:sz w:val="18"/>
                <w:szCs w:val="18"/>
                <w:color w:val="auto"/>
              </w:rPr>
              <w:t>Certificates of Deposit</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3,505</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3,505</w:t>
            </w: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20" w:type="dxa"/>
            <w:vAlign w:val="bottom"/>
          </w:tcPr>
          <w:p>
            <w:pPr>
              <w:ind w:left="440"/>
              <w:spacing w:after="0"/>
              <w:rPr>
                <w:sz w:val="20"/>
                <w:szCs w:val="20"/>
                <w:color w:val="auto"/>
              </w:rPr>
            </w:pPr>
            <w:r>
              <w:rPr>
                <w:rFonts w:ascii="Arial" w:cs="Arial" w:eastAsia="Arial" w:hAnsi="Arial"/>
                <w:sz w:val="18"/>
                <w:szCs w:val="18"/>
                <w:color w:val="auto"/>
              </w:rPr>
              <w:t>Credit facilities</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150,000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150,000</w:t>
            </w: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facilities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r>
    </w:tbl>
    <w:p>
      <w:pPr>
        <w:spacing w:after="0" w:line="3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LEASES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determines if an arrangement is a lease, or contains a lease, at inception. The lease term begins on the commencement date, which is the date the Company takes possession of the property and may include options to extend or terminate the lease when it is reasonably certain that the option will be exercised. The lease term is used to determine lease classification as an operating or finance lease and is used to calculate straight-line expense for operating leases.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Right-of-use (“ROU”) assets represent the Company’s right to use an underlying asset for the lease term and lease liabilities represent the Company’s obligation to make lease payments arising from the lease. As a practical expedient,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ROU assets also include prepaid lease payments and exclude lease incentives received.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estimates contingent lease incentives when it is probable that the Company is entitled to the incentive at lease commencement. Since the Company’s leases do not typically provide an implicit rate, the Company uses its incremental borrowing rate based upon the information available at commencement date for both real estate and equipment leases. The determination of the incremental borrowing rate requires judgment. The Company determines the incremental borrowing rate using the Company’s current unsecured borrowing rate, adjusted for various factors such as collateralization and term to align with the terms of the lease. The Company elected the short-term lease recognition exemption for all leases that qualify. Therefore, leases with an initial term of 12 months or less are not recorded on the balance sheet; instead, lease payments are recognized as lease expense on a straight-line basis over the lease term.</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leases certain office space, data centers and equipment. The Company’s leases have remaining terms of 3 months to 9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These variable lease costs are recognized as a variable lease expense when incurred. Certain leases include options to purchase the leased asset at the end of the lease term, which is assessed as a part of the Company’s lease classification determination. The depreciable life of the ROU asset and leasehold improvements are limited by the expected lease term unless the Company is reasonably certain of a transfer of title or purchase option.</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June 30, 2024, and 2023, the Company had operating lease assets of $ 53,981 and $43,662, respectively. At June 30, 2024, total operating lease liabilities of $59,604 were comprised of current operating lease liabilities of $8,454 and noncurrent operating lease liabilities of $51,150. At June 30, 2023, total operating lease liabilities of $50,269 were comprised of current operating lease liabilities of $9,776 and noncurrent operating lease liabilities of $40,493.</w:t>
      </w:r>
    </w:p>
    <w:p>
      <w:pPr>
        <w:spacing w:after="0" w:line="5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 accrued expenses (current portion) and other long-term liabilities (noncurrent portion) in the Company’s consolidated balance sheet. Operating lease assets were recorded net of accumulated amortization of $34,306 and $34,973 as of June 30, 2024, and 2023, respectively.</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lease costs for the fiscal years ended June 30, 2024, 2023, and 2022, were $10,598, $11,870, and $13,058, respectively. Total operating lease costs for the fiscal years ended June 30, 2024, 2023, and 2022, included variable lease costs of approximately $4,087, $3,608, and $2,325, respectively. Operating lease expense is included within cost of services, research and development, and selling, general and administrative expense, dependent upon the nature and use of the ROU asset, in the Company’s consolidated statement of income.</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fiscal years ended June 30, 2024, 2023, and 2022, operating cash flows for payments on operating leases were $9,306, $12,127, and $13,082, respectively, and ROU assets obtained in exchange for operating lease liabilities were $19,222, $2,368, and $2,407, respectively.</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2024, 2023, and 2022, the weighted-average remaining lease terms for the Company's operating leases were 78 months, 78 months, and 76 months, respectively, and the weighted-average discount rates were 2.70%, 2.14%, and 2.58%, respectively.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30,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40" w:type="dxa"/>
            <w:vAlign w:val="bottom"/>
            <w:gridSpan w:val="2"/>
          </w:tcPr>
          <w:p>
            <w:pPr>
              <w:ind w:left="1600"/>
              <w:spacing w:after="0"/>
              <w:rPr>
                <w:sz w:val="20"/>
                <w:szCs w:val="20"/>
                <w:color w:val="auto"/>
              </w:rPr>
            </w:pPr>
            <w:r>
              <w:rPr>
                <w:rFonts w:ascii="Arial" w:cs="Arial" w:eastAsia="Arial" w:hAnsi="Arial"/>
                <w:sz w:val="18"/>
                <w:szCs w:val="18"/>
                <w:color w:val="auto"/>
              </w:rPr>
              <w:t>Due dates</w:t>
            </w:r>
          </w:p>
        </w:tc>
        <w:tc>
          <w:tcPr>
            <w:tcW w:w="240" w:type="dxa"/>
            <w:vAlign w:val="bottom"/>
          </w:tcPr>
          <w:p>
            <w:pPr>
              <w:spacing w:after="0"/>
              <w:rPr>
                <w:sz w:val="20"/>
                <w:szCs w:val="20"/>
                <w:color w:val="auto"/>
              </w:rPr>
            </w:pP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Future Minimum Rental Payments</w:t>
            </w:r>
          </w:p>
        </w:tc>
      </w:tr>
      <w:tr>
        <w:trPr>
          <w:trHeight w:val="250"/>
        </w:trPr>
        <w:tc>
          <w:tcPr>
            <w:tcW w:w="40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200" w:type="dxa"/>
            <w:vAlign w:val="bottom"/>
            <w:tcBorders>
              <w:top w:val="single" w:sz="8" w:color="auto"/>
            </w:tcBorders>
          </w:tcPr>
          <w:p>
            <w:pPr>
              <w:spacing w:after="0"/>
              <w:rPr>
                <w:sz w:val="21"/>
                <w:szCs w:val="21"/>
                <w:color w:val="auto"/>
              </w:rPr>
            </w:pPr>
          </w:p>
        </w:tc>
      </w:tr>
      <w:tr>
        <w:trPr>
          <w:trHeight w:val="229"/>
        </w:trPr>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r>
      <w:tr>
        <w:trPr>
          <w:trHeight w:val="230"/>
        </w:trPr>
        <w:tc>
          <w:tcPr>
            <w:tcW w:w="4040" w:type="dxa"/>
            <w:vAlign w:val="bottom"/>
          </w:tcPr>
          <w:p>
            <w:pPr>
              <w:jc w:val="right"/>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10,970</w:t>
            </w:r>
          </w:p>
        </w:tc>
      </w:tr>
      <w:tr>
        <w:trPr>
          <w:trHeight w:val="229"/>
        </w:trPr>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w:t>
            </w:r>
          </w:p>
        </w:tc>
      </w:tr>
      <w:tr>
        <w:trPr>
          <w:trHeight w:val="229"/>
        </w:trPr>
        <w:tc>
          <w:tcPr>
            <w:tcW w:w="4040" w:type="dxa"/>
            <w:vAlign w:val="bottom"/>
          </w:tcPr>
          <w:p>
            <w:pPr>
              <w:jc w:val="right"/>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10,106</w:t>
            </w:r>
          </w:p>
        </w:tc>
      </w:tr>
      <w:tr>
        <w:trPr>
          <w:trHeight w:val="230"/>
        </w:trPr>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r>
      <w:tr>
        <w:trPr>
          <w:trHeight w:val="229"/>
        </w:trPr>
        <w:tc>
          <w:tcPr>
            <w:tcW w:w="42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17,667</w:t>
            </w:r>
          </w:p>
        </w:tc>
      </w:tr>
      <w:tr>
        <w:trPr>
          <w:trHeight w:val="223"/>
        </w:trPr>
        <w:tc>
          <w:tcPr>
            <w:tcW w:w="4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67,123</w:t>
            </w:r>
          </w:p>
        </w:tc>
      </w:tr>
      <w:tr>
        <w:trPr>
          <w:trHeight w:val="229"/>
        </w:trPr>
        <w:tc>
          <w:tcPr>
            <w:tcW w:w="42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Less: interest</w:t>
            </w:r>
          </w:p>
        </w:tc>
        <w:tc>
          <w:tcPr>
            <w:tcW w:w="2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(7,519)</w:t>
            </w:r>
          </w:p>
        </w:tc>
      </w:tr>
      <w:tr>
        <w:trPr>
          <w:trHeight w:val="248"/>
        </w:trPr>
        <w:tc>
          <w:tcPr>
            <w:tcW w:w="4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Present value of lease liabilities - lessee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59,604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Future lease payments include $5,464 related to options to extend lease terms that are reasonably certain of being exercised. At June 30, 2024, there were no material legally binding lease payments for leases signed but not yet commenced.</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September 30, 2023, the Company entered into an agreement with a third party to sublease a portion of its Elizabethtown, Kentucky facility. The commencement date of the sublease was October 1, 2023, and has a term of 57 months. Sublease income for the fiscal year ended June 30, 2024, was $550</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is included within revenue on the Company's condensed consolidated statements of income. There have been no indications of impairment related to the underlying right-of-use asset.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Sublease Payments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June 30, 2024, the future total minimum sublease payments to be received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40" w:type="dxa"/>
            <w:vAlign w:val="bottom"/>
            <w:gridSpan w:val="2"/>
          </w:tcPr>
          <w:p>
            <w:pPr>
              <w:ind w:left="1100"/>
              <w:spacing w:after="0"/>
              <w:rPr>
                <w:sz w:val="20"/>
                <w:szCs w:val="20"/>
                <w:color w:val="auto"/>
              </w:rPr>
            </w:pPr>
            <w:r>
              <w:rPr>
                <w:rFonts w:ascii="Arial" w:cs="Arial" w:eastAsia="Arial" w:hAnsi="Arial"/>
                <w:sz w:val="18"/>
                <w:szCs w:val="18"/>
                <w:color w:val="auto"/>
              </w:rPr>
              <w:t>Due Dates (fiscal year)</w:t>
            </w:r>
          </w:p>
        </w:tc>
        <w:tc>
          <w:tcPr>
            <w:tcW w:w="260" w:type="dxa"/>
            <w:vAlign w:val="bottom"/>
          </w:tcPr>
          <w:p>
            <w:pPr>
              <w:spacing w:after="0"/>
              <w:rPr>
                <w:sz w:val="20"/>
                <w:szCs w:val="20"/>
                <w:color w:val="auto"/>
              </w:rPr>
            </w:pPr>
          </w:p>
        </w:tc>
        <w:tc>
          <w:tcPr>
            <w:tcW w:w="3360" w:type="dxa"/>
            <w:vAlign w:val="bottom"/>
          </w:tcPr>
          <w:p>
            <w:pPr>
              <w:jc w:val="right"/>
              <w:ind w:right="290"/>
              <w:spacing w:after="0"/>
              <w:rPr>
                <w:sz w:val="20"/>
                <w:szCs w:val="20"/>
                <w:color w:val="auto"/>
              </w:rPr>
            </w:pPr>
            <w:r>
              <w:rPr>
                <w:rFonts w:ascii="Arial" w:cs="Arial" w:eastAsia="Arial" w:hAnsi="Arial"/>
                <w:sz w:val="18"/>
                <w:szCs w:val="18"/>
                <w:color w:val="auto"/>
              </w:rPr>
              <w:t>Future Minimum Sublease Receipts</w:t>
            </w:r>
          </w:p>
        </w:tc>
      </w:tr>
      <w:tr>
        <w:trPr>
          <w:trHeight w:val="250"/>
        </w:trPr>
        <w:tc>
          <w:tcPr>
            <w:tcW w:w="40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tcPr>
          <w:p>
            <w:pPr>
              <w:spacing w:after="0"/>
              <w:rPr>
                <w:sz w:val="21"/>
                <w:szCs w:val="21"/>
                <w:color w:val="auto"/>
              </w:rPr>
            </w:pPr>
          </w:p>
        </w:tc>
      </w:tr>
      <w:tr>
        <w:trPr>
          <w:trHeight w:val="230"/>
        </w:trPr>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29"/>
        </w:trPr>
        <w:tc>
          <w:tcPr>
            <w:tcW w:w="4040" w:type="dxa"/>
            <w:vAlign w:val="bottom"/>
          </w:tcPr>
          <w:p>
            <w:pPr>
              <w:jc w:val="right"/>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30"/>
        </w:trPr>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4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2028</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r>
      <w:tr>
        <w:trPr>
          <w:trHeight w:val="248"/>
        </w:trPr>
        <w:tc>
          <w:tcPr>
            <w:tcW w:w="4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Total sublease receipts - lessor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3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3,442</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80" w:type="dxa"/>
            <w:vAlign w:val="bottom"/>
          </w:tcPr>
          <w:p>
            <w:pPr>
              <w:spacing w:after="0"/>
              <w:rPr>
                <w:sz w:val="20"/>
                <w:szCs w:val="20"/>
                <w:color w:val="auto"/>
              </w:rPr>
            </w:pPr>
            <w:r>
              <w:rPr>
                <w:rFonts w:ascii="Arial" w:cs="Arial" w:eastAsia="Arial" w:hAnsi="Arial"/>
                <w:sz w:val="18"/>
                <w:szCs w:val="18"/>
                <w:color w:val="auto"/>
              </w:rPr>
              <w:t>NOTE 5.  PROPERTY AND EQUIPMENT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97"/>
        </w:trPr>
        <w:tc>
          <w:tcPr>
            <w:tcW w:w="8800" w:type="dxa"/>
            <w:vAlign w:val="bottom"/>
            <w:gridSpan w:val="6"/>
          </w:tcPr>
          <w:p>
            <w:pPr>
              <w:spacing w:after="0"/>
              <w:rPr>
                <w:sz w:val="20"/>
                <w:szCs w:val="20"/>
                <w:color w:val="auto"/>
              </w:rPr>
            </w:pPr>
            <w:r>
              <w:rPr>
                <w:rFonts w:ascii="Arial" w:cs="Arial" w:eastAsia="Arial" w:hAnsi="Arial"/>
                <w:sz w:val="18"/>
                <w:szCs w:val="18"/>
                <w:color w:val="auto"/>
              </w:rPr>
              <w:t>The classification of property and equipment, together with their estimated useful lives is as follows: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7"/>
        </w:trPr>
        <w:tc>
          <w:tcPr>
            <w:tcW w:w="5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Estimated Useful Life</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24,322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24,251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80" w:type="dxa"/>
            <w:vAlign w:val="bottom"/>
          </w:tcPr>
          <w:p>
            <w:pPr>
              <w:ind w:left="20"/>
              <w:spacing w:after="0"/>
              <w:rPr>
                <w:sz w:val="20"/>
                <w:szCs w:val="20"/>
                <w:color w:val="auto"/>
              </w:rPr>
            </w:pPr>
            <w:r>
              <w:rPr>
                <w:rFonts w:ascii="Arial" w:cs="Arial" w:eastAsia="Arial" w:hAnsi="Arial"/>
                <w:sz w:val="18"/>
                <w:szCs w:val="18"/>
                <w:color w:val="auto"/>
              </w:rPr>
              <w:t>- 20 years</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133,835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129,991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 years</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51,432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51,125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8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- 30 years </w:t>
            </w:r>
            <w:r>
              <w:rPr>
                <w:rFonts w:ascii="Arial" w:cs="Arial" w:eastAsia="Arial" w:hAnsi="Arial"/>
                <w:sz w:val="25"/>
                <w:szCs w:val="25"/>
                <w:color w:val="auto"/>
                <w:vertAlign w:val="superscript"/>
              </w:rPr>
              <w:t>(1)</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and furniture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418,853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 years</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Aircraft and equipment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44,140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180" w:type="dxa"/>
            <w:vAlign w:val="bottom"/>
          </w:tcPr>
          <w:p>
            <w:pPr>
              <w:ind w:left="20"/>
              <w:spacing w:after="0"/>
              <w:rPr>
                <w:sz w:val="20"/>
                <w:szCs w:val="20"/>
                <w:color w:val="auto"/>
              </w:rPr>
            </w:pPr>
            <w:r>
              <w:rPr>
                <w:rFonts w:ascii="Arial" w:cs="Arial" w:eastAsia="Arial" w:hAnsi="Arial"/>
                <w:sz w:val="18"/>
                <w:szCs w:val="18"/>
                <w:color w:val="auto"/>
              </w:rPr>
              <w:t>- 10 years</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Finance lease right-of-use asset </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3"/>
        </w:trPr>
        <w:tc>
          <w:tcPr>
            <w:tcW w:w="57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701,237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672,375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486,168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466,711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215,069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205,664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54"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Lesser of lease term or estimated useful life</w:t>
      </w:r>
    </w:p>
    <w:p>
      <w:pPr>
        <w:ind w:left="160" w:hanging="152"/>
        <w:spacing w:after="0"/>
        <w:tabs>
          <w:tab w:leader="none" w:pos="160" w:val="left"/>
        </w:tabs>
        <w:numPr>
          <w:ilvl w:val="0"/>
          <w:numId w:val="14"/>
        </w:numPr>
        <w:rPr>
          <w:rFonts w:ascii="Arial" w:cs="Arial" w:eastAsia="Arial" w:hAnsi="Arial"/>
          <w:sz w:val="9"/>
          <w:szCs w:val="9"/>
          <w:color w:val="auto"/>
        </w:rPr>
      </w:pPr>
      <w:r>
        <w:rPr>
          <w:rFonts w:ascii="Arial" w:cs="Arial" w:eastAsia="Arial" w:hAnsi="Arial"/>
          <w:sz w:val="14"/>
          <w:szCs w:val="14"/>
          <w:color w:val="auto"/>
        </w:rPr>
        <w:t>Fully depreciated at June 30, 2023.</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change in property and equipment in accrued liabilities was an increase of $723 and $3,969 for the fiscal years ended June 30, 2024, and 2023, respectively. These amounts were excluded from capital expenditures on the statements of cash flows.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 material impairments of property and equipment were recorded in the fiscal years ended June 30, 2024, 2023, or 2022.</w:t>
      </w:r>
    </w:p>
    <w:p>
      <w:pPr>
        <w:spacing w:after="0" w:line="200" w:lineRule="exact"/>
        <w:rPr>
          <w:sz w:val="20"/>
          <w:szCs w:val="20"/>
          <w:color w:val="auto"/>
        </w:rPr>
      </w:pPr>
    </w:p>
    <w:p>
      <w:pPr>
        <w:spacing w:after="0" w:line="2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tab/>
        <w:t>OTHER ASSETS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for the fiscal years ended June 30, 2024, and 2023, by reportable segments, is as follows:</w:t>
      </w:r>
    </w:p>
    <w:p>
      <w:pPr>
        <w:spacing w:after="0" w:line="50"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Core</w:t>
            </w: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195,578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195,578</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Goodwill, acquired during the year</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adjustments related to dispositions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195,578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195,578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9"/>
        </w:trPr>
        <w:tc>
          <w:tcPr>
            <w:tcW w:w="8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Payments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442,665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325,326</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Goodwill, acquired during the year</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117,339</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adjustments related to dispositions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442,665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442,665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9"/>
        </w:trPr>
        <w:tc>
          <w:tcPr>
            <w:tcW w:w="8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Complementary</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166,554</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Goodwill, acquired during the year</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adjustments related to dispositions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166,554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166,554</w:t>
            </w:r>
          </w:p>
        </w:tc>
      </w:tr>
      <w:tr>
        <w:trPr>
          <w:trHeight w:val="21"/>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Goodwill acquired during fiscal 2024 and 2023 was $0 and $ 117,339, respectively. Goodwill consists largely of the growth potential, synergies and economies of scale expected from combining the operations of the Company with those of the entities or assets acquired, together with their assembled workforces. No goodwill has been assigned to the Company's Corporate and Other reportable segment.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00" w:type="dxa"/>
            <w:vAlign w:val="bottom"/>
          </w:tcPr>
          <w:p>
            <w:pPr>
              <w:spacing w:after="0"/>
              <w:rPr>
                <w:sz w:val="20"/>
                <w:szCs w:val="20"/>
                <w:color w:val="auto"/>
              </w:rPr>
            </w:pPr>
            <w:r>
              <w:rPr>
                <w:rFonts w:ascii="Arial" w:cs="Arial" w:eastAsia="Arial" w:hAnsi="Arial"/>
                <w:sz w:val="18"/>
                <w:szCs w:val="18"/>
                <w:i w:val="1"/>
                <w:iCs w:val="1"/>
                <w:color w:val="auto"/>
              </w:rPr>
              <w:t>Other intangible assets</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700" w:type="dxa"/>
            <w:vAlign w:val="bottom"/>
          </w:tcPr>
          <w:p>
            <w:pPr>
              <w:spacing w:after="0"/>
              <w:rPr>
                <w:sz w:val="20"/>
                <w:szCs w:val="20"/>
                <w:color w:val="auto"/>
              </w:rPr>
            </w:pPr>
            <w:r>
              <w:rPr>
                <w:rFonts w:ascii="Arial" w:cs="Arial" w:eastAsia="Arial" w:hAnsi="Arial"/>
                <w:sz w:val="18"/>
                <w:szCs w:val="18"/>
                <w:color w:val="auto"/>
              </w:rPr>
              <w:t>Information regarding other identifiable intangible assets is as follows: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rPr>
              <w:t>June 30, 2024</w:t>
            </w: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rPr>
              <w:t>Gross Carrying</w:t>
            </w:r>
          </w:p>
        </w:tc>
        <w:tc>
          <w:tcPr>
            <w:tcW w:w="220" w:type="dxa"/>
            <w:vAlign w:val="bottom"/>
          </w:tcPr>
          <w:p>
            <w:pPr>
              <w:spacing w:after="0"/>
              <w:rPr>
                <w:sz w:val="14"/>
                <w:szCs w:val="14"/>
                <w:color w:val="auto"/>
              </w:rPr>
            </w:pPr>
          </w:p>
        </w:tc>
        <w:tc>
          <w:tcPr>
            <w:tcW w:w="16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rPr>
              <w:t>Accumulated</w:t>
            </w:r>
          </w:p>
        </w:tc>
        <w:tc>
          <w:tcPr>
            <w:tcW w:w="440" w:type="dxa"/>
            <w:vAlign w:val="bottom"/>
          </w:tcPr>
          <w:p>
            <w:pPr>
              <w:spacing w:after="0"/>
              <w:rPr>
                <w:sz w:val="14"/>
                <w:szCs w:val="14"/>
                <w:color w:val="auto"/>
              </w:rPr>
            </w:pPr>
          </w:p>
        </w:tc>
        <w:tc>
          <w:tcPr>
            <w:tcW w:w="134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1"/>
                <w:szCs w:val="21"/>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Amortization</w:t>
            </w:r>
          </w:p>
        </w:tc>
        <w:tc>
          <w:tcPr>
            <w:tcW w:w="44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306,036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(249,279)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56,757</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1,533,622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(940,861)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592,761</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111,510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(89,359)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22,151</w:t>
            </w: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9"/>
              </w:rPr>
              <w:t>June 30, 2023</w:t>
            </w: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9"/>
              </w:rPr>
              <w:t>Gross Carrying</w:t>
            </w:r>
          </w:p>
        </w:tc>
        <w:tc>
          <w:tcPr>
            <w:tcW w:w="220" w:type="dxa"/>
            <w:vAlign w:val="bottom"/>
          </w:tcPr>
          <w:p>
            <w:pPr>
              <w:spacing w:after="0"/>
              <w:rPr>
                <w:sz w:val="14"/>
                <w:szCs w:val="14"/>
                <w:color w:val="auto"/>
              </w:rPr>
            </w:pPr>
          </w:p>
        </w:tc>
        <w:tc>
          <w:tcPr>
            <w:tcW w:w="1660" w:type="dxa"/>
            <w:vAlign w:val="bottom"/>
            <w:gridSpan w:val="2"/>
          </w:tcPr>
          <w:p>
            <w:pPr>
              <w:jc w:val="center"/>
              <w:ind w:right="300"/>
              <w:spacing w:after="0" w:line="169" w:lineRule="exact"/>
              <w:rPr>
                <w:sz w:val="20"/>
                <w:szCs w:val="20"/>
                <w:color w:val="auto"/>
              </w:rPr>
            </w:pPr>
            <w:r>
              <w:rPr>
                <w:rFonts w:ascii="Arial" w:cs="Arial" w:eastAsia="Arial" w:hAnsi="Arial"/>
                <w:sz w:val="18"/>
                <w:szCs w:val="18"/>
                <w:color w:val="auto"/>
                <w:w w:val="99"/>
              </w:rPr>
              <w:t>Accumulated</w:t>
            </w:r>
          </w:p>
        </w:tc>
        <w:tc>
          <w:tcPr>
            <w:tcW w:w="440" w:type="dxa"/>
            <w:vAlign w:val="bottom"/>
          </w:tcPr>
          <w:p>
            <w:pPr>
              <w:spacing w:after="0"/>
              <w:rPr>
                <w:sz w:val="14"/>
                <w:szCs w:val="14"/>
                <w:color w:val="auto"/>
              </w:rPr>
            </w:pPr>
          </w:p>
        </w:tc>
        <w:tc>
          <w:tcPr>
            <w:tcW w:w="1340" w:type="dxa"/>
            <w:vAlign w:val="bottom"/>
            <w:vMerge w:val="restart"/>
          </w:tcPr>
          <w:p>
            <w:pPr>
              <w:jc w:val="right"/>
              <w:ind w:right="67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21"/>
                <w:szCs w:val="21"/>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Amortization</w:t>
            </w:r>
          </w:p>
        </w:tc>
        <w:tc>
          <w:tcPr>
            <w:tcW w:w="44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306,036</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(240,508)</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65,528</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(820,577)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565,714</w:t>
            </w:r>
          </w:p>
        </w:tc>
        <w:tc>
          <w:tcPr>
            <w:tcW w:w="0" w:type="dxa"/>
            <w:vAlign w:val="bottom"/>
          </w:tcPr>
          <w:p>
            <w:pPr>
              <w:spacing w:after="0"/>
              <w:rPr>
                <w:sz w:val="1"/>
                <w:szCs w:val="1"/>
                <w:color w:val="auto"/>
              </w:rPr>
            </w:pPr>
          </w:p>
        </w:tc>
      </w:tr>
      <w:tr>
        <w:trPr>
          <w:trHeight w:val="239"/>
        </w:trPr>
        <w:tc>
          <w:tcPr>
            <w:tcW w:w="57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108,826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(88,828)</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19,998</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relationships have useful lives ranging from 5 to 20 years.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Computer software includes cost of software to be sold, leased, or marketed of $178,588 and costs of internal-use software of $414,173 at June 30, 2024. At June 30, 2023, costs of software to be sold, leased, or marketed totaled $171,310, and costs of internal-use software totaled $394,404.</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Computer software includes the unamortized cost of commercial software products developed or acquired by the Company, which are capitalized and amortized over useful lives generally ranging from 5 to 15 years. Amortization expense for computer software totaled $137,958, $ 123,210, and $105,036 for the fiscal years ended June 30, 2024, 2023, and 2022, respectively. There were no material impairments in fiscal years ended June 30, 2024, 2023, and 2022.</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intangible assets have useful lives ranging from 3 to 20 years.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Amortization expense for all intangible assets was $153,562, $142,006, and $126,835 for the fiscal years ended June 30, 2024, 2023, and 2022, respectively. The estimated aggregate future amortization expense for each of the next five years for all intangible assets remaining as of June 30, 2024, is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Years Ending June 30,</w:t>
            </w:r>
          </w:p>
        </w:tc>
        <w:tc>
          <w:tcPr>
            <w:tcW w:w="2880" w:type="dxa"/>
            <w:vAlign w:val="bottom"/>
            <w:gridSpan w:val="3"/>
            <w:vMerge w:val="restart"/>
          </w:tcPr>
          <w:p>
            <w:pPr>
              <w:ind w:left="1120"/>
              <w:spacing w:after="0"/>
              <w:rPr>
                <w:sz w:val="20"/>
                <w:szCs w:val="20"/>
                <w:color w:val="auto"/>
              </w:rPr>
            </w:pPr>
            <w:r>
              <w:rPr>
                <w:rFonts w:ascii="Arial" w:cs="Arial" w:eastAsia="Arial" w:hAnsi="Arial"/>
                <w:sz w:val="18"/>
                <w:szCs w:val="18"/>
                <w:color w:val="auto"/>
              </w:rPr>
              <w:t>Computer Software</w:t>
            </w: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Customer</w:t>
            </w:r>
          </w:p>
        </w:tc>
        <w:tc>
          <w:tcPr>
            <w:tcW w:w="18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Other Intangible</w:t>
            </w:r>
          </w:p>
        </w:tc>
        <w:tc>
          <w:tcPr>
            <w:tcW w:w="400" w:type="dxa"/>
            <w:vAlign w:val="bottom"/>
          </w:tcPr>
          <w:p>
            <w:pPr>
              <w:spacing w:after="0"/>
              <w:rPr>
                <w:sz w:val="18"/>
                <w:szCs w:val="18"/>
                <w:color w:val="auto"/>
              </w:rPr>
            </w:pPr>
          </w:p>
        </w:tc>
        <w:tc>
          <w:tcPr>
            <w:tcW w:w="1340" w:type="dxa"/>
            <w:vAlign w:val="bottom"/>
            <w:vMerge w:val="restart"/>
          </w:tcPr>
          <w:p>
            <w:pPr>
              <w:jc w:val="right"/>
              <w:ind w:right="5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900" w:type="dxa"/>
            <w:vAlign w:val="bottom"/>
            <w:vMerge w:val="continue"/>
          </w:tcPr>
          <w:p>
            <w:pPr>
              <w:spacing w:after="0"/>
              <w:rPr>
                <w:sz w:val="21"/>
                <w:szCs w:val="21"/>
                <w:color w:val="auto"/>
              </w:rPr>
            </w:pPr>
          </w:p>
        </w:tc>
        <w:tc>
          <w:tcPr>
            <w:tcW w:w="288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Relationships</w:t>
            </w:r>
          </w:p>
        </w:tc>
        <w:tc>
          <w:tcPr>
            <w:tcW w:w="18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Assets</w:t>
            </w:r>
          </w:p>
        </w:tc>
        <w:tc>
          <w:tcPr>
            <w:tcW w:w="4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131,962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146,657</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2026</w:t>
            </w:r>
          </w:p>
        </w:tc>
        <w:tc>
          <w:tcPr>
            <w:tcW w:w="1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110,330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123,817</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98,821</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2028</w:t>
            </w:r>
          </w:p>
        </w:tc>
        <w:tc>
          <w:tcPr>
            <w:tcW w:w="1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61,414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70,549</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46,485</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DEBT</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had $90,000 outstanding current maturities of long-term debt and $60,000 outstanding long-term debt at June 30, 2024, related to credit facilities. The Company had no outstanding current maturities of long-term debt and $275,000 outstanding long-term debt at June 30, 2023.</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a prior credit facility that was entered into on February 10, 2020.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credit agreement is guaranteed by certain subsidiaries of the Company and is subject to various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financial covenants that require the Company to maintain certain financial ratios as defined in the credit agreement. As of June 30, 2024, the Company was in compliance with all such covenants. The amended and restated credit facility terminates August 31, 2027. There was $60,000 and $95,000 outstanding under the amended and restated credit facility at June 30, 2024, and June 30, 2023,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bear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plus an applicable percentage in each case determined by the Company's leverage ratio. The term loan credit agreement is guaranteed by certain subsidiaries of the Company and is subject to various financial covenants that require the Company to maintain certain financial ratios as defined in the term loan credit agreement. As of June 30, 2024, the Company was in compliance with all such covenants. The term loan credit agreement has a maturity date of May 16, 2025. There was $90,000 and $180,000 outstanding under the term loan at June 30, 2024, and June 30, 2023,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8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 Company has an unsecured bank credit line which provides for funding of up to $5,000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1.0%. The credit line was renewed in May 2019 and modified in May 2023 to extend the expiration to April 30, 2025. There was no balance outstanding at June 30, 2024, or 2023.</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$15,757, $14,776, and $1,788 during the fiscal years ended June 30, 2024</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2023, and 2022, respectively.</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80" w:type="dxa"/>
            <w:vAlign w:val="bottom"/>
          </w:tcPr>
          <w:p>
            <w:pPr>
              <w:spacing w:after="0"/>
              <w:rPr>
                <w:sz w:val="20"/>
                <w:szCs w:val="20"/>
                <w:color w:val="auto"/>
              </w:rPr>
            </w:pPr>
            <w:r>
              <w:rPr>
                <w:rFonts w:ascii="Arial" w:cs="Arial" w:eastAsia="Arial" w:hAnsi="Arial"/>
                <w:sz w:val="18"/>
                <w:szCs w:val="18"/>
                <w:color w:val="auto"/>
              </w:rPr>
              <w:t>NOTE 8.</w:t>
            </w:r>
          </w:p>
        </w:tc>
        <w:tc>
          <w:tcPr>
            <w:tcW w:w="5500" w:type="dxa"/>
            <w:vAlign w:val="bottom"/>
            <w:gridSpan w:val="2"/>
          </w:tcPr>
          <w:p>
            <w:pPr>
              <w:jc w:val="right"/>
              <w:ind w:right="4030"/>
              <w:spacing w:after="0"/>
              <w:rPr>
                <w:sz w:val="20"/>
                <w:szCs w:val="20"/>
                <w:color w:val="auto"/>
              </w:rPr>
            </w:pPr>
            <w:r>
              <w:rPr>
                <w:rFonts w:ascii="Arial" w:cs="Arial" w:eastAsia="Arial" w:hAnsi="Arial"/>
                <w:sz w:val="18"/>
                <w:szCs w:val="18"/>
                <w:color w:val="auto"/>
                <w:w w:val="99"/>
              </w:rPr>
              <w:t>INCOME TAXES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97"/>
        </w:trPr>
        <w:tc>
          <w:tcPr>
            <w:tcW w:w="6380" w:type="dxa"/>
            <w:vAlign w:val="bottom"/>
            <w:gridSpan w:val="3"/>
          </w:tcPr>
          <w:p>
            <w:pPr>
              <w:spacing w:after="0"/>
              <w:rPr>
                <w:sz w:val="20"/>
                <w:szCs w:val="20"/>
                <w:color w:val="auto"/>
              </w:rPr>
            </w:pPr>
            <w:r>
              <w:rPr>
                <w:rFonts w:ascii="Arial" w:cs="Arial" w:eastAsia="Arial" w:hAnsi="Arial"/>
                <w:sz w:val="18"/>
                <w:szCs w:val="18"/>
                <w:color w:val="auto"/>
              </w:rPr>
              <w:t>The provision for income taxes consists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7"/>
        </w:trPr>
        <w:tc>
          <w:tcPr>
            <w:tcW w:w="8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Year Ended June 30,</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23"/>
        </w:trPr>
        <w:tc>
          <w:tcPr>
            <w:tcW w:w="88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Arial" w:cs="Arial" w:eastAsia="Arial" w:hAnsi="Arial"/>
                <w:sz w:val="18"/>
                <w:szCs w:val="18"/>
                <w:color w:val="auto"/>
              </w:rPr>
              <w:t>Federal</w:t>
            </w:r>
          </w:p>
        </w:tc>
        <w:tc>
          <w:tcPr>
            <w:tcW w:w="55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93,890</w:t>
            </w:r>
          </w:p>
        </w:tc>
        <w:tc>
          <w:tcPr>
            <w:tcW w:w="1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125,622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59,390</w:t>
            </w:r>
          </w:p>
        </w:tc>
      </w:tr>
      <w:tr>
        <w:trPr>
          <w:trHeight w:val="230"/>
        </w:trPr>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5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18,089</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Deferred:</w:t>
            </w:r>
          </w:p>
        </w:tc>
        <w:tc>
          <w:tcPr>
            <w:tcW w:w="5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5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24,391</w:t>
            </w:r>
          </w:p>
        </w:tc>
      </w:tr>
      <w:tr>
        <w:trPr>
          <w:trHeight w:val="230"/>
        </w:trPr>
        <w:tc>
          <w:tcPr>
            <w:tcW w:w="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State</w:t>
            </w:r>
          </w:p>
        </w:tc>
        <w:tc>
          <w:tcPr>
            <w:tcW w:w="5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7,481</w:t>
            </w:r>
          </w:p>
        </w:tc>
      </w:tr>
      <w:tr>
        <w:trPr>
          <w:trHeight w:val="248"/>
        </w:trPr>
        <w:tc>
          <w:tcPr>
            <w:tcW w:w="8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116,203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109,351</w:t>
            </w: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related to deferred taxes shown on the balance sheets were: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200" w:type="dxa"/>
            <w:vAlign w:val="bottom"/>
            <w:tcBorders>
              <w:bottom w:val="single" w:sz="8" w:color="auto"/>
            </w:tcBorders>
          </w:tcPr>
          <w:p>
            <w:pPr>
              <w:spacing w:after="0"/>
              <w:rPr>
                <w:sz w:val="20"/>
                <w:szCs w:val="20"/>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Contract and service revenues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21,985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18,186</w:t>
            </w: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reserves and accruals (bad debts and compensation)</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w:t>
            </w: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Leasing liabilities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14,755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12,462</w:t>
            </w: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and tax credit carryforwards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r>
      <w:tr>
        <w:trPr>
          <w:trHeight w:val="22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w:t>
            </w:r>
          </w:p>
        </w:tc>
      </w:tr>
      <w:tr>
        <w:trPr>
          <w:trHeight w:val="22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gross deferred tax assets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49,552</w:t>
            </w:r>
          </w:p>
        </w:tc>
      </w:tr>
      <w:tr>
        <w:trPr>
          <w:trHeight w:val="22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58,279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49,427</w:t>
            </w:r>
          </w:p>
        </w:tc>
      </w:tr>
      <w:tr>
        <w:trPr>
          <w:trHeight w:val="237"/>
        </w:trPr>
        <w:tc>
          <w:tcPr>
            <w:tcW w:w="7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Property and equipment depreciation</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(26,689)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(27,788)</w:t>
            </w: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 software development, and research and development tax amortization</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(113,623)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(136,045)</w:t>
            </w: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Contract and service costs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(148,126)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(119,201)</w:t>
            </w: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Leasing right-of-use assets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(13,363)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(10,824)</w:t>
            </w:r>
          </w:p>
        </w:tc>
      </w:tr>
      <w:tr>
        <w:trPr>
          <w:trHeight w:val="223"/>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gross deferred liabilities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(301,801)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(293,858)</w:t>
            </w:r>
          </w:p>
        </w:tc>
      </w:tr>
      <w:tr>
        <w:trPr>
          <w:trHeight w:val="250"/>
        </w:trPr>
        <w:tc>
          <w:tcPr>
            <w:tcW w:w="77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(243,522)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(244,431)</w:t>
            </w: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0" w:type="dxa"/>
            <w:vAlign w:val="bottom"/>
            <w:gridSpan w:val="6"/>
          </w:tcPr>
          <w:p>
            <w:pPr>
              <w:spacing w:after="0"/>
              <w:rPr>
                <w:sz w:val="20"/>
                <w:szCs w:val="20"/>
                <w:color w:val="auto"/>
              </w:rPr>
            </w:pPr>
            <w:r>
              <w:rPr>
                <w:rFonts w:ascii="Arial" w:cs="Arial" w:eastAsia="Arial" w:hAnsi="Arial"/>
                <w:sz w:val="18"/>
                <w:szCs w:val="18"/>
                <w:color w:val="auto"/>
              </w:rPr>
              <w:t>The following analysis reconciles the statutory federal income tax rate to the effective income tax rates reflected above:</w:t>
            </w:r>
          </w:p>
        </w:tc>
        <w:tc>
          <w:tcPr>
            <w:tcW w:w="1380" w:type="dxa"/>
            <w:vAlign w:val="bottom"/>
          </w:tcPr>
          <w:p>
            <w:pPr>
              <w:spacing w:after="0"/>
              <w:rPr>
                <w:sz w:val="20"/>
                <w:szCs w:val="20"/>
                <w:color w:val="auto"/>
              </w:rPr>
            </w:pPr>
          </w:p>
        </w:tc>
      </w:tr>
      <w:tr>
        <w:trPr>
          <w:trHeight w:val="252"/>
        </w:trPr>
        <w:tc>
          <w:tcPr>
            <w:tcW w:w="5740" w:type="dxa"/>
            <w:vAlign w:val="bottom"/>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Year Ended June 30,</w:t>
            </w:r>
          </w:p>
        </w:tc>
        <w:tc>
          <w:tcPr>
            <w:tcW w:w="1380" w:type="dxa"/>
            <w:vAlign w:val="bottom"/>
            <w:tcBorders>
              <w:bottom w:val="single" w:sz="8" w:color="auto"/>
            </w:tcBorders>
          </w:tcPr>
          <w:p>
            <w:pPr>
              <w:spacing w:after="0"/>
              <w:rPr>
                <w:sz w:val="21"/>
                <w:szCs w:val="2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tax expense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Increase (reduction) in taxes resulting from:</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income taxes, net of federal income tax benefits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Research and development credit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to prior year uncertain tax positions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0.6 %</w:t>
            </w:r>
          </w:p>
        </w:tc>
        <w:tc>
          <w:tcPr>
            <w:tcW w:w="12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0.5 %</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57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23.3 %</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2024, the Company has state NOL and tax credit carryforwards with a tax-effected value of $110 and $ 2,045, respectively. The state loss and credit carryover have varying expiration dates, ranging from fiscal 2025 to 2044. Based on state tax rules which restrict utilization of these losses and tax credits, the Company believes it is more likely than not that $108 of these losses and tax credits will expire unutilized. Accordingly, valuation allowances of $108 and $125 have been recorded against the state net operating losses and tax credit carryforwards as of June 30, 2024, and 2023,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income taxes, net of refunds, of $106,966, $145,862, and $60,553 in fiscal 2024, 2023, and 2022, respectively.</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2024, the Company had $19,077 of gross unrecognized tax benefits, $17,222 of which, if recognized, would affect its effective tax rate. At June 30, 2023, the Company had $12,005 of gross unrecognized tax benefits, $10,453 of which, if recognized, would affect its effective tax rate. The Company had accrued interest and penalties of $3,351 and $ 1,872 related to uncertain tax positions at June 30, 2024, and 2023, respectively. The income tax provision included interest expense and penalties (or benefits) on unrecognized tax benefits of $1,132, $529, and $73 in the fiscal years ended June 30, 2024, 2023, and 2022,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unrecognized tax benefits for the fiscal years ended June 30, 2024, 2023, and 2022,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Unrecognized Tax</w:t>
            </w:r>
          </w:p>
        </w:tc>
      </w:tr>
      <w:tr>
        <w:trPr>
          <w:trHeight w:val="235"/>
        </w:trPr>
        <w:tc>
          <w:tcPr>
            <w:tcW w:w="9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Benefits</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1,863</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prior year tax positions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related to expirations of statute of limitations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8,990</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Additions for prior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2,433</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Reductions related to expirations of statute of limitations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12,005</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Additions for current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3,924</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Additions for prior year tax positions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4,672</w:t>
            </w:r>
          </w:p>
        </w:tc>
      </w:tr>
      <w:tr>
        <w:trPr>
          <w:trHeight w:val="22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Reductions related to expirations of statute of limitations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(1,524)</w:t>
            </w: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19,077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U.S. federal income tax returns for fiscal 2021 and all subsequent years remain subject to examination as of June 30, 2024, under statute of limitations rules. The U.S. state income tax returns that remain subject to examination as of June 30, 2024, under the statute of</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limitation rules varies by state jurisdiction from fiscal 2016 through 2019 and all subsequent years. The Company anticipates that potential changes due to lapsing statutes of limitations and examination closures could reduce the unrecognized tax benefits balance by $3,000 — $7,000 within twelve months of June 30, 2024.</w:t>
      </w:r>
    </w:p>
    <w:p>
      <w:pPr>
        <w:spacing w:after="0" w:line="37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9.</w:t>
      </w:r>
      <w:r>
        <w:rPr>
          <w:sz w:val="20"/>
          <w:szCs w:val="20"/>
          <w:color w:val="auto"/>
        </w:rPr>
        <w:tab/>
      </w:r>
      <w:r>
        <w:rPr>
          <w:rFonts w:ascii="Arial" w:cs="Arial" w:eastAsia="Arial" w:hAnsi="Arial"/>
          <w:sz w:val="17"/>
          <w:szCs w:val="17"/>
          <w:color w:val="auto"/>
        </w:rPr>
        <w:t>INDUSTRY AND SUPPLIER CONCENTRATION</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sells its products to banks, credit unions, and financial institutions throughout the United States and generally does not require collateral. Billings to clients are typically due 30 days from date of billing. Reserves are maintained for potential credit losses. Client-related risks are moderated through the inclusion of credit mitigation clauses in the Company's contracts and through the monitoring of timely payments.</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some of the Company’s key solutions are dependent on technology manufactured by third parties. Termination of the Company’s relationship with one or more of these third parties could have a negative impact on the operations of the Company.</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r>
      <w:r>
        <w:rPr>
          <w:sz w:val="20"/>
          <w:szCs w:val="20"/>
          <w:color w:val="auto"/>
        </w:rPr>
        <w:tab/>
      </w:r>
      <w:r>
        <w:rPr>
          <w:rFonts w:ascii="Arial" w:cs="Arial" w:eastAsia="Arial" w:hAnsi="Arial"/>
          <w:sz w:val="17"/>
          <w:szCs w:val="17"/>
          <w:color w:val="auto"/>
        </w:rPr>
        <w:t>STOCK-BASED COMPENSATION</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pre-tax operating income for the fiscal years ended June 30, 2024, 2023, and 2022, includes $28,873</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$28,611, and $24,780, respectively, of equity-based compensation costs, of which $26,361, $26,427, and $22,703, respectively, relates to the restricted stock plans. Costs are recorded net of estimated forfeitures. The total income tax benefits from equity-based compensation for the fiscal years ended June 30, 2024, 2023, and 2022, were $4,495, $5,115, and $4,252, respectively. These income tax benefits included income tax net shortfalls from stock option exercises and restricted stock vestings of $184 for the fiscal year ended June 30, 2024, and income tax net excess benefits from stock option exercises and restricted stock vestings of $1,109 and $652 for the fiscal years ended June 30, 2023, and 2022, respectively.</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10, 2015, the Company adopted the 2015 Equity Incentive Plan ("2015 EIP") for its associates and non-employee directors. The plan allows for grants of stock options, stock appreciation rights, restricted stock shares or units, and performance shares or units. The maximum number of shares authorized for issuance under the plan is 3,000.</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Under the 2015 EIP, terms and vesting periods of the stock options are determined by the Human Capital &amp; Compensation Committee of the Board of Directors when granted. The options granted under this plan are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exercisable beginning three years after grant at an exercise price equal to 100% of the fair market value of the stock at the grant date. The options terminate upon surrender of the option, ninety days after termination of employment, upon the expiration of one year following notification of a deceased optionee, or 10 years after grant.</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2024, there were no options granted, forfeited, or exercised, and at June 30, 2024, 12 options were outstanding at a weighted average exercise price of $87.27 with an aggregate intrinsic value of $920. During fiscal 2023, there were no options granted, forfeited, or exercised, and at June 30, 2023, 12 options were outstanding at a weighted average exercise price of $87.27. During fiscal 2022, there were no options granted or forfeited, and 10 options were exercised at a weighted average exercise price of $87.27 with a total exercise intrinsic value of $1,005. At June 30, 2022, 12 options were outstanding at a weighted average exercise price of $87.27. All remaining options were granted on July 1, 2016. At June 30, 2024, there was no compensation cost yet to be recognized related to outstanding options. All of the options are currently exercisable, with a weighted average remaining contractual term (remaining period of exercisability) of 2 years as of June 30, 2024.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and performance unit awards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With respect to awards of restricted stock units and performance units, it is the intention of the Company to settle the unit awards in shares of the Company’s stock. Restricted stock unit awards (which are unit awards that have service requirements only and are not tied to performance measures) generally vest over a period of 1 to 3 years. Performance unit awards are awards that have performance measures in addition to service requirements.</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following table summarizes non-vested restricted stock unit awards and performance unit awards as of June 30, 2024, as well as activity for the fiscal year then ended:</w:t>
      </w:r>
    </w:p>
    <w:tbl>
      <w:tblPr>
        <w:tblLayout w:type="fixed"/>
        <w:tblInd w:w="0" w:type="dxa"/>
        <w:tblCellMar>
          <w:top w:w="0" w:type="dxa"/>
          <w:left w:w="0" w:type="dxa"/>
          <w:bottom w:w="0" w:type="dxa"/>
          <w:right w:w="0" w:type="dxa"/>
        </w:tblCellMar>
      </w:tblPr>
      <w:tr>
        <w:trPr>
          <w:trHeight w:val="182"/>
        </w:trPr>
        <w:tc>
          <w:tcPr>
            <w:tcW w:w="7000" w:type="dxa"/>
            <w:vAlign w:val="bottom"/>
            <w:gridSpan w:val="2"/>
          </w:tcPr>
          <w:p>
            <w:pPr>
              <w:ind w:left="20"/>
              <w:spacing w:after="0" w:line="182" w:lineRule="exact"/>
              <w:rPr>
                <w:sz w:val="20"/>
                <w:szCs w:val="20"/>
                <w:color w:val="auto"/>
              </w:rPr>
            </w:pPr>
            <w:r>
              <w:rPr>
                <w:rFonts w:ascii="Arial" w:cs="Arial" w:eastAsia="Arial" w:hAnsi="Arial"/>
                <w:sz w:val="18"/>
                <w:szCs w:val="18"/>
                <w:b w:val="1"/>
                <w:bCs w:val="1"/>
                <w:color w:val="auto"/>
              </w:rPr>
              <w:t>Unit awards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center"/>
              <w:ind w:right="190"/>
              <w:spacing w:after="0" w:line="182" w:lineRule="exact"/>
              <w:rPr>
                <w:sz w:val="20"/>
                <w:szCs w:val="20"/>
                <w:color w:val="auto"/>
              </w:rPr>
            </w:pPr>
            <w:r>
              <w:rPr>
                <w:rFonts w:ascii="Arial" w:cs="Arial" w:eastAsia="Arial" w:hAnsi="Arial"/>
                <w:sz w:val="18"/>
                <w:szCs w:val="18"/>
                <w:b w:val="1"/>
                <w:bCs w:val="1"/>
                <w:color w:val="auto"/>
                <w:w w:val="98"/>
              </w:rPr>
              <w:t>Weighted</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122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Shares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center"/>
              <w:ind w:right="190"/>
              <w:spacing w:after="0" w:line="189" w:lineRule="exact"/>
              <w:rPr>
                <w:sz w:val="20"/>
                <w:szCs w:val="20"/>
                <w:color w:val="auto"/>
              </w:rPr>
            </w:pPr>
            <w:r>
              <w:rPr>
                <w:rFonts w:ascii="Arial" w:cs="Arial" w:eastAsia="Arial" w:hAnsi="Arial"/>
                <w:sz w:val="18"/>
                <w:szCs w:val="18"/>
                <w:b w:val="1"/>
                <w:bCs w:val="1"/>
                <w:color w:val="auto"/>
                <w:w w:val="99"/>
              </w:rPr>
              <w:t>Grant Date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430"/>
              <w:spacing w:after="0" w:line="189" w:lineRule="exact"/>
              <w:rPr>
                <w:sz w:val="20"/>
                <w:szCs w:val="20"/>
                <w:color w:val="auto"/>
              </w:rPr>
            </w:pPr>
            <w:r>
              <w:rPr>
                <w:rFonts w:ascii="Arial" w:cs="Arial" w:eastAsia="Arial" w:hAnsi="Arial"/>
                <w:sz w:val="18"/>
                <w:szCs w:val="18"/>
                <w:b w:val="1"/>
                <w:bCs w:val="1"/>
                <w:color w:val="auto"/>
              </w:rPr>
              <w:t>Intrinsic</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July 1, 2021</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178.60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189.33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July 1, 2022</w:t>
            </w:r>
          </w:p>
        </w:tc>
        <w:tc>
          <w:tcPr>
            <w:tcW w:w="12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214.78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186.35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July 1, 2023</w:t>
            </w:r>
          </w:p>
        </w:tc>
        <w:tc>
          <w:tcPr>
            <w:tcW w:w="12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177.95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June 30, 2024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189.68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53,953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Granted includes restricted stock unit awards and performance unit awards with market conditions at 100% achievement.</w:t>
      </w:r>
    </w:p>
    <w:p>
      <w:pPr>
        <w:jc w:val="both"/>
        <w:spacing w:after="0" w:line="284" w:lineRule="auto"/>
        <w:rPr>
          <w:sz w:val="20"/>
          <w:szCs w:val="20"/>
          <w:color w:val="auto"/>
        </w:rPr>
      </w:pPr>
      <w:r>
        <w:rPr>
          <w:rFonts w:ascii="Arial" w:cs="Arial" w:eastAsia="Arial" w:hAnsi="Arial"/>
          <w:sz w:val="9"/>
          <w:szCs w:val="9"/>
          <w:color w:val="auto"/>
        </w:rPr>
        <w:t>2</w:t>
      </w:r>
      <w:r>
        <w:rPr>
          <w:rFonts w:ascii="Arial" w:cs="Arial" w:eastAsia="Arial" w:hAnsi="Arial"/>
          <w:sz w:val="14"/>
          <w:szCs w:val="14"/>
          <w:color w:val="auto"/>
        </w:rPr>
        <w:t>Forfeited includes restricted stock unit awards and performance unit awards forfeited for service requirements not met and performance unit awards not settled due to</w:t>
      </w:r>
      <w:r>
        <w:rPr>
          <w:rFonts w:ascii="Arial" w:cs="Arial" w:eastAsia="Arial" w:hAnsi="Arial"/>
          <w:sz w:val="9"/>
          <w:szCs w:val="9"/>
          <w:color w:val="auto"/>
        </w:rPr>
        <w:t xml:space="preserve"> </w:t>
      </w:r>
      <w:r>
        <w:rPr>
          <w:rFonts w:ascii="Arial" w:cs="Arial" w:eastAsia="Arial" w:hAnsi="Arial"/>
          <w:sz w:val="14"/>
          <w:szCs w:val="14"/>
          <w:color w:val="auto"/>
        </w:rPr>
        <w:t>underachievement of performance measures.</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the 160 unit awards granted in fiscal 2024, 97 were restricted stock unit awards and 63 were performance unit awards. The restricted stock unit awards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24 of the performance unit awards granted in fiscal 2024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performance unit awards will be determined based on the Company's compound annual growth rate ("CAGR") for revenue (excluding adjustments) for the three-year vesting period compared against goal thresholds as defined in the award agreement. The performance payout at release of the other half of these performance unit awards will be determined based on the expansion of the Company's non-GAAP operating margin over the three-year vesting period compared against goal thresholds as defined in the award agreement. 35 of the performance unit awards have market conditions and were valued at grant using a Monte Carlo pricing model as of the measurement date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customized to the specific provisions of the Company’s plan design. The remaining 4 performance unit awards had other performance targets. Per the Company's award vesting and settlement provisions, the performance unit awards that utilized a Monte Carlo pricing model were valued at grant on the basis of Total Shareholder Return ("TSR") in comparison to the compensation peer group made up of participants approved by the Human Capital &amp; Compensation Committee of the Company's Board of Directors for fiscal year 2024. For fiscal years 2023 and 2022, TSR was in comparison to the compensation peer group comprised of the Standard &amp; Poor's 1500 Software &amp; Services Index ("S&amp;P 1500 S&amp;S Index") participant companies and other participants approved by the Human Capital &amp; Compensation Committee of the Company's Board of Directors. TSR is defined as the change in the stock price through the performance period plus dividends per share paid during the performance period, all divided by the stock price at the beginning of the performance period.</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Monte Carlo inputs used in the model to estimate fair value at the measurement date and resulting values for these performance unit awards are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Year Ended June 30,</w:t>
            </w: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3"/>
        </w:trPr>
        <w:tc>
          <w:tcPr>
            <w:tcW w:w="20" w:type="dxa"/>
            <w:vAlign w:val="bottom"/>
            <w:shd w:val="clear" w:color="auto" w:fill="CCEEFF"/>
          </w:tcPr>
          <w:p>
            <w:pPr>
              <w:spacing w:after="0"/>
              <w:rPr>
                <w:sz w:val="15"/>
                <w:szCs w:val="15"/>
                <w:color w:val="auto"/>
              </w:rPr>
            </w:pPr>
          </w:p>
        </w:tc>
        <w:tc>
          <w:tcPr>
            <w:tcW w:w="54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Monte Carlo award inputs:</w:t>
            </w:r>
          </w:p>
        </w:tc>
        <w:tc>
          <w:tcPr>
            <w:tcW w:w="70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8"/>
                <w:szCs w:val="18"/>
                <w:b w:val="1"/>
                <w:bCs w:val="1"/>
                <w:color w:val="auto"/>
              </w:rPr>
              <w:t>2024</w:t>
            </w:r>
          </w:p>
        </w:tc>
        <w:tc>
          <w:tcPr>
            <w:tcW w:w="7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2023</w:t>
            </w:r>
          </w:p>
        </w:tc>
        <w:tc>
          <w:tcPr>
            <w:tcW w:w="76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2022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auto"/>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spacing w:after="0" w:line="230" w:lineRule="exact"/>
              <w:rPr>
                <w:sz w:val="20"/>
                <w:szCs w:val="20"/>
                <w:color w:val="auto"/>
              </w:rPr>
            </w:pPr>
            <w:r>
              <w:rPr>
                <w:rFonts w:ascii="Arial" w:cs="Arial" w:eastAsia="Arial" w:hAnsi="Arial"/>
                <w:sz w:val="18"/>
                <w:szCs w:val="18"/>
                <w:color w:val="auto"/>
              </w:rPr>
              <w:t>Compensation Peer Group:</w:t>
            </w:r>
            <w:r>
              <w:rPr>
                <w:rFonts w:ascii="Arial" w:cs="Arial" w:eastAsia="Arial" w:hAnsi="Arial"/>
                <w:sz w:val="23"/>
                <w:szCs w:val="23"/>
                <w:color w:val="auto"/>
                <w:vertAlign w:val="superscript"/>
              </w:rPr>
              <w:t>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7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25.6 %</w:t>
            </w:r>
          </w:p>
        </w:tc>
        <w:tc>
          <w:tcPr>
            <w:tcW w:w="7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29.4 %</w:t>
            </w:r>
          </w:p>
        </w:tc>
        <w:tc>
          <w:tcPr>
            <w:tcW w:w="7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28.6 %</w:t>
            </w:r>
          </w:p>
        </w:tc>
      </w:tr>
      <w:tr>
        <w:trPr>
          <w:trHeight w:val="229"/>
        </w:trPr>
        <w:tc>
          <w:tcPr>
            <w:tcW w:w="20" w:type="dxa"/>
            <w:vAlign w:val="bottom"/>
          </w:tcPr>
          <w:p>
            <w:pPr>
              <w:spacing w:after="0"/>
              <w:rPr>
                <w:sz w:val="19"/>
                <w:szCs w:val="19"/>
                <w:color w:val="auto"/>
              </w:rPr>
            </w:pPr>
          </w:p>
        </w:tc>
        <w:tc>
          <w:tcPr>
            <w:tcW w:w="5480" w:type="dxa"/>
            <w:vAlign w:val="bottom"/>
            <w:gridSpan w:val="2"/>
          </w:tcPr>
          <w:p>
            <w:pPr>
              <w:ind w:left="120"/>
              <w:spacing w:after="0"/>
              <w:rPr>
                <w:sz w:val="20"/>
                <w:szCs w:val="20"/>
                <w:color w:val="auto"/>
              </w:rPr>
            </w:pPr>
            <w:r>
              <w:rPr>
                <w:rFonts w:ascii="Arial" w:cs="Arial" w:eastAsia="Arial" w:hAnsi="Arial"/>
                <w:sz w:val="18"/>
                <w:szCs w:val="18"/>
                <w:color w:val="auto"/>
              </w:rPr>
              <w:t>Risk free interest rate</w:t>
            </w:r>
          </w:p>
        </w:tc>
        <w:tc>
          <w:tcPr>
            <w:tcW w:w="7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4.48 %</w:t>
            </w:r>
          </w:p>
        </w:tc>
        <w:tc>
          <w:tcPr>
            <w:tcW w:w="72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2.96 %</w:t>
            </w:r>
          </w:p>
        </w:tc>
        <w:tc>
          <w:tcPr>
            <w:tcW w:w="7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0.32 %</w:t>
            </w: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Annual dividend based on most recent quarterly dividend</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2.08</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480" w:type="dxa"/>
            <w:vAlign w:val="bottom"/>
            <w:gridSpan w:val="2"/>
          </w:tcPr>
          <w:p>
            <w:pPr>
              <w:ind w:left="120"/>
              <w:spacing w:after="0"/>
              <w:rPr>
                <w:sz w:val="20"/>
                <w:szCs w:val="20"/>
                <w:color w:val="auto"/>
              </w:rPr>
            </w:pPr>
            <w:r>
              <w:rPr>
                <w:rFonts w:ascii="Arial" w:cs="Arial" w:eastAsia="Arial" w:hAnsi="Arial"/>
                <w:sz w:val="18"/>
                <w:szCs w:val="18"/>
                <w:color w:val="auto"/>
              </w:rPr>
              <w:t>Dividend yield</w:t>
            </w:r>
          </w:p>
        </w:tc>
        <w:tc>
          <w:tcPr>
            <w:tcW w:w="7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1.2 %</w:t>
            </w:r>
          </w:p>
        </w:tc>
        <w:tc>
          <w:tcPr>
            <w:tcW w:w="72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0.9 %</w:t>
            </w:r>
          </w:p>
        </w:tc>
        <w:tc>
          <w:tcPr>
            <w:tcW w:w="7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1.1 %</w:t>
            </w: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Beginning average percentile rank for TSR</w:t>
            </w:r>
          </w:p>
        </w:tc>
        <w:tc>
          <w:tcPr>
            <w:tcW w:w="7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74 %</w:t>
            </w:r>
          </w:p>
        </w:tc>
        <w:tc>
          <w:tcPr>
            <w:tcW w:w="7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71 %</w:t>
            </w:r>
          </w:p>
        </w:tc>
        <w:tc>
          <w:tcPr>
            <w:tcW w:w="7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65 %</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For fiscal 2023 and 2022, S&amp;P 1500 S&amp;S Index participants were included in the compensation peer group.</w:t>
      </w:r>
    </w:p>
    <w:p>
      <w:pPr>
        <w:spacing w:after="0" w:line="43"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At June 30, 2024, there was $21,655 of compensation expense that has yet to be recognized related to non-vested restricted stock unit and performance stock unit awards, which will be recognized over a weighted-average remaining contractual term of 1.02 years.</w:t>
      </w:r>
    </w:p>
    <w:p>
      <w:pPr>
        <w:spacing w:after="0" w:line="3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fair values of restricted stock units and performance units at release totaled $16,544, $24,931, and $12,139 for the fiscal years ended June 30, 2024, 2023, and 2022, respectively.</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0" w:type="dxa"/>
            <w:vAlign w:val="bottom"/>
          </w:tcPr>
          <w:p>
            <w:pPr>
              <w:spacing w:after="0"/>
              <w:rPr>
                <w:sz w:val="20"/>
                <w:szCs w:val="20"/>
                <w:color w:val="auto"/>
              </w:rPr>
            </w:pPr>
            <w:r>
              <w:rPr>
                <w:rFonts w:ascii="Arial" w:cs="Arial" w:eastAsia="Arial" w:hAnsi="Arial"/>
                <w:sz w:val="18"/>
                <w:szCs w:val="18"/>
                <w:color w:val="auto"/>
              </w:rPr>
              <w:t>NOTE 11.  EARNINGS PER SHARE</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020" w:type="dxa"/>
            <w:vAlign w:val="bottom"/>
            <w:gridSpan w:val="4"/>
          </w:tcPr>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6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color w:val="auto"/>
                <w:w w:val="99"/>
              </w:rPr>
              <w:t>Year Ended June 30,</w:t>
            </w: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gridSpan w:val="2"/>
          </w:tcPr>
          <w:p>
            <w:pPr>
              <w:jc w:val="right"/>
              <w:ind w:right="480"/>
              <w:spacing w:after="0" w:line="182" w:lineRule="exact"/>
              <w:rPr>
                <w:sz w:val="20"/>
                <w:szCs w:val="20"/>
                <w:color w:val="auto"/>
              </w:rPr>
            </w:pPr>
            <w:r>
              <w:rPr>
                <w:rFonts w:ascii="Arial" w:cs="Arial" w:eastAsia="Arial" w:hAnsi="Arial"/>
                <w:sz w:val="18"/>
                <w:szCs w:val="18"/>
                <w:b w:val="1"/>
                <w:bCs w:val="1"/>
                <w:color w:val="auto"/>
                <w:w w:val="94"/>
              </w:rPr>
              <w:t>2024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gridSpan w:val="2"/>
          </w:tcPr>
          <w:p>
            <w:pPr>
              <w:jc w:val="right"/>
              <w:ind w:right="54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381,816</w:t>
            </w:r>
          </w:p>
        </w:tc>
        <w:tc>
          <w:tcPr>
            <w:tcW w:w="68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366,646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362,916</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Common share information:</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72,867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73,324</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Dilutive effect of stock options, restricted stock units, and performance units</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158</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5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73,025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73,486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0" w:type="dxa"/>
            <w:vAlign w:val="bottom"/>
            <w:vMerge w:val="continue"/>
          </w:tcPr>
          <w:p>
            <w:pPr>
              <w:spacing w:after="0"/>
              <w:rPr>
                <w:sz w:val="17"/>
                <w:szCs w:val="17"/>
                <w:color w:val="auto"/>
              </w:rPr>
            </w:pPr>
          </w:p>
        </w:tc>
        <w:tc>
          <w:tcPr>
            <w:tcW w:w="540" w:type="dxa"/>
            <w:vAlign w:val="bottom"/>
          </w:tcPr>
          <w:p>
            <w:pPr>
              <w:jc w:val="right"/>
              <w:ind w:right="330"/>
              <w:spacing w:after="0" w:line="203" w:lineRule="exact"/>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5.24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5.03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5.23</w:t>
            </w:r>
          </w:p>
        </w:tc>
        <w:tc>
          <w:tcPr>
            <w:tcW w:w="68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 share information is based on the weighted average number of common shares outstanding for each of the fiscal years. Stock options, restricted stock units, and performance units have been included in the calculation of earnings per share to the extent they are dilutive. The two-class method for computing EPS has not been applied because no outstanding awards contain non-forfeitable rights to participate in dividends. There were 33 anti-dilutive weighted average shares excluded from the weighted average shares outstanding for diluted earnings per share for fiscal 2024, 10 shares were excluded for fiscal 2023, and 7 shares were excluded for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12.</w:t>
      </w:r>
      <w:r>
        <w:rPr>
          <w:sz w:val="20"/>
          <w:szCs w:val="20"/>
          <w:color w:val="auto"/>
        </w:rPr>
        <w:tab/>
      </w:r>
      <w:r>
        <w:rPr>
          <w:rFonts w:ascii="Arial" w:cs="Arial" w:eastAsia="Arial" w:hAnsi="Arial"/>
          <w:sz w:val="17"/>
          <w:szCs w:val="17"/>
          <w:color w:val="auto"/>
        </w:rPr>
        <w:t>EMPLOYEE BENEFIT PLANS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established an employee stock purchase plan (the "Plan") in 2006. On January 1, 2024, the Plan was amended and restated, and allows substantially all associates the opportunity to directly purchase shares of the Company at 85% of the lesser of the fair market value, as defined by the Plan, of the Company's stock on the first trading day or on the last trading day of a three-month offering period, which represents an option. Prior to January 1, 2024, the Plan allowed substantially all associates the opportunity to directly purchase shares of the Company at 85% of the closing price of the Company's stock on or around the fifteenth day of each month. During the fiscal years ended June 30, 2024</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2023, and 2022, associates purchased 90, 84, and 80 shares under this plan at average prices of $137.78, $146.79, and $147.36, respectively. As of June 30, 2024, approximately 896 shares remained available for future issuance under the Plan. The Plan is considered compensatory, and beginning January 1, 2024, compensation expense is determined based on the option's grant date fair value as estimated by applying the Black-Scholes option-pricing model and is recognized over the offering period. Prior to January 1, 2024, the Company recorded the total dollar value of the stock discount given to associates under the plan as expense.</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defined contribution plan for its associates: the 401(k) Retirement Savings Plan (the “Plan”). The Plan is subject to the Employee Retirement Income Security Act of 1975 (“ERISA”) as amended. Under the Plan, the Company matches 100% of full-time associate contributions up to 5% of eligible compensation. In order to receive matching contributions, associates must be 18 years of age and be employed for at least six months. The Company has the option of making a discretionary contribution; however, none has been made for any of the three most recent fiscal years. The total matching contributions for the Plan were $31,995, $29,308, and $28,259 for the fiscal years ended June 30, 2024</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2023, and 2022, respectively.</w:t>
      </w:r>
    </w:p>
    <w:p>
      <w:pPr>
        <w:spacing w:after="0" w:line="20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13.</w:t>
        <w:tab/>
        <w:t>BUSINESS ACQUISITION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Payrailz</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2022, the Company acquired all of the equity interest in Payrailz. The final purchase price, following customary post-closing adjustments to the extent actual closing date working capital, cash, debt, and unpaid seller transaction expenses exceeded or were less than the amounts estimated at closing, was $230,205. Pursuant to the merger agreement for the transaction, $48,500 of the purchase price was placed in an escrow account at the closing, consisting of $2,500 for any final purchase price adjustments owed by the sellers, which amount was released to the sellers on December 15, 2022, in connection with post-closing purchase price adjustments, and $46,000 for indemnification matters under the merger agreement, which amount was released to the sellers on September 20, 2023.</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primary reason for the acquisition was to expand the Company's digital financial management solutions and the purchase was originally funded by our revolving line of credit (Note 7) and cash generated from operations. Payrailz provides cloud-native, API-first, AI-enabled consumer and commercial digital payment solutions and experiences that enable money to be moved in the moment of need.</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has completed a purchase price allocation and assessment of the fair value of acquired assets and liabilities assumed. The recognized amounts of identifiable assets acquired, and liabilities assumed, based on their fair values as of August 31, 2022, and taking into account the post-closing purchase price adjustment described above, are set forth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119,868</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liabilities assumed</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112,866</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117,339</w:t>
            </w:r>
          </w:p>
        </w:tc>
      </w:tr>
      <w:tr>
        <w:trPr>
          <w:trHeight w:val="24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230,205</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goodwill of $117,339 arising from this acquisition consists largely of the growth potential, synergies, and economies of scale expected from combining the operations of the Company with those of Payrailz, together with the value of Payrailz's assembled workforce. The goodwill from this acquisition has been allocated to our Payments segment and $117,339 is expected to be deductible for income tax purposes.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Identifiable intangible assets from this acquisition consist of customer relationships of $ 6,109, computer software of $112,505, and other intangible assets of $1,254. The amortization period for acquired customer relationships, computer software, and other intangible assets is over a term of 15 years, 10 years, and 15 years, respectively.</w:t>
      </w:r>
    </w:p>
    <w:p>
      <w:pPr>
        <w:spacing w:after="0" w:line="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Current assets were inclusive of cash acquired of $577. The fair value of current assets acquired included accounts receivable of $978, none of which were expected to be uncollectible.</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14.</w:t>
      </w:r>
      <w:r>
        <w:rPr>
          <w:sz w:val="20"/>
          <w:szCs w:val="20"/>
          <w:color w:val="auto"/>
        </w:rPr>
        <w:tab/>
      </w:r>
      <w:r>
        <w:rPr>
          <w:rFonts w:ascii="Arial" w:cs="Arial" w:eastAsia="Arial" w:hAnsi="Arial"/>
          <w:sz w:val="17"/>
          <w:szCs w:val="17"/>
          <w:color w:val="auto"/>
        </w:rPr>
        <w:t>REPORTABLE SEGMENT INFORMATION</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a well-rounded financial technology company and is a leading provider of technology solutions and payment processing services primarily to community and regional financial institutions.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digital/mobile banking, treasury services, online account opening, 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4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Immaterial adjustments between segments were made in fiscal 2024 to reclassify revenue and cost of revenue that was recognized in fiscal 2023. These reclasses were made to be consistent with the current allocation of revenue and cost of revenue by segment. Revenue reclassed for the fiscal year ended June 30, 2023, from Core to Corporate and Other was $7,119, from Payments to Corporate and Other was $30, and from Complementary to Corporate and Other was $307. Cost of revenue reclassed for the fiscal year ended June 30, 2023, from Core to Corporate and Other was $6,713, from Payments to Corporate and Other was $2,594, and from Complementary to Corporate and Other was $1,286.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June 30, 2024</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3"/>
                <w:szCs w:val="13"/>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120" w:type="dxa"/>
            <w:vAlign w:val="bottom"/>
          </w:tcPr>
          <w:p>
            <w:pPr>
              <w:spacing w:after="0"/>
              <w:rPr>
                <w:sz w:val="13"/>
                <w:szCs w:val="13"/>
                <w:color w:val="auto"/>
              </w:rPr>
            </w:pPr>
          </w:p>
        </w:tc>
        <w:tc>
          <w:tcPr>
            <w:tcW w:w="1280" w:type="dxa"/>
            <w:vAlign w:val="bottom"/>
          </w:tcPr>
          <w:p>
            <w:pPr>
              <w:jc w:val="right"/>
              <w:ind w:right="5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649,169</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84,655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461,828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80,302</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1,275,954</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41,569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733,053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156,383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939,589</w:t>
            </w: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690,738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817,708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618,211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2,215,543</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287,349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442,084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256,007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314,037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1,299,477</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148,256</w:t>
            </w:r>
          </w:p>
        </w:tc>
        <w:tc>
          <w:tcPr>
            <w:tcW w:w="0" w:type="dxa"/>
            <w:vAlign w:val="bottom"/>
          </w:tcPr>
          <w:p>
            <w:pPr>
              <w:spacing w:after="0"/>
              <w:rPr>
                <w:sz w:val="1"/>
                <w:szCs w:val="1"/>
                <w:color w:val="auto"/>
              </w:rPr>
            </w:pPr>
          </w:p>
        </w:tc>
      </w:tr>
      <w:tr>
        <w:trPr>
          <w:trHeight w:val="215"/>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2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278,419</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1,726,152</w:t>
            </w:r>
          </w:p>
        </w:tc>
        <w:tc>
          <w:tcPr>
            <w:tcW w:w="0" w:type="dxa"/>
            <w:vAlign w:val="bottom"/>
          </w:tcPr>
          <w:p>
            <w:pPr>
              <w:spacing w:after="0"/>
              <w:rPr>
                <w:sz w:val="1"/>
                <w:szCs w:val="1"/>
                <w:color w:val="auto"/>
              </w:rPr>
            </w:pPr>
          </w:p>
        </w:tc>
      </w:tr>
      <w:tr>
        <w:trPr>
          <w:trHeight w:val="257"/>
        </w:trPr>
        <w:tc>
          <w:tcPr>
            <w:tcW w:w="3320" w:type="dxa"/>
            <w:vAlign w:val="bottom"/>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40" w:type="dxa"/>
            <w:vAlign w:val="bottom"/>
            <w:gridSpan w:val="2"/>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403,389</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375,624</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362,204</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(225,151)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489,391</w:t>
            </w:r>
          </w:p>
        </w:tc>
        <w:tc>
          <w:tcPr>
            <w:tcW w:w="0" w:type="dxa"/>
            <w:vAlign w:val="bottom"/>
          </w:tcPr>
          <w:p>
            <w:pPr>
              <w:spacing w:after="0"/>
              <w:rPr>
                <w:sz w:val="1"/>
                <w:szCs w:val="1"/>
                <w:color w:val="auto"/>
              </w:rPr>
            </w:pPr>
          </w:p>
        </w:tc>
      </w:tr>
      <w:tr>
        <w:trPr>
          <w:trHeight w:val="256"/>
        </w:trPr>
        <w:tc>
          <w:tcPr>
            <w:tcW w:w="3320" w:type="dxa"/>
            <w:vAlign w:val="bottom"/>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8,628</w:t>
            </w:r>
          </w:p>
        </w:tc>
        <w:tc>
          <w:tcPr>
            <w:tcW w:w="0" w:type="dxa"/>
            <w:vAlign w:val="bottom"/>
          </w:tcPr>
          <w:p>
            <w:pPr>
              <w:spacing w:after="0"/>
              <w:rPr>
                <w:sz w:val="1"/>
                <w:szCs w:val="1"/>
                <w:color w:val="auto"/>
              </w:rPr>
            </w:pPr>
          </w:p>
        </w:tc>
      </w:tr>
      <w:tr>
        <w:trPr>
          <w:trHeight w:val="256"/>
        </w:trPr>
        <w:tc>
          <w:tcPr>
            <w:tcW w:w="3320" w:type="dxa"/>
            <w:vAlign w:val="bottom"/>
            <w:tcBorders>
              <w:bottom w:val="single" w:sz="8" w:color="CCEEFF"/>
            </w:tcBorders>
          </w:tcPr>
          <w:p>
            <w:pPr>
              <w:spacing w:after="0"/>
              <w:rPr>
                <w:sz w:val="22"/>
                <w:szCs w:val="22"/>
                <w:color w:val="auto"/>
              </w:rPr>
            </w:pPr>
          </w:p>
        </w:tc>
        <w:tc>
          <w:tcPr>
            <w:tcW w:w="320" w:type="dxa"/>
            <w:vAlign w:val="bottom"/>
            <w:tcBorders>
              <w:bottom w:val="single" w:sz="8" w:color="CECECE"/>
            </w:tcBorders>
            <w:shd w:val="clear" w:color="auto" w:fill="CCEEFF"/>
          </w:tcPr>
          <w:p>
            <w:pPr>
              <w:spacing w:after="0"/>
              <w:rPr>
                <w:sz w:val="22"/>
                <w:szCs w:val="22"/>
                <w:color w:val="auto"/>
              </w:rPr>
            </w:pPr>
          </w:p>
        </w:tc>
        <w:tc>
          <w:tcPr>
            <w:tcW w:w="1160" w:type="dxa"/>
            <w:vAlign w:val="bottom"/>
            <w:tcBorders>
              <w:bottom w:val="single" w:sz="8" w:color="CECECE"/>
            </w:tcBorders>
            <w:shd w:val="clear" w:color="auto" w:fill="CCEEFF"/>
          </w:tcPr>
          <w:p>
            <w:pPr>
              <w:spacing w:after="0"/>
              <w:rPr>
                <w:sz w:val="22"/>
                <w:szCs w:val="22"/>
                <w:color w:val="auto"/>
              </w:rPr>
            </w:pPr>
          </w:p>
        </w:tc>
        <w:tc>
          <w:tcPr>
            <w:tcW w:w="100" w:type="dxa"/>
            <w:vAlign w:val="bottom"/>
            <w:tcBorders>
              <w:bottom w:val="single" w:sz="8" w:color="CECECE"/>
            </w:tcBorders>
            <w:shd w:val="clear" w:color="auto" w:fill="CCEEFF"/>
          </w:tcPr>
          <w:p>
            <w:pPr>
              <w:spacing w:after="0"/>
              <w:rPr>
                <w:sz w:val="22"/>
                <w:szCs w:val="22"/>
                <w:color w:val="auto"/>
              </w:rPr>
            </w:pPr>
          </w:p>
        </w:tc>
        <w:tc>
          <w:tcPr>
            <w:tcW w:w="240" w:type="dxa"/>
            <w:vAlign w:val="bottom"/>
            <w:tcBorders>
              <w:bottom w:val="single" w:sz="8" w:color="CECECE"/>
            </w:tcBorders>
            <w:shd w:val="clear" w:color="auto" w:fill="CCEEFF"/>
          </w:tcPr>
          <w:p>
            <w:pPr>
              <w:spacing w:after="0"/>
              <w:rPr>
                <w:sz w:val="22"/>
                <w:szCs w:val="22"/>
                <w:color w:val="auto"/>
              </w:rPr>
            </w:pPr>
          </w:p>
        </w:tc>
        <w:tc>
          <w:tcPr>
            <w:tcW w:w="1260" w:type="dxa"/>
            <w:vAlign w:val="bottom"/>
            <w:tcBorders>
              <w:bottom w:val="single" w:sz="8" w:color="CECECE"/>
            </w:tcBorders>
            <w:shd w:val="clear" w:color="auto" w:fill="CCEEFF"/>
          </w:tcPr>
          <w:p>
            <w:pPr>
              <w:spacing w:after="0"/>
              <w:rPr>
                <w:sz w:val="22"/>
                <w:szCs w:val="22"/>
                <w:color w:val="auto"/>
              </w:rPr>
            </w:pPr>
          </w:p>
        </w:tc>
        <w:tc>
          <w:tcPr>
            <w:tcW w:w="100" w:type="dxa"/>
            <w:vAlign w:val="bottom"/>
            <w:tcBorders>
              <w:bottom w:val="single" w:sz="8" w:color="CECECE"/>
            </w:tcBorders>
            <w:shd w:val="clear" w:color="auto" w:fill="CCEEFF"/>
          </w:tcPr>
          <w:p>
            <w:pPr>
              <w:spacing w:after="0"/>
              <w:rPr>
                <w:sz w:val="22"/>
                <w:szCs w:val="22"/>
                <w:color w:val="auto"/>
              </w:rPr>
            </w:pPr>
          </w:p>
        </w:tc>
        <w:tc>
          <w:tcPr>
            <w:tcW w:w="160" w:type="dxa"/>
            <w:vAlign w:val="bottom"/>
            <w:tcBorders>
              <w:bottom w:val="single" w:sz="8" w:color="CECECE"/>
            </w:tcBorders>
            <w:shd w:val="clear" w:color="auto" w:fill="CCEEFF"/>
          </w:tcPr>
          <w:p>
            <w:pPr>
              <w:spacing w:after="0"/>
              <w:rPr>
                <w:sz w:val="22"/>
                <w:szCs w:val="22"/>
                <w:color w:val="auto"/>
              </w:rPr>
            </w:pPr>
          </w:p>
        </w:tc>
        <w:tc>
          <w:tcPr>
            <w:tcW w:w="1480" w:type="dxa"/>
            <w:vAlign w:val="bottom"/>
            <w:tcBorders>
              <w:bottom w:val="single" w:sz="8" w:color="CECECE"/>
            </w:tcBorders>
            <w:shd w:val="clear" w:color="auto" w:fill="CCEEFF"/>
          </w:tcPr>
          <w:p>
            <w:pPr>
              <w:spacing w:after="0"/>
              <w:rPr>
                <w:sz w:val="22"/>
                <w:szCs w:val="22"/>
                <w:color w:val="auto"/>
              </w:rPr>
            </w:pPr>
          </w:p>
        </w:tc>
        <w:tc>
          <w:tcPr>
            <w:tcW w:w="120" w:type="dxa"/>
            <w:vAlign w:val="bottom"/>
            <w:tcBorders>
              <w:bottom w:val="single" w:sz="8" w:color="CECECE"/>
            </w:tcBorders>
            <w:shd w:val="clear" w:color="auto" w:fill="CCEEFF"/>
          </w:tcPr>
          <w:p>
            <w:pPr>
              <w:spacing w:after="0"/>
              <w:rPr>
                <w:sz w:val="22"/>
                <w:szCs w:val="22"/>
                <w:color w:val="auto"/>
              </w:rPr>
            </w:pPr>
          </w:p>
        </w:tc>
        <w:tc>
          <w:tcPr>
            <w:tcW w:w="120" w:type="dxa"/>
            <w:vAlign w:val="bottom"/>
            <w:tcBorders>
              <w:bottom w:val="single" w:sz="8" w:color="CECECE"/>
            </w:tcBorders>
            <w:shd w:val="clear" w:color="auto" w:fill="CCEEFF"/>
          </w:tcPr>
          <w:p>
            <w:pPr>
              <w:spacing w:after="0"/>
              <w:rPr>
                <w:sz w:val="22"/>
                <w:szCs w:val="22"/>
                <w:color w:val="auto"/>
              </w:rPr>
            </w:pPr>
          </w:p>
        </w:tc>
        <w:tc>
          <w:tcPr>
            <w:tcW w:w="1280" w:type="dxa"/>
            <w:vAlign w:val="bottom"/>
            <w:tcBorders>
              <w:bottom w:val="single" w:sz="8" w:color="CECECE"/>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28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498,019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28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4"/>
        </w:trPr>
        <w:tc>
          <w:tcPr>
            <w:tcW w:w="334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4"/>
        </w:trPr>
        <w:tc>
          <w:tcPr>
            <w:tcW w:w="4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3"/>
                <w:szCs w:val="13"/>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120" w:type="dxa"/>
            <w:vAlign w:val="bottom"/>
          </w:tcPr>
          <w:p>
            <w:pPr>
              <w:spacing w:after="0"/>
              <w:rPr>
                <w:sz w:val="13"/>
                <w:szCs w:val="13"/>
                <w:color w:val="auto"/>
              </w:rPr>
            </w:pPr>
          </w:p>
        </w:tc>
        <w:tc>
          <w:tcPr>
            <w:tcW w:w="128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Corporate and</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00" w:type="dxa"/>
            <w:vAlign w:val="bottom"/>
            <w:gridSpan w:val="2"/>
          </w:tcPr>
          <w:p>
            <w:pPr>
              <w:ind w:left="12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608,517</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79,788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453,541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72,855</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1,214,701</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40,528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687,521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130,045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863,001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0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649,045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767,309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583,586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77,762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2,077,702</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276,818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420,880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237,758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283,606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1,219,062</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50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142,678</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33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50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28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235,274</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30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50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1,597,014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300" w:type="dxa"/>
            <w:vAlign w:val="bottom"/>
            <w:gridSpan w:val="2"/>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40" w:type="dxa"/>
            <w:vAlign w:val="bottom"/>
            <w:gridSpan w:val="2"/>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372,227</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346,429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345,828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(205,844)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50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480,688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300" w:type="dxa"/>
            <w:vAlign w:val="bottom"/>
            <w:gridSpan w:val="2"/>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50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30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ECECE"/>
            </w:tcBorders>
            <w:shd w:val="clear" w:color="auto" w:fill="CCEEFF"/>
          </w:tcPr>
          <w:p>
            <w:pPr>
              <w:spacing w:after="0"/>
              <w:rPr>
                <w:sz w:val="22"/>
                <w:szCs w:val="22"/>
                <w:color w:val="auto"/>
              </w:rPr>
            </w:pPr>
          </w:p>
        </w:tc>
        <w:tc>
          <w:tcPr>
            <w:tcW w:w="1140" w:type="dxa"/>
            <w:vAlign w:val="bottom"/>
            <w:tcBorders>
              <w:bottom w:val="single" w:sz="8" w:color="CECECE"/>
            </w:tcBorders>
            <w:shd w:val="clear" w:color="auto" w:fill="CCEEFF"/>
          </w:tcPr>
          <w:p>
            <w:pPr>
              <w:spacing w:after="0"/>
              <w:rPr>
                <w:sz w:val="22"/>
                <w:szCs w:val="22"/>
                <w:color w:val="auto"/>
              </w:rPr>
            </w:pPr>
          </w:p>
        </w:tc>
        <w:tc>
          <w:tcPr>
            <w:tcW w:w="120" w:type="dxa"/>
            <w:vAlign w:val="bottom"/>
            <w:tcBorders>
              <w:bottom w:val="single" w:sz="8" w:color="CECECE"/>
            </w:tcBorders>
            <w:shd w:val="clear" w:color="auto" w:fill="CCEEFF"/>
          </w:tcPr>
          <w:p>
            <w:pPr>
              <w:spacing w:after="0"/>
              <w:rPr>
                <w:sz w:val="22"/>
                <w:szCs w:val="22"/>
                <w:color w:val="auto"/>
              </w:rPr>
            </w:pPr>
          </w:p>
        </w:tc>
        <w:tc>
          <w:tcPr>
            <w:tcW w:w="220" w:type="dxa"/>
            <w:vAlign w:val="bottom"/>
            <w:tcBorders>
              <w:bottom w:val="single" w:sz="8" w:color="CECECE"/>
            </w:tcBorders>
            <w:shd w:val="clear" w:color="auto" w:fill="CCEEFF"/>
          </w:tcPr>
          <w:p>
            <w:pPr>
              <w:spacing w:after="0"/>
              <w:rPr>
                <w:sz w:val="22"/>
                <w:szCs w:val="22"/>
                <w:color w:val="auto"/>
              </w:rPr>
            </w:pPr>
          </w:p>
        </w:tc>
        <w:tc>
          <w:tcPr>
            <w:tcW w:w="1260" w:type="dxa"/>
            <w:vAlign w:val="bottom"/>
            <w:tcBorders>
              <w:bottom w:val="single" w:sz="8" w:color="CECECE"/>
            </w:tcBorders>
            <w:shd w:val="clear" w:color="auto" w:fill="CCEEFF"/>
          </w:tcPr>
          <w:p>
            <w:pPr>
              <w:spacing w:after="0"/>
              <w:rPr>
                <w:sz w:val="22"/>
                <w:szCs w:val="22"/>
                <w:color w:val="auto"/>
              </w:rPr>
            </w:pPr>
          </w:p>
        </w:tc>
        <w:tc>
          <w:tcPr>
            <w:tcW w:w="100" w:type="dxa"/>
            <w:vAlign w:val="bottom"/>
            <w:tcBorders>
              <w:bottom w:val="single" w:sz="8" w:color="CECECE"/>
            </w:tcBorders>
            <w:shd w:val="clear" w:color="auto" w:fill="CCEEFF"/>
          </w:tcPr>
          <w:p>
            <w:pPr>
              <w:spacing w:after="0"/>
              <w:rPr>
                <w:sz w:val="22"/>
                <w:szCs w:val="22"/>
                <w:color w:val="auto"/>
              </w:rPr>
            </w:pPr>
          </w:p>
        </w:tc>
        <w:tc>
          <w:tcPr>
            <w:tcW w:w="160" w:type="dxa"/>
            <w:vAlign w:val="bottom"/>
            <w:tcBorders>
              <w:bottom w:val="single" w:sz="8" w:color="CECECE"/>
            </w:tcBorders>
            <w:shd w:val="clear" w:color="auto" w:fill="CCEEFF"/>
          </w:tcPr>
          <w:p>
            <w:pPr>
              <w:spacing w:after="0"/>
              <w:rPr>
                <w:sz w:val="22"/>
                <w:szCs w:val="22"/>
                <w:color w:val="auto"/>
              </w:rPr>
            </w:pPr>
          </w:p>
        </w:tc>
        <w:tc>
          <w:tcPr>
            <w:tcW w:w="1500" w:type="dxa"/>
            <w:vAlign w:val="bottom"/>
            <w:tcBorders>
              <w:bottom w:val="single" w:sz="8" w:color="CECECE"/>
            </w:tcBorders>
            <w:shd w:val="clear" w:color="auto" w:fill="CCEEFF"/>
          </w:tcPr>
          <w:p>
            <w:pPr>
              <w:spacing w:after="0"/>
              <w:rPr>
                <w:sz w:val="22"/>
                <w:szCs w:val="22"/>
                <w:color w:val="auto"/>
              </w:rPr>
            </w:pPr>
          </w:p>
        </w:tc>
        <w:tc>
          <w:tcPr>
            <w:tcW w:w="100" w:type="dxa"/>
            <w:vAlign w:val="bottom"/>
            <w:tcBorders>
              <w:bottom w:val="single" w:sz="8" w:color="CECECE"/>
            </w:tcBorders>
            <w:shd w:val="clear" w:color="auto" w:fill="CCEEFF"/>
          </w:tcPr>
          <w:p>
            <w:pPr>
              <w:spacing w:after="0"/>
              <w:rPr>
                <w:sz w:val="22"/>
                <w:szCs w:val="22"/>
                <w:color w:val="auto"/>
              </w:rPr>
            </w:pPr>
          </w:p>
        </w:tc>
        <w:tc>
          <w:tcPr>
            <w:tcW w:w="120" w:type="dxa"/>
            <w:vAlign w:val="bottom"/>
            <w:tcBorders>
              <w:bottom w:val="single" w:sz="8" w:color="CECECE"/>
            </w:tcBorders>
            <w:shd w:val="clear" w:color="auto" w:fill="CCEEFF"/>
          </w:tcPr>
          <w:p>
            <w:pPr>
              <w:spacing w:after="0"/>
              <w:rPr>
                <w:sz w:val="22"/>
                <w:szCs w:val="22"/>
                <w:color w:val="auto"/>
              </w:rPr>
            </w:pPr>
          </w:p>
        </w:tc>
        <w:tc>
          <w:tcPr>
            <w:tcW w:w="1280" w:type="dxa"/>
            <w:vAlign w:val="bottom"/>
            <w:tcBorders>
              <w:bottom w:val="single" w:sz="8" w:color="CECECE"/>
            </w:tcBorders>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19"/>
                <w:szCs w:val="19"/>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50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280" w:type="dxa"/>
            <w:vAlign w:val="bottom"/>
            <w:tcBorders>
              <w:bottom w:val="single" w:sz="8" w:color="CECECE"/>
            </w:tcBorders>
            <w:shd w:val="clear" w:color="auto" w:fill="CECEC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474,574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600" w:type="dxa"/>
            <w:vAlign w:val="bottom"/>
            <w:tcBorders>
              <w:top w:val="single" w:sz="8" w:color="CECECE"/>
              <w:bottom w:val="single" w:sz="8" w:color="CECECE"/>
            </w:tcBorders>
            <w:gridSpan w:val="2"/>
            <w:vMerge w:val="restart"/>
          </w:tcPr>
          <w:p>
            <w:pPr>
              <w:ind w:left="16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Borders>
              <w:top w:val="single" w:sz="8" w:color="CECECE"/>
            </w:tcBorders>
          </w:tcPr>
          <w:p>
            <w:pPr>
              <w:spacing w:after="0" w:line="20" w:lineRule="exact"/>
              <w:rPr>
                <w:sz w:val="1"/>
                <w:szCs w:val="1"/>
                <w:color w:val="auto"/>
              </w:rPr>
            </w:pPr>
          </w:p>
        </w:tc>
        <w:tc>
          <w:tcPr>
            <w:tcW w:w="1280" w:type="dxa"/>
            <w:vAlign w:val="bottom"/>
            <w:tcBorders>
              <w:top w:val="single" w:sz="8" w:color="CECEC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3"/>
                <w:szCs w:val="13"/>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120" w:type="dxa"/>
            <w:vAlign w:val="bottom"/>
          </w:tcPr>
          <w:p>
            <w:pPr>
              <w:spacing w:after="0"/>
              <w:rPr>
                <w:sz w:val="13"/>
                <w:szCs w:val="13"/>
                <w:color w:val="auto"/>
              </w:rPr>
            </w:pPr>
          </w:p>
        </w:tc>
        <w:tc>
          <w:tcPr>
            <w:tcW w:w="128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rPr>
              <w:t>Corporate and</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0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583,752</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83,810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434,159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54,644</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1,156,365</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38,690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635,258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110,085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786,519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30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622,442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719,068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544,244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57,130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1,942,884</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330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261,585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386,409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226,229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254,391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1,128,614</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50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121,355</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3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50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28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218,296</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30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50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1,468,265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300" w:type="dxa"/>
            <w:vAlign w:val="bottom"/>
            <w:gridSpan w:val="2"/>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40" w:type="dxa"/>
            <w:vAlign w:val="bottom"/>
            <w:gridSpan w:val="2"/>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360,857</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332,659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318,015</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(197,261)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50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474,619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300" w:type="dxa"/>
            <w:vAlign w:val="bottom"/>
            <w:gridSpan w:val="2"/>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50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300" w:type="dxa"/>
            <w:vAlign w:val="bottom"/>
            <w:gridSpan w:val="2"/>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40" w:type="dxa"/>
            <w:vAlign w:val="bottom"/>
            <w:gridSpan w:val="2"/>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19"/>
                <w:szCs w:val="19"/>
                <w:color w:val="auto"/>
              </w:rPr>
            </w:pPr>
          </w:p>
        </w:tc>
        <w:tc>
          <w:tcPr>
            <w:tcW w:w="3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top w:val="single" w:sz="8" w:color="CECECE"/>
              <w:bottom w:val="single" w:sz="8" w:color="CECECE"/>
            </w:tcBorders>
            <w:shd w:val="clear" w:color="auto" w:fill="CECECE"/>
          </w:tcPr>
          <w:p>
            <w:pPr>
              <w:spacing w:after="0"/>
              <w:rPr>
                <w:sz w:val="19"/>
                <w:szCs w:val="19"/>
                <w:color w:val="auto"/>
              </w:rPr>
            </w:pPr>
          </w:p>
        </w:tc>
        <w:tc>
          <w:tcPr>
            <w:tcW w:w="1140" w:type="dxa"/>
            <w:vAlign w:val="bottom"/>
            <w:tcBorders>
              <w:top w:val="single" w:sz="8" w:color="CECECE"/>
              <w:bottom w:val="single" w:sz="8" w:color="CECECE"/>
            </w:tcBorders>
            <w:shd w:val="clear" w:color="auto" w:fill="CECECE"/>
          </w:tcPr>
          <w:p>
            <w:pPr>
              <w:spacing w:after="0"/>
              <w:rPr>
                <w:sz w:val="19"/>
                <w:szCs w:val="19"/>
                <w:color w:val="auto"/>
              </w:rPr>
            </w:pPr>
          </w:p>
        </w:tc>
        <w:tc>
          <w:tcPr>
            <w:tcW w:w="120" w:type="dxa"/>
            <w:vAlign w:val="bottom"/>
            <w:tcBorders>
              <w:top w:val="single" w:sz="8" w:color="CECECE"/>
              <w:bottom w:val="single" w:sz="8" w:color="CECECE"/>
            </w:tcBorders>
            <w:shd w:val="clear" w:color="auto" w:fill="CECECE"/>
          </w:tcPr>
          <w:p>
            <w:pPr>
              <w:spacing w:after="0"/>
              <w:rPr>
                <w:sz w:val="19"/>
                <w:szCs w:val="19"/>
                <w:color w:val="auto"/>
              </w:rPr>
            </w:pPr>
          </w:p>
        </w:tc>
        <w:tc>
          <w:tcPr>
            <w:tcW w:w="220" w:type="dxa"/>
            <w:vAlign w:val="bottom"/>
            <w:tcBorders>
              <w:top w:val="single" w:sz="8" w:color="CECECE"/>
              <w:bottom w:val="single" w:sz="8" w:color="CECECE"/>
            </w:tcBorders>
            <w:shd w:val="clear" w:color="auto" w:fill="CECECE"/>
          </w:tcPr>
          <w:p>
            <w:pPr>
              <w:spacing w:after="0"/>
              <w:rPr>
                <w:sz w:val="19"/>
                <w:szCs w:val="19"/>
                <w:color w:val="auto"/>
              </w:rPr>
            </w:pPr>
          </w:p>
        </w:tc>
        <w:tc>
          <w:tcPr>
            <w:tcW w:w="1260" w:type="dxa"/>
            <w:vAlign w:val="bottom"/>
            <w:tcBorders>
              <w:top w:val="single" w:sz="8" w:color="CECECE"/>
              <w:bottom w:val="single" w:sz="8" w:color="CECECE"/>
            </w:tcBorders>
            <w:shd w:val="clear" w:color="auto" w:fill="CECECE"/>
          </w:tcPr>
          <w:p>
            <w:pPr>
              <w:spacing w:after="0"/>
              <w:rPr>
                <w:sz w:val="19"/>
                <w:szCs w:val="19"/>
                <w:color w:val="auto"/>
              </w:rPr>
            </w:pPr>
          </w:p>
        </w:tc>
        <w:tc>
          <w:tcPr>
            <w:tcW w:w="100" w:type="dxa"/>
            <w:vAlign w:val="bottom"/>
            <w:tcBorders>
              <w:top w:val="single" w:sz="8" w:color="CECECE"/>
              <w:bottom w:val="single" w:sz="8" w:color="CECECE"/>
            </w:tcBorders>
            <w:shd w:val="clear" w:color="auto" w:fill="CECECE"/>
          </w:tcPr>
          <w:p>
            <w:pPr>
              <w:spacing w:after="0"/>
              <w:rPr>
                <w:sz w:val="19"/>
                <w:szCs w:val="19"/>
                <w:color w:val="auto"/>
              </w:rPr>
            </w:pPr>
          </w:p>
        </w:tc>
        <w:tc>
          <w:tcPr>
            <w:tcW w:w="160" w:type="dxa"/>
            <w:vAlign w:val="bottom"/>
            <w:tcBorders>
              <w:top w:val="single" w:sz="8" w:color="CECECE"/>
              <w:bottom w:val="single" w:sz="8" w:color="CECECE"/>
            </w:tcBorders>
            <w:shd w:val="clear" w:color="auto" w:fill="CECECE"/>
          </w:tcPr>
          <w:p>
            <w:pPr>
              <w:spacing w:after="0"/>
              <w:rPr>
                <w:sz w:val="19"/>
                <w:szCs w:val="19"/>
                <w:color w:val="auto"/>
              </w:rPr>
            </w:pPr>
          </w:p>
        </w:tc>
        <w:tc>
          <w:tcPr>
            <w:tcW w:w="1500" w:type="dxa"/>
            <w:vAlign w:val="bottom"/>
            <w:tcBorders>
              <w:top w:val="single" w:sz="8" w:color="CECECE"/>
              <w:bottom w:val="single" w:sz="8" w:color="CECECE"/>
            </w:tcBorders>
            <w:shd w:val="clear" w:color="auto" w:fill="CECECE"/>
          </w:tcPr>
          <w:p>
            <w:pPr>
              <w:spacing w:after="0"/>
              <w:rPr>
                <w:sz w:val="19"/>
                <w:szCs w:val="19"/>
                <w:color w:val="auto"/>
              </w:rPr>
            </w:pPr>
          </w:p>
        </w:tc>
        <w:tc>
          <w:tcPr>
            <w:tcW w:w="100" w:type="dxa"/>
            <w:vAlign w:val="bottom"/>
            <w:tcBorders>
              <w:top w:val="single" w:sz="8" w:color="CECECE"/>
              <w:bottom w:val="single" w:sz="8" w:color="CECECE"/>
            </w:tcBorders>
            <w:shd w:val="clear" w:color="auto" w:fill="CECECE"/>
          </w:tcPr>
          <w:p>
            <w:pPr>
              <w:spacing w:after="0"/>
              <w:rPr>
                <w:sz w:val="19"/>
                <w:szCs w:val="19"/>
                <w:color w:val="auto"/>
              </w:rPr>
            </w:pPr>
          </w:p>
        </w:tc>
        <w:tc>
          <w:tcPr>
            <w:tcW w:w="120" w:type="dxa"/>
            <w:vAlign w:val="bottom"/>
            <w:tcBorders>
              <w:top w:val="single" w:sz="8" w:color="CECECE"/>
              <w:bottom w:val="single" w:sz="8" w:color="CECECE"/>
            </w:tcBorders>
            <w:shd w:val="clear" w:color="auto" w:fill="CECECE"/>
          </w:tcPr>
          <w:p>
            <w:pPr>
              <w:spacing w:after="0"/>
              <w:rPr>
                <w:sz w:val="19"/>
                <w:szCs w:val="19"/>
                <w:color w:val="auto"/>
              </w:rPr>
            </w:pPr>
          </w:p>
        </w:tc>
        <w:tc>
          <w:tcPr>
            <w:tcW w:w="1280" w:type="dxa"/>
            <w:vAlign w:val="bottom"/>
            <w:tcBorders>
              <w:top w:val="single" w:sz="8" w:color="CECECE"/>
              <w:bottom w:val="single" w:sz="8" w:color="CECECE"/>
            </w:tcBorders>
            <w:shd w:val="clear" w:color="auto" w:fill="CECEC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50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280" w:type="dxa"/>
            <w:vAlign w:val="bottom"/>
            <w:tcBorders>
              <w:top w:val="single" w:sz="8" w:color="CECEC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Company has not disclosed any additional asset information by segment, as the information is not generated for internal management reporting to the Chief Executive Officer, who is also the Chief Operating Decision Maker.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NOTE 15. SUBSEQUENT EVENTS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August 23, 2024, the Company's Board of Directors declared a cash dividend of $0.55 per share on its common stock, payable on September 27, 2024, to stockholders of record on September 6, 2024.</w:t>
      </w:r>
    </w:p>
    <w:p>
      <w:pPr>
        <w:spacing w:after="0" w:line="355" w:lineRule="exact"/>
        <w:rPr>
          <w:sz w:val="20"/>
          <w:szCs w:val="20"/>
          <w:color w:val="auto"/>
        </w:rPr>
      </w:pPr>
    </w:p>
    <w:p>
      <w:pPr>
        <w:ind w:right="980"/>
        <w:spacing w:after="0" w:line="39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end of the period covered by this Annual Report on Form 10-K, an evaluation was carried out under the supervision and with the participation of our management, including our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Management’s Report on Internal Control over Financial Reporting required by this Item 9A is in Item 8, “Financial Statements and Supplementary Data.” The Company's independent registered public accounting firm has audited our internal control over financial reporting as of June 30, 2024; their report is included in Item 8 of this Form 10-K.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quarter ended June 30, 2024, there were no changes in the Company’s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Rule 10b-5(1) Trading Plans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June 30, 2024, no director or officer of the Company adopted or terminated a “Rule 10b5-1 trading arrangement” or “non-Rule 10b5-1 trading arrangement,” as each term is defined in Item 408(a) of Regulation S-K.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Information required by Items 10, 11, 12, 13 and 14 of Part III is omitted from this report and will be filed within 120 days after the Company's June 30, 2024, fiscal year end in the definitive proxy statement for our 2024 Annual Meeting of Stockholders (the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 xml:space="preserve">See the information under the captions “Election of Directors”, “Corporate Governance," “Delinquent Section 16(a) Reports" (if applicable), and </w:t>
      </w:r>
      <w:r>
        <w:rPr>
          <w:rFonts w:ascii="Times New Roman" w:cs="Times New Roman" w:eastAsia="Times New Roman" w:hAnsi="Times New Roman"/>
          <w:sz w:val="18"/>
          <w:szCs w:val="18"/>
          <w:color w:val="auto"/>
        </w:rPr>
        <w:t>“</w:t>
      </w:r>
      <w:r>
        <w:rPr>
          <w:rFonts w:ascii="Arial" w:cs="Arial" w:eastAsia="Arial" w:hAnsi="Arial"/>
          <w:sz w:val="18"/>
          <w:szCs w:val="18"/>
          <w:color w:val="auto"/>
        </w:rPr>
        <w:t>Executive Officers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in the Proxy Statement, which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the information under captions “Corporate Governance," “Human Capital &amp; Compensation Committee Report," “Compensation Discussion and Analysis," "Compensation and Risk," and “Executive Compensation” in the Proxy Statement, which is incorporated herein by reference.</w:t>
      </w:r>
    </w:p>
    <w:p>
      <w:pPr>
        <w:spacing w:after="0" w:line="29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the information under the captions “Stock Ownership of Certain Stockholders” and “Equity Compensation Plan Information” in the Proxy Statement,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the information under the captions “Election of Directors - Director Independence” and “Certain Relationships and Related Transactions” in the Proxy Statement, which is incorporated herein by reference.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the information under the captions ”Audit Committee Report” and “Ratification of Selection of the Company's Independent Registered Public Accounting Firm," PricewaterhouseCoopers LLP (PCAOB ID No. 238), in the Proxy Statement,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left="5280"/>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The following documents are filed as part of this Report:</w:t>
      </w:r>
    </w:p>
    <w:p>
      <w:pPr>
        <w:spacing w:after="0" w:line="104" w:lineRule="exact"/>
        <w:rPr>
          <w:sz w:val="20"/>
          <w:szCs w:val="20"/>
          <w:color w:val="auto"/>
        </w:rPr>
      </w:pPr>
    </w:p>
    <w:p>
      <w:pPr>
        <w:ind w:firstLine="8"/>
        <w:spacing w:after="0" w:line="287"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consolidated financial statements of the Company and its subsidiaries and the Report of Independent Registered Public Accounting Firm thereon appear under Item 8 of this Report:</w:t>
      </w:r>
    </w:p>
    <w:p>
      <w:pPr>
        <w:spacing w:after="0" w:line="179"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27"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Statements of Income for the fiscal years ended June 30, 2024, 2023, and 2022</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Balance Sheets as of June 30, 2024, and 2023</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Statements of Changes in Stockholders’ Equity for the fiscal years ended June 30, 2024, 2023, and 2022</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ended June 30, 2024, 2023, and 2022</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Notes to the Consolidated Financial Statements</w:t>
      </w:r>
    </w:p>
    <w:p>
      <w:pPr>
        <w:spacing w:after="0" w:line="72"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financial statement schedules filed as part of this Report appear under Item 8 of this Report:</w:t>
      </w:r>
    </w:p>
    <w:p>
      <w:pPr>
        <w:spacing w:after="0" w:line="104"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There are no schedules included because they are not applicable, or the required information is shown in the consolidated financial statements or notes thereto.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(3) See “Index to Exhibits” set forth below.</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exhibits not attached hereto are incorporated by reference to a prior filing as indicated.</w:t>
      </w:r>
    </w:p>
    <w:p>
      <w:pPr>
        <w:spacing w:after="0" w:line="200" w:lineRule="exact"/>
        <w:rPr>
          <w:sz w:val="20"/>
          <w:szCs w:val="20"/>
          <w:color w:val="auto"/>
        </w:rPr>
      </w:pPr>
    </w:p>
    <w:p>
      <w:pPr>
        <w:spacing w:after="0" w:line="39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252" w:lineRule="exact"/>
        <w:rPr>
          <w:sz w:val="20"/>
          <w:szCs w:val="20"/>
          <w:color w:val="auto"/>
        </w:rPr>
      </w:pPr>
    </w:p>
    <w:p>
      <w:pPr>
        <w:spacing w:after="0"/>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3.1.8</w:t>
      </w:r>
      <w:r>
        <w:rPr>
          <w:sz w:val="20"/>
          <w:szCs w:val="20"/>
          <w:color w:val="auto"/>
        </w:rPr>
        <w:tab/>
      </w:r>
      <w:hyperlink r:id="rId72">
        <w:r>
          <w:rPr>
            <w:rFonts w:ascii="Arial" w:cs="Arial" w:eastAsia="Arial" w:hAnsi="Arial"/>
            <w:sz w:val="18"/>
            <w:szCs w:val="18"/>
            <w:u w:val="single" w:color="auto"/>
            <w:color w:val="0000FF"/>
          </w:rPr>
          <w:t>Restated Certificate of Incorporation attached as Exhibit 3.1.8 to the Company’s Quarterly Report on Form 10-Q filed February 9,</w:t>
        </w:r>
      </w:hyperlink>
    </w:p>
    <w:p>
      <w:pPr>
        <w:spacing w:after="0" w:line="27" w:lineRule="exact"/>
        <w:rPr>
          <w:sz w:val="20"/>
          <w:szCs w:val="20"/>
          <w:color w:val="auto"/>
        </w:rPr>
      </w:pPr>
    </w:p>
    <w:p>
      <w:pPr>
        <w:ind w:left="1300"/>
        <w:spacing w:after="0"/>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2021.</w:t>
        </w:r>
      </w:hyperlink>
    </w:p>
    <w:p>
      <w:pPr>
        <w:spacing w:after="0" w:line="234" w:lineRule="exact"/>
        <w:rPr>
          <w:sz w:val="20"/>
          <w:szCs w:val="20"/>
          <w:color w:val="auto"/>
        </w:rPr>
      </w:pPr>
    </w:p>
    <w:p>
      <w:pPr>
        <w:spacing w:after="0"/>
        <w:tabs>
          <w:tab w:leader="none" w:pos="580" w:val="left"/>
        </w:tabs>
        <w:rPr>
          <w:rFonts w:ascii="Arial" w:cs="Arial" w:eastAsia="Arial" w:hAnsi="Arial"/>
          <w:sz w:val="17"/>
          <w:szCs w:val="17"/>
          <w:u w:val="single" w:color="auto"/>
          <w:color w:val="0000FF"/>
        </w:rPr>
      </w:pPr>
      <w:r>
        <w:rPr>
          <w:rFonts w:ascii="Arial" w:cs="Arial" w:eastAsia="Arial" w:hAnsi="Arial"/>
          <w:sz w:val="18"/>
          <w:szCs w:val="18"/>
          <w:color w:val="auto"/>
        </w:rPr>
        <w:t>3.2.9</w:t>
      </w:r>
      <w:r>
        <w:rPr>
          <w:sz w:val="20"/>
          <w:szCs w:val="20"/>
          <w:color w:val="auto"/>
        </w:rPr>
        <w:tab/>
      </w:r>
      <w:hyperlink r:id="rId73">
        <w:r>
          <w:rPr>
            <w:rFonts w:ascii="Arial" w:cs="Arial" w:eastAsia="Arial" w:hAnsi="Arial"/>
            <w:sz w:val="17"/>
            <w:szCs w:val="17"/>
            <w:u w:val="single" w:color="auto"/>
            <w:color w:val="0000FF"/>
          </w:rPr>
          <w:t>Restated and Amended Bylaws attached as Exhibit 3.2.9 to the Company’s Current Report on Form 8-K filed July 5, 2024.</w:t>
        </w:r>
      </w:hyperlink>
    </w:p>
    <w:p>
      <w:pPr>
        <w:spacing w:after="0" w:line="25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0000FF"/>
        </w:rPr>
        <w:t>Description of Securities</w:t>
      </w:r>
    </w:p>
    <w:p>
      <w:pPr>
        <w:spacing w:after="0" w:line="252" w:lineRule="exact"/>
        <w:rPr>
          <w:sz w:val="20"/>
          <w:szCs w:val="20"/>
          <w:color w:val="auto"/>
        </w:rPr>
      </w:pPr>
    </w:p>
    <w:p>
      <w:pPr>
        <w:spacing w:after="0"/>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10.49*</w:t>
      </w:r>
      <w:r>
        <w:rPr>
          <w:sz w:val="20"/>
          <w:szCs w:val="20"/>
          <w:color w:val="auto"/>
        </w:rPr>
        <w:tab/>
      </w:r>
      <w:hyperlink r:id="rId74">
        <w:r>
          <w:rPr>
            <w:rFonts w:ascii="Arial" w:cs="Arial" w:eastAsia="Arial" w:hAnsi="Arial"/>
            <w:sz w:val="18"/>
            <w:szCs w:val="18"/>
            <w:u w:val="single" w:color="auto"/>
            <w:color w:val="0000FF"/>
          </w:rPr>
          <w:t>Jack Henry &amp; Associates, Inc. Deferred Compensation Plan attached as Exhibit 10.49 to the Company’s Quarterly Report on Form</w:t>
        </w:r>
      </w:hyperlink>
    </w:p>
    <w:p>
      <w:pPr>
        <w:spacing w:after="0" w:line="14" w:lineRule="exact"/>
        <w:rPr>
          <w:sz w:val="20"/>
          <w:szCs w:val="20"/>
          <w:color w:val="auto"/>
        </w:rPr>
      </w:pPr>
    </w:p>
    <w:p>
      <w:pPr>
        <w:ind w:left="1300"/>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10-Q filed November 5, 2014.</w:t>
        </w:r>
      </w:hyperlink>
    </w:p>
    <w:p>
      <w:pPr>
        <w:spacing w:after="0" w:line="234" w:lineRule="exact"/>
        <w:rPr>
          <w:sz w:val="20"/>
          <w:szCs w:val="20"/>
          <w:color w:val="auto"/>
        </w:rPr>
      </w:pPr>
    </w:p>
    <w:p>
      <w:pPr>
        <w:ind w:left="760" w:hanging="1295"/>
        <w:spacing w:after="0" w:line="28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10.50*</w:t>
      </w:r>
      <w:r>
        <w:rPr>
          <w:sz w:val="20"/>
          <w:szCs w:val="20"/>
          <w:color w:val="auto"/>
        </w:rPr>
        <w:tab/>
      </w:r>
      <w:hyperlink r:id="rId75">
        <w:r>
          <w:rPr>
            <w:rFonts w:ascii="Arial" w:cs="Arial" w:eastAsia="Arial" w:hAnsi="Arial"/>
            <w:sz w:val="18"/>
            <w:szCs w:val="18"/>
            <w:u w:val="single" w:color="auto"/>
            <w:color w:val="0000FF"/>
          </w:rPr>
          <w:t>Jack Henry &amp; Associates, Inc. Non-Employee Directors Deferred Compensation Plan attached as Exhibit 10.50 to the Company’s</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Quarterly Report on Form 10-Q filed November 5, 2014.</w:t>
        </w:r>
      </w:hyperlink>
    </w:p>
    <w:p>
      <w:pPr>
        <w:spacing w:after="0" w:line="180" w:lineRule="exact"/>
        <w:rPr>
          <w:sz w:val="20"/>
          <w:szCs w:val="20"/>
          <w:color w:val="auto"/>
        </w:rPr>
      </w:pPr>
    </w:p>
    <w:p>
      <w:pPr>
        <w:ind w:left="740" w:right="20" w:hanging="1295"/>
        <w:spacing w:after="0" w:line="287" w:lineRule="auto"/>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10.56*</w:t>
      </w:r>
      <w:r>
        <w:rPr>
          <w:sz w:val="20"/>
          <w:szCs w:val="20"/>
          <w:color w:val="auto"/>
        </w:rPr>
        <w:tab/>
      </w:r>
      <w:hyperlink r:id="rId76">
        <w:r>
          <w:rPr>
            <w:rFonts w:ascii="Arial" w:cs="Arial" w:eastAsia="Arial" w:hAnsi="Arial"/>
            <w:sz w:val="18"/>
            <w:szCs w:val="18"/>
            <w:u w:val="single" w:color="auto"/>
            <w:color w:val="0000FF"/>
          </w:rPr>
          <w:t>Jack Henry &amp; Associates, Inc. 2015 Equity Incentive Plan attached as Exhibit 10.56 to the Company's Current Report on Form 8-K</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filed November 16, 2015.</w:t>
        </w:r>
      </w:hyperlink>
    </w:p>
    <w:p>
      <w:pPr>
        <w:spacing w:after="0" w:line="180" w:lineRule="exact"/>
        <w:rPr>
          <w:sz w:val="20"/>
          <w:szCs w:val="20"/>
          <w:color w:val="auto"/>
        </w:rPr>
      </w:pPr>
    </w:p>
    <w:p>
      <w:pPr>
        <w:ind w:left="720" w:hanging="1295"/>
        <w:spacing w:after="0" w:line="287"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10.58*</w:t>
      </w:r>
      <w:r>
        <w:rPr>
          <w:sz w:val="20"/>
          <w:szCs w:val="20"/>
          <w:color w:val="auto"/>
        </w:rPr>
        <w:tab/>
      </w:r>
      <w:hyperlink r:id="rId77">
        <w:r>
          <w:rPr>
            <w:rFonts w:ascii="Arial" w:cs="Arial" w:eastAsia="Arial" w:hAnsi="Arial"/>
            <w:sz w:val="18"/>
            <w:szCs w:val="18"/>
            <w:u w:val="single" w:color="auto"/>
            <w:color w:val="0000FF"/>
          </w:rPr>
          <w:t>Form of Nonqualified Stock Option Agreement (executives) attached as Exhibit 10.58 to the Company’s Current Report on Form 8-K</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filed July 1, 2016.</w:t>
        </w:r>
      </w:hyperlink>
    </w:p>
    <w:p>
      <w:pPr>
        <w:spacing w:after="0" w:line="180" w:lineRule="exact"/>
        <w:rPr>
          <w:sz w:val="20"/>
          <w:szCs w:val="20"/>
          <w:color w:val="auto"/>
        </w:rPr>
      </w:pPr>
    </w:p>
    <w:p>
      <w:pPr>
        <w:ind w:left="820" w:hanging="1295"/>
        <w:spacing w:after="0" w:line="287"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10.63*</w:t>
      </w:r>
      <w:r>
        <w:rPr>
          <w:sz w:val="20"/>
          <w:szCs w:val="20"/>
          <w:color w:val="auto"/>
        </w:rPr>
        <w:tab/>
      </w:r>
      <w:hyperlink r:id="rId78">
        <w:r>
          <w:rPr>
            <w:rFonts w:ascii="Arial" w:cs="Arial" w:eastAsia="Arial" w:hAnsi="Arial"/>
            <w:sz w:val="18"/>
            <w:szCs w:val="18"/>
            <w:u w:val="single" w:color="auto"/>
            <w:color w:val="0000FF"/>
          </w:rPr>
          <w:t>Jack Henry &amp; Associates, Inc. 2017 Annual Incentive Plan, effective September 1, 2017 and approved by the stockholders on</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November 9, 2017, attached as Exhibit 10.63 to the Company's Current Report on Form 8-K filed November 13, 2017.</w:t>
        </w:r>
      </w:hyperlink>
    </w:p>
    <w:p>
      <w:pPr>
        <w:spacing w:after="0" w:line="180" w:lineRule="exact"/>
        <w:rPr>
          <w:sz w:val="20"/>
          <w:szCs w:val="20"/>
          <w:color w:val="auto"/>
        </w:rPr>
      </w:pPr>
    </w:p>
    <w:p>
      <w:pPr>
        <w:ind w:left="760" w:hanging="1295"/>
        <w:spacing w:after="0" w:line="271"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10.64*</w:t>
      </w:r>
      <w:r>
        <w:rPr>
          <w:sz w:val="20"/>
          <w:szCs w:val="20"/>
          <w:color w:val="auto"/>
        </w:rPr>
        <w:tab/>
      </w:r>
      <w:hyperlink r:id="rId79">
        <w:r>
          <w:rPr>
            <w:rFonts w:ascii="Arial" w:cs="Arial" w:eastAsia="Arial" w:hAnsi="Arial"/>
            <w:sz w:val="18"/>
            <w:szCs w:val="18"/>
            <w:u w:val="single" w:color="auto"/>
            <w:color w:val="0000FF"/>
          </w:rPr>
          <w:t>Retention Agreement, dated January 1, 2020, between the Company and David Foss attached as Exhibit 10.64 to the Company’s</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Current Report on Form 8-K filed January 3, 2020.</w:t>
        </w:r>
      </w:hyperlink>
    </w:p>
    <w:p>
      <w:pPr>
        <w:spacing w:after="0" w:line="181" w:lineRule="exact"/>
        <w:rPr>
          <w:sz w:val="20"/>
          <w:szCs w:val="20"/>
          <w:color w:val="auto"/>
        </w:rPr>
      </w:pPr>
    </w:p>
    <w:p>
      <w:pPr>
        <w:spacing w:after="0"/>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10.69*</w:t>
      </w:r>
      <w:r>
        <w:rPr>
          <w:sz w:val="20"/>
          <w:szCs w:val="20"/>
          <w:color w:val="auto"/>
        </w:rPr>
        <w:tab/>
      </w:r>
      <w:hyperlink r:id="rId80">
        <w:r>
          <w:rPr>
            <w:rFonts w:ascii="Arial" w:cs="Arial" w:eastAsia="Arial" w:hAnsi="Arial"/>
            <w:sz w:val="18"/>
            <w:szCs w:val="18"/>
            <w:u w:val="single" w:color="auto"/>
            <w:color w:val="0000FF"/>
          </w:rPr>
          <w:t>Form of Performance Shares Agreement attached as Exhibit 10.69 to the Company's Annual Report on Form 10-K filed August 25,</w:t>
        </w:r>
      </w:hyperlink>
    </w:p>
    <w:p>
      <w:pPr>
        <w:spacing w:after="0" w:line="27" w:lineRule="exact"/>
        <w:rPr>
          <w:sz w:val="20"/>
          <w:szCs w:val="20"/>
          <w:color w:val="auto"/>
        </w:rPr>
      </w:pPr>
    </w:p>
    <w:p>
      <w:pPr>
        <w:ind w:left="1300"/>
        <w:spacing w:after="0"/>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2021.</w:t>
        </w:r>
      </w:hyperlink>
    </w:p>
    <w:p>
      <w:pPr>
        <w:spacing w:after="0" w:line="221" w:lineRule="exact"/>
        <w:rPr>
          <w:sz w:val="20"/>
          <w:szCs w:val="20"/>
          <w:color w:val="auto"/>
        </w:rPr>
      </w:pPr>
    </w:p>
    <w:p>
      <w:pPr>
        <w:ind w:left="780" w:hanging="1295"/>
        <w:spacing w:after="0" w:line="271" w:lineRule="auto"/>
        <w:tabs>
          <w:tab w:leader="none" w:pos="760" w:val="left"/>
        </w:tabs>
        <w:rPr>
          <w:rFonts w:ascii="Arial" w:cs="Arial" w:eastAsia="Arial" w:hAnsi="Arial"/>
          <w:sz w:val="18"/>
          <w:szCs w:val="18"/>
          <w:u w:val="single" w:color="auto"/>
          <w:color w:val="0000FF"/>
        </w:rPr>
      </w:pPr>
      <w:r>
        <w:rPr>
          <w:rFonts w:ascii="Arial" w:cs="Arial" w:eastAsia="Arial" w:hAnsi="Arial"/>
          <w:sz w:val="18"/>
          <w:szCs w:val="18"/>
          <w:color w:val="auto"/>
        </w:rPr>
        <w:t>10.70*</w:t>
      </w:r>
      <w:r>
        <w:rPr>
          <w:sz w:val="20"/>
          <w:szCs w:val="20"/>
          <w:color w:val="auto"/>
        </w:rPr>
        <w:tab/>
      </w:r>
      <w:hyperlink r:id="rId81">
        <w:r>
          <w:rPr>
            <w:rFonts w:ascii="Arial" w:cs="Arial" w:eastAsia="Arial" w:hAnsi="Arial"/>
            <w:sz w:val="18"/>
            <w:szCs w:val="18"/>
            <w:u w:val="single" w:color="auto"/>
            <w:color w:val="0000FF"/>
          </w:rPr>
          <w:t>Form of Restricted Stock Unit Agreement (Employees) attached as Exhibit 10.70 to the Company's Annual Report on Form 10-K</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filed August 25, 2021.</w:t>
        </w:r>
      </w:hyperlink>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10.71*</w:t>
      </w:r>
      <w:r>
        <w:rPr>
          <w:sz w:val="20"/>
          <w:szCs w:val="20"/>
          <w:color w:val="auto"/>
        </w:rPr>
        <w:tab/>
      </w:r>
      <w:hyperlink r:id="rId83">
        <w:r>
          <w:rPr>
            <w:rFonts w:ascii="Arial" w:cs="Arial" w:eastAsia="Arial" w:hAnsi="Arial"/>
            <w:sz w:val="18"/>
            <w:szCs w:val="18"/>
            <w:u w:val="single" w:color="auto"/>
            <w:color w:val="0000FF"/>
          </w:rPr>
          <w:t>Form of Indemnification Agreement attached as Exhibit 10.71 to the Company's Current Report on Form 8-K filed February 17,</w:t>
        </w:r>
      </w:hyperlink>
    </w:p>
    <w:p>
      <w:pPr>
        <w:spacing w:after="0" w:line="27" w:lineRule="exact"/>
        <w:rPr>
          <w:sz w:val="20"/>
          <w:szCs w:val="20"/>
          <w:color w:val="auto"/>
        </w:rPr>
      </w:pPr>
    </w:p>
    <w:p>
      <w:pPr>
        <w:ind w:left="1300"/>
        <w:spacing w:after="0"/>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2022.</w:t>
        </w:r>
      </w:hyperlink>
    </w:p>
    <w:p>
      <w:pPr>
        <w:spacing w:after="0" w:line="207" w:lineRule="exact"/>
        <w:rPr>
          <w:sz w:val="20"/>
          <w:szCs w:val="20"/>
          <w:color w:val="auto"/>
        </w:rPr>
      </w:pPr>
    </w:p>
    <w:p>
      <w:pPr>
        <w:jc w:val="both"/>
        <w:ind w:left="760" w:hanging="1295"/>
        <w:spacing w:after="0" w:line="271"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10.72*</w:t>
      </w:r>
      <w:r>
        <w:rPr>
          <w:sz w:val="20"/>
          <w:szCs w:val="20"/>
          <w:color w:val="auto"/>
        </w:rPr>
        <w:tab/>
      </w:r>
      <w:hyperlink r:id="rId84">
        <w:r>
          <w:rPr>
            <w:rFonts w:ascii="Arial" w:cs="Arial" w:eastAsia="Arial" w:hAnsi="Arial"/>
            <w:sz w:val="18"/>
            <w:szCs w:val="18"/>
            <w:u w:val="single" w:color="auto"/>
            <w:color w:val="0000FF"/>
          </w:rPr>
          <w:t>Jack Henry &amp; Associates, Inc. Executive Severance Plan attached as Exhibit 10.72 to the Company's Current Report on Form 8-K</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filed July 29, 2022.</w:t>
        </w:r>
      </w:hyperlink>
    </w:p>
    <w:p>
      <w:pPr>
        <w:spacing w:after="0" w:line="194" w:lineRule="exact"/>
        <w:rPr>
          <w:sz w:val="20"/>
          <w:szCs w:val="20"/>
          <w:color w:val="auto"/>
        </w:rPr>
      </w:pPr>
    </w:p>
    <w:p>
      <w:pPr>
        <w:jc w:val="both"/>
        <w:ind w:left="1300" w:hanging="1295"/>
        <w:spacing w:after="0" w:line="26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10.73 </w:t>
      </w:r>
      <w:hyperlink r:id="rId85">
        <w:r>
          <w:rPr>
            <w:rFonts w:ascii="Arial" w:cs="Arial" w:eastAsia="Arial" w:hAnsi="Arial"/>
            <w:sz w:val="18"/>
            <w:szCs w:val="18"/>
            <w:u w:val="single" w:color="auto"/>
            <w:color w:val="0000FF"/>
          </w:rPr>
          <w:t>Amended and Restated Credit Agreement, dated as of August 31, 2022, among Jack Henry &amp; Associates, Inc., as Borrower, the</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FF"/>
          </w:rPr>
          <w:t>lenders parties thereto, U.S. Bank National Association, as Administrative Agent, LC Issuer and Swing Line Lender, and</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certain other financial institutions as co-syndication agents and joint lead arrangers and joint book runners attached as</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Exhibit 10.73 to the Company’s Current Report on Form 8-K filed September 1, 2022.</w:t>
        </w:r>
      </w:hyperlink>
    </w:p>
    <w:p>
      <w:pPr>
        <w:spacing w:after="0" w:line="203" w:lineRule="exact"/>
        <w:rPr>
          <w:rFonts w:ascii="Arial" w:cs="Arial" w:eastAsia="Arial" w:hAnsi="Arial"/>
          <w:sz w:val="18"/>
          <w:szCs w:val="18"/>
          <w:u w:val="single" w:color="auto"/>
          <w:color w:val="0000FF"/>
        </w:rPr>
      </w:pPr>
    </w:p>
    <w:p>
      <w:pPr>
        <w:jc w:val="both"/>
        <w:ind w:left="1300" w:hanging="1295"/>
        <w:spacing w:after="0" w:line="26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10.74 </w:t>
      </w:r>
      <w:hyperlink r:id="rId86">
        <w:r>
          <w:rPr>
            <w:rFonts w:ascii="Arial" w:cs="Arial" w:eastAsia="Arial" w:hAnsi="Arial"/>
            <w:sz w:val="18"/>
            <w:szCs w:val="18"/>
            <w:u w:val="single" w:color="auto"/>
            <w:color w:val="0000FF"/>
          </w:rPr>
          <w:t>Amendment No. 1 to Amended and Restated Credit Agreement, dated as of May 16, 2023 among Jack Henry &amp; Associates, Inc., as</w:t>
        </w:r>
      </w:hyperlink>
      <w:r>
        <w:rPr>
          <w:rFonts w:ascii="Arial" w:cs="Arial" w:eastAsia="Arial" w:hAnsi="Arial"/>
          <w:sz w:val="18"/>
          <w:szCs w:val="18"/>
          <w:color w:val="auto"/>
        </w:rPr>
        <w:t xml:space="preserve"> </w:t>
      </w:r>
      <w:hyperlink r:id="rId86">
        <w:r>
          <w:rPr>
            <w:rFonts w:ascii="Arial" w:cs="Arial" w:eastAsia="Arial" w:hAnsi="Arial"/>
            <w:sz w:val="18"/>
            <w:szCs w:val="18"/>
            <w:u w:val="single" w:color="auto"/>
            <w:color w:val="0000FF"/>
          </w:rPr>
          <w:t>Borrower, the affiliates of Borrower party thereto as Guarantors, the lenders parties thereto, and U.S. Bank National</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Association, as Administrative Agent attached as Exhibit 10.74 to the Company’s Current Report on Form 8-K filed May 22,</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2023.</w:t>
        </w:r>
      </w:hyperlink>
    </w:p>
    <w:p>
      <w:pPr>
        <w:spacing w:after="0" w:line="203" w:lineRule="exact"/>
        <w:rPr>
          <w:rFonts w:ascii="Arial" w:cs="Arial" w:eastAsia="Arial" w:hAnsi="Arial"/>
          <w:sz w:val="18"/>
          <w:szCs w:val="18"/>
          <w:u w:val="single" w:color="auto"/>
          <w:color w:val="0000FF"/>
        </w:rPr>
      </w:pPr>
    </w:p>
    <w:p>
      <w:pPr>
        <w:jc w:val="both"/>
        <w:ind w:left="700" w:hanging="1295"/>
        <w:spacing w:after="0" w:line="268"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10.75</w:t>
      </w:r>
      <w:r>
        <w:rPr>
          <w:sz w:val="20"/>
          <w:szCs w:val="20"/>
          <w:color w:val="auto"/>
        </w:rPr>
        <w:tab/>
      </w:r>
      <w:hyperlink r:id="rId87">
        <w:r>
          <w:rPr>
            <w:rFonts w:ascii="Arial" w:cs="Arial" w:eastAsia="Arial" w:hAnsi="Arial"/>
            <w:sz w:val="18"/>
            <w:szCs w:val="18"/>
            <w:u w:val="single" w:color="auto"/>
            <w:color w:val="0000FF"/>
          </w:rPr>
          <w:t>Term Loan Agreement, dated as of May 16, 2023, among Jack Henry &amp; Associates, Inc., as Borrower, the lenders parties thereto,</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Truist Bank, as Administrative Agent, and certain other financial institutions as joint lead arrangers and joint book runners</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attached as Exhibit 10.75 to the Company’s Current Report on Form 8-K filed May 22, 2023.</w:t>
        </w:r>
      </w:hyperlink>
    </w:p>
    <w:p>
      <w:pPr>
        <w:spacing w:after="0" w:line="198" w:lineRule="exact"/>
        <w:rPr>
          <w:rFonts w:ascii="Arial" w:cs="Arial" w:eastAsia="Arial" w:hAnsi="Arial"/>
          <w:sz w:val="18"/>
          <w:szCs w:val="18"/>
          <w:u w:val="single" w:color="auto"/>
          <w:color w:val="0000FF"/>
        </w:rPr>
      </w:pPr>
    </w:p>
    <w:p>
      <w:pPr>
        <w:spacing w:after="0"/>
        <w:rPr>
          <w:rFonts w:ascii="Arial" w:cs="Arial" w:eastAsia="Arial" w:hAnsi="Arial"/>
          <w:sz w:val="18"/>
          <w:szCs w:val="18"/>
          <w:color w:val="auto"/>
        </w:rPr>
      </w:pPr>
      <w:r>
        <w:rPr>
          <w:rFonts w:ascii="Arial" w:cs="Arial" w:eastAsia="Arial" w:hAnsi="Arial"/>
          <w:sz w:val="18"/>
          <w:szCs w:val="18"/>
          <w:color w:val="auto"/>
        </w:rPr>
        <w:t xml:space="preserve">10.76* </w:t>
      </w:r>
      <w:hyperlink r:id="rId88">
        <w:r>
          <w:rPr>
            <w:rFonts w:ascii="Arial" w:cs="Arial" w:eastAsia="Arial" w:hAnsi="Arial"/>
            <w:sz w:val="18"/>
            <w:szCs w:val="18"/>
            <w:u w:val="single" w:color="auto"/>
            <w:color w:val="0000FF"/>
          </w:rPr>
          <w:t>Form of Performance Shares Agreement attached as Exhibit 10.76 to the Company's Annual Report on Form 10-K filed August 24,</w:t>
        </w:r>
      </w:hyperlink>
    </w:p>
    <w:p>
      <w:pPr>
        <w:spacing w:after="0" w:line="27" w:lineRule="exact"/>
        <w:rPr>
          <w:rFonts w:ascii="Arial" w:cs="Arial" w:eastAsia="Arial" w:hAnsi="Arial"/>
          <w:sz w:val="18"/>
          <w:szCs w:val="18"/>
          <w:u w:val="single" w:color="auto"/>
          <w:color w:val="0000FF"/>
        </w:rPr>
      </w:pPr>
    </w:p>
    <w:p>
      <w:pPr>
        <w:ind w:left="1300"/>
        <w:spacing w:after="0"/>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2023.</w:t>
        </w:r>
      </w:hyperlink>
    </w:p>
    <w:p>
      <w:pPr>
        <w:spacing w:after="0" w:line="234" w:lineRule="exact"/>
        <w:rPr>
          <w:rFonts w:ascii="Arial" w:cs="Arial" w:eastAsia="Arial" w:hAnsi="Arial"/>
          <w:sz w:val="18"/>
          <w:szCs w:val="18"/>
          <w:u w:val="single" w:color="auto"/>
          <w:color w:val="0000FF"/>
        </w:rPr>
      </w:pPr>
    </w:p>
    <w:p>
      <w:pPr>
        <w:spacing w:after="0"/>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10.77</w:t>
      </w:r>
      <w:r>
        <w:rPr>
          <w:sz w:val="20"/>
          <w:szCs w:val="20"/>
          <w:color w:val="auto"/>
        </w:rPr>
        <w:tab/>
      </w:r>
      <w:hyperlink r:id="rId89">
        <w:r>
          <w:rPr>
            <w:rFonts w:ascii="Arial" w:cs="Arial" w:eastAsia="Arial" w:hAnsi="Arial"/>
            <w:sz w:val="18"/>
            <w:szCs w:val="18"/>
            <w:u w:val="single" w:color="auto"/>
            <w:color w:val="0000FF"/>
          </w:rPr>
          <w:t>Form of Aircraft Time Sharing Agreement between the Company and each of Messrs. Foss, Adelson, and Morgan, and Mses.</w:t>
        </w:r>
      </w:hyperlink>
    </w:p>
    <w:p>
      <w:pPr>
        <w:spacing w:after="0" w:line="27" w:lineRule="exact"/>
        <w:rPr>
          <w:rFonts w:ascii="Arial" w:cs="Arial" w:eastAsia="Arial" w:hAnsi="Arial"/>
          <w:sz w:val="18"/>
          <w:szCs w:val="18"/>
          <w:u w:val="single" w:color="auto"/>
          <w:color w:val="0000FF"/>
        </w:rPr>
      </w:pPr>
    </w:p>
    <w:p>
      <w:pPr>
        <w:ind w:left="1300"/>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Carsley and Swearingen attached as Exhibit 10.77 to the Company's Annual Report on Form 10-K filed August 24, 2023.</w:t>
        </w:r>
      </w:hyperlink>
    </w:p>
    <w:p>
      <w:pPr>
        <w:spacing w:after="0" w:line="234" w:lineRule="exact"/>
        <w:rPr>
          <w:rFonts w:ascii="Arial" w:cs="Arial" w:eastAsia="Arial" w:hAnsi="Arial"/>
          <w:sz w:val="18"/>
          <w:szCs w:val="18"/>
          <w:u w:val="single" w:color="auto"/>
          <w:color w:val="0000FF"/>
        </w:rPr>
      </w:pPr>
    </w:p>
    <w:p>
      <w:pPr>
        <w:spacing w:after="0"/>
        <w:rPr>
          <w:rFonts w:ascii="Arial" w:cs="Arial" w:eastAsia="Arial" w:hAnsi="Arial"/>
          <w:sz w:val="18"/>
          <w:szCs w:val="18"/>
          <w:color w:val="auto"/>
        </w:rPr>
      </w:pPr>
      <w:r>
        <w:rPr>
          <w:rFonts w:ascii="Arial" w:cs="Arial" w:eastAsia="Arial" w:hAnsi="Arial"/>
          <w:sz w:val="18"/>
          <w:szCs w:val="18"/>
          <w:color w:val="auto"/>
        </w:rPr>
        <w:t xml:space="preserve">10.78* </w:t>
      </w:r>
      <w:hyperlink r:id="rId90">
        <w:r>
          <w:rPr>
            <w:rFonts w:ascii="Arial" w:cs="Arial" w:eastAsia="Arial" w:hAnsi="Arial"/>
            <w:sz w:val="18"/>
            <w:szCs w:val="18"/>
            <w:u w:val="single" w:color="auto"/>
            <w:color w:val="0000FF"/>
          </w:rPr>
          <w:t>Jack Henry &amp; Associates, Inc. 2006 Employee Stock Purchase Plan, as amended and restated on August 18, 2023, effective January</w:t>
        </w:r>
      </w:hyperlink>
    </w:p>
    <w:p>
      <w:pPr>
        <w:spacing w:after="0" w:line="27" w:lineRule="exact"/>
        <w:rPr>
          <w:rFonts w:ascii="Arial" w:cs="Arial" w:eastAsia="Arial" w:hAnsi="Arial"/>
          <w:sz w:val="18"/>
          <w:szCs w:val="18"/>
          <w:u w:val="single" w:color="auto"/>
          <w:color w:val="0000FF"/>
        </w:rPr>
      </w:pPr>
    </w:p>
    <w:p>
      <w:pPr>
        <w:ind w:left="1300"/>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1, 2024 attached as Exhibit 10.78 to the Company's Annual Report on Form 10-K filed August 24, 2023.</w:t>
        </w:r>
      </w:hyperlink>
    </w:p>
    <w:p>
      <w:pPr>
        <w:spacing w:after="0" w:line="234" w:lineRule="exact"/>
        <w:rPr>
          <w:rFonts w:ascii="Arial" w:cs="Arial" w:eastAsia="Arial" w:hAnsi="Arial"/>
          <w:sz w:val="18"/>
          <w:szCs w:val="18"/>
          <w:u w:val="single" w:color="auto"/>
          <w:color w:val="0000FF"/>
        </w:rPr>
      </w:pPr>
    </w:p>
    <w:p>
      <w:pPr>
        <w:spacing w:after="0"/>
        <w:tabs>
          <w:tab w:leader="none" w:pos="900" w:val="left"/>
        </w:tabs>
        <w:rPr>
          <w:sz w:val="20"/>
          <w:szCs w:val="20"/>
          <w:color w:val="auto"/>
        </w:rPr>
      </w:pPr>
      <w:r>
        <w:rPr>
          <w:rFonts w:ascii="Arial" w:cs="Arial" w:eastAsia="Arial" w:hAnsi="Arial"/>
          <w:sz w:val="18"/>
          <w:szCs w:val="18"/>
          <w:color w:val="auto"/>
        </w:rPr>
        <w:t>10.79* **</w:t>
      </w:r>
      <w:r>
        <w:rPr>
          <w:sz w:val="20"/>
          <w:szCs w:val="20"/>
          <w:color w:val="auto"/>
        </w:rPr>
        <w:tab/>
      </w:r>
      <w:r>
        <w:rPr>
          <w:rFonts w:ascii="Arial" w:cs="Arial" w:eastAsia="Arial" w:hAnsi="Arial"/>
          <w:sz w:val="17"/>
          <w:szCs w:val="17"/>
          <w:u w:val="single" w:color="auto"/>
          <w:color w:val="0000FF"/>
        </w:rPr>
        <w:t>Form of Restricted Stock Unit Agreement (non-employee directors).</w:t>
      </w:r>
    </w:p>
    <w:p>
      <w:pPr>
        <w:spacing w:after="0" w:line="239"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700" w:type="dxa"/>
            <w:vAlign w:val="bottom"/>
          </w:tcPr>
          <w:p>
            <w:pPr>
              <w:jc w:val="right"/>
              <w:ind w:right="110"/>
              <w:spacing w:after="0"/>
              <w:rPr>
                <w:sz w:val="20"/>
                <w:szCs w:val="20"/>
                <w:color w:val="auto"/>
              </w:rPr>
            </w:pPr>
            <w:r>
              <w:rPr>
                <w:rFonts w:ascii="Arial" w:cs="Arial" w:eastAsia="Arial" w:hAnsi="Arial"/>
                <w:sz w:val="18"/>
                <w:szCs w:val="18"/>
                <w:color w:val="auto"/>
                <w:w w:val="97"/>
              </w:rPr>
              <w:t>19.1**</w:t>
            </w:r>
          </w:p>
        </w:tc>
        <w:tc>
          <w:tcPr>
            <w:tcW w:w="7260" w:type="dxa"/>
            <w:vAlign w:val="bottom"/>
            <w:gridSpan w:val="5"/>
          </w:tcPr>
          <w:p>
            <w:pPr>
              <w:spacing w:after="0"/>
              <w:rPr>
                <w:sz w:val="20"/>
                <w:szCs w:val="20"/>
                <w:color w:val="auto"/>
              </w:rPr>
            </w:pPr>
            <w:r>
              <w:rPr>
                <w:rFonts w:ascii="Arial" w:cs="Arial" w:eastAsia="Arial" w:hAnsi="Arial"/>
                <w:sz w:val="18"/>
                <w:szCs w:val="18"/>
                <w:color w:val="0000FF"/>
              </w:rPr>
              <w:t>Jack Henry &amp; Associates, Inc. Trading in Company Securities Policy.</w:t>
            </w:r>
          </w:p>
        </w:tc>
      </w:tr>
      <w:tr>
        <w:trPr>
          <w:trHeight w:val="439"/>
        </w:trPr>
        <w:tc>
          <w:tcPr>
            <w:tcW w:w="700" w:type="dxa"/>
            <w:vAlign w:val="bottom"/>
          </w:tcPr>
          <w:p>
            <w:pPr>
              <w:jc w:val="right"/>
              <w:ind w:right="110"/>
              <w:spacing w:after="0"/>
              <w:rPr>
                <w:sz w:val="20"/>
                <w:szCs w:val="20"/>
                <w:color w:val="auto"/>
              </w:rPr>
            </w:pPr>
            <w:r>
              <w:rPr>
                <w:rFonts w:ascii="Arial" w:cs="Arial" w:eastAsia="Arial" w:hAnsi="Arial"/>
                <w:sz w:val="18"/>
                <w:szCs w:val="18"/>
                <w:color w:val="auto"/>
                <w:w w:val="97"/>
              </w:rPr>
              <w:t>21.1**</w:t>
            </w:r>
          </w:p>
        </w:tc>
        <w:tc>
          <w:tcPr>
            <w:tcW w:w="27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List of the Company’s subsidiaries.</w:t>
            </w:r>
          </w:p>
        </w:tc>
        <w:tc>
          <w:tcPr>
            <w:tcW w:w="2660" w:type="dxa"/>
            <w:vAlign w:val="bottom"/>
            <w:tcBorders>
              <w:top w:val="single" w:sz="8" w:color="0000FF"/>
            </w:tcBorders>
            <w:gridSpan w:val="3"/>
          </w:tcPr>
          <w:p>
            <w:pPr>
              <w:spacing w:after="0"/>
              <w:rPr>
                <w:sz w:val="24"/>
                <w:szCs w:val="24"/>
                <w:color w:val="auto"/>
              </w:rPr>
            </w:pPr>
          </w:p>
        </w:tc>
        <w:tc>
          <w:tcPr>
            <w:tcW w:w="1820" w:type="dxa"/>
            <w:vAlign w:val="bottom"/>
          </w:tcPr>
          <w:p>
            <w:pPr>
              <w:spacing w:after="0"/>
              <w:rPr>
                <w:sz w:val="24"/>
                <w:szCs w:val="24"/>
                <w:color w:val="auto"/>
              </w:rPr>
            </w:pPr>
          </w:p>
        </w:tc>
      </w:tr>
      <w:tr>
        <w:trPr>
          <w:trHeight w:val="439"/>
        </w:trPr>
        <w:tc>
          <w:tcPr>
            <w:tcW w:w="700" w:type="dxa"/>
            <w:vAlign w:val="bottom"/>
          </w:tcPr>
          <w:p>
            <w:pPr>
              <w:jc w:val="right"/>
              <w:ind w:right="110"/>
              <w:spacing w:after="0"/>
              <w:rPr>
                <w:sz w:val="20"/>
                <w:szCs w:val="20"/>
                <w:color w:val="auto"/>
              </w:rPr>
            </w:pPr>
            <w:r>
              <w:rPr>
                <w:rFonts w:ascii="Arial" w:cs="Arial" w:eastAsia="Arial" w:hAnsi="Arial"/>
                <w:sz w:val="18"/>
                <w:szCs w:val="18"/>
                <w:color w:val="auto"/>
                <w:w w:val="97"/>
              </w:rPr>
              <w:t>23.1**</w:t>
            </w:r>
          </w:p>
        </w:tc>
        <w:tc>
          <w:tcPr>
            <w:tcW w:w="72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Consent of Independent Registered Public Accounting Firm- PricewaterhouseCoopers LLP.</w:t>
            </w:r>
          </w:p>
        </w:tc>
      </w:tr>
      <w:tr>
        <w:trPr>
          <w:trHeight w:val="439"/>
        </w:trPr>
        <w:tc>
          <w:tcPr>
            <w:tcW w:w="700" w:type="dxa"/>
            <w:vAlign w:val="bottom"/>
          </w:tcPr>
          <w:p>
            <w:pPr>
              <w:jc w:val="right"/>
              <w:ind w:right="110"/>
              <w:spacing w:after="0"/>
              <w:rPr>
                <w:sz w:val="20"/>
                <w:szCs w:val="20"/>
                <w:color w:val="auto"/>
              </w:rPr>
            </w:pPr>
            <w:r>
              <w:rPr>
                <w:rFonts w:ascii="Arial" w:cs="Arial" w:eastAsia="Arial" w:hAnsi="Arial"/>
                <w:sz w:val="18"/>
                <w:szCs w:val="18"/>
                <w:color w:val="auto"/>
                <w:w w:val="97"/>
              </w:rPr>
              <w:t>31.1**</w:t>
            </w:r>
          </w:p>
        </w:tc>
        <w:tc>
          <w:tcPr>
            <w:tcW w:w="7260" w:type="dxa"/>
            <w:vAlign w:val="bottom"/>
            <w:gridSpan w:val="5"/>
          </w:tcPr>
          <w:p>
            <w:pPr>
              <w:spacing w:after="0"/>
              <w:rPr>
                <w:sz w:val="20"/>
                <w:szCs w:val="20"/>
                <w:color w:val="auto"/>
              </w:rPr>
            </w:pPr>
            <w:r>
              <w:rPr>
                <w:rFonts w:ascii="Arial" w:cs="Arial" w:eastAsia="Arial" w:hAnsi="Arial"/>
                <w:sz w:val="18"/>
                <w:szCs w:val="18"/>
                <w:color w:val="0000FF"/>
              </w:rPr>
              <w:t>Certification of the Chief Executive Officer.</w:t>
            </w:r>
          </w:p>
        </w:tc>
      </w:tr>
      <w:tr>
        <w:trPr>
          <w:trHeight w:val="439"/>
        </w:trPr>
        <w:tc>
          <w:tcPr>
            <w:tcW w:w="700" w:type="dxa"/>
            <w:vAlign w:val="bottom"/>
          </w:tcPr>
          <w:p>
            <w:pPr>
              <w:jc w:val="right"/>
              <w:ind w:right="110"/>
              <w:spacing w:after="0"/>
              <w:rPr>
                <w:sz w:val="20"/>
                <w:szCs w:val="20"/>
                <w:color w:val="auto"/>
              </w:rPr>
            </w:pPr>
            <w:r>
              <w:rPr>
                <w:rFonts w:ascii="Arial" w:cs="Arial" w:eastAsia="Arial" w:hAnsi="Arial"/>
                <w:sz w:val="18"/>
                <w:szCs w:val="18"/>
                <w:color w:val="auto"/>
                <w:w w:val="97"/>
              </w:rPr>
              <w:t>31.2**</w:t>
            </w:r>
          </w:p>
        </w:tc>
        <w:tc>
          <w:tcPr>
            <w:tcW w:w="33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Certification of the Chief Financial Officer.</w:t>
            </w:r>
          </w:p>
        </w:tc>
        <w:tc>
          <w:tcPr>
            <w:tcW w:w="3900" w:type="dxa"/>
            <w:vAlign w:val="bottom"/>
            <w:gridSpan w:val="2"/>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39"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760" w:type="dxa"/>
            <w:vAlign w:val="bottom"/>
            <w:gridSpan w:val="2"/>
          </w:tcPr>
          <w:p>
            <w:pPr>
              <w:spacing w:after="0"/>
              <w:rPr>
                <w:sz w:val="20"/>
                <w:szCs w:val="20"/>
                <w:color w:val="auto"/>
              </w:rPr>
            </w:pPr>
            <w:r>
              <w:rPr>
                <w:rFonts w:ascii="Arial" w:cs="Arial" w:eastAsia="Arial" w:hAnsi="Arial"/>
                <w:sz w:val="18"/>
                <w:szCs w:val="18"/>
                <w:color w:val="auto"/>
              </w:rPr>
              <w:t>32.1***</w:t>
            </w:r>
          </w:p>
        </w:tc>
        <w:tc>
          <w:tcPr>
            <w:tcW w:w="67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Written Statement of the Chief Executive Officer Pursuant to 18 U.S.C. Section 1350.</w:t>
            </w:r>
          </w:p>
        </w:tc>
      </w:tr>
      <w:tr>
        <w:trPr>
          <w:trHeight w:val="439"/>
        </w:trPr>
        <w:tc>
          <w:tcPr>
            <w:tcW w:w="760" w:type="dxa"/>
            <w:vAlign w:val="bottom"/>
            <w:gridSpan w:val="2"/>
          </w:tcPr>
          <w:p>
            <w:pPr>
              <w:spacing w:after="0"/>
              <w:rPr>
                <w:sz w:val="20"/>
                <w:szCs w:val="20"/>
                <w:color w:val="auto"/>
              </w:rPr>
            </w:pPr>
            <w:r>
              <w:rPr>
                <w:rFonts w:ascii="Arial" w:cs="Arial" w:eastAsia="Arial" w:hAnsi="Arial"/>
                <w:sz w:val="18"/>
                <w:szCs w:val="18"/>
                <w:color w:val="auto"/>
              </w:rPr>
              <w:t>32.2***</w:t>
            </w:r>
          </w:p>
        </w:tc>
        <w:tc>
          <w:tcPr>
            <w:tcW w:w="67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Written Statement of the Chief Financial Officer Pursuant to 18 U.S.C. Section 1350.</w:t>
            </w:r>
          </w:p>
        </w:tc>
        <w:tc>
          <w:tcPr>
            <w:tcW w:w="60" w:type="dxa"/>
            <w:vAlign w:val="bottom"/>
          </w:tcPr>
          <w:p>
            <w:pPr>
              <w:spacing w:after="0"/>
              <w:rPr>
                <w:sz w:val="24"/>
                <w:szCs w:val="24"/>
                <w:color w:val="auto"/>
              </w:rPr>
            </w:pPr>
          </w:p>
        </w:tc>
      </w:tr>
      <w:tr>
        <w:trPr>
          <w:trHeight w:val="480"/>
        </w:trPr>
        <w:tc>
          <w:tcPr>
            <w:tcW w:w="7540" w:type="dxa"/>
            <w:vAlign w:val="bottom"/>
            <w:gridSpan w:val="6"/>
          </w:tcPr>
          <w:p>
            <w:pPr>
              <w:spacing w:after="0"/>
              <w:rPr>
                <w:sz w:val="20"/>
                <w:szCs w:val="20"/>
                <w:color w:val="auto"/>
              </w:rPr>
            </w:pPr>
            <w:r>
              <w:rPr>
                <w:rFonts w:ascii="Arial" w:cs="Arial" w:eastAsia="Arial" w:hAnsi="Arial"/>
                <w:sz w:val="18"/>
                <w:szCs w:val="18"/>
                <w:color w:val="auto"/>
              </w:rPr>
              <w:t xml:space="preserve">97.1** </w:t>
            </w:r>
            <w:r>
              <w:rPr>
                <w:rFonts w:ascii="Arial" w:cs="Arial" w:eastAsia="Arial" w:hAnsi="Arial"/>
                <w:sz w:val="18"/>
                <w:szCs w:val="18"/>
                <w:color w:val="0000FF"/>
              </w:rPr>
              <w:t>Jack Henry &amp; Associates, Inc. Executive Compensation Clawback Policy.</w:t>
            </w:r>
          </w:p>
        </w:tc>
      </w:tr>
      <w:tr>
        <w:trPr>
          <w:trHeight w:val="20"/>
        </w:trPr>
        <w:tc>
          <w:tcPr>
            <w:tcW w:w="5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30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483"/>
        </w:trPr>
        <w:tc>
          <w:tcPr>
            <w:tcW w:w="10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6460" w:type="dxa"/>
            <w:vAlign w:val="bottom"/>
            <w:gridSpan w:val="3"/>
          </w:tcPr>
          <w:p>
            <w:pPr>
              <w:ind w:left="60"/>
              <w:spacing w:after="0"/>
              <w:rPr>
                <w:sz w:val="20"/>
                <w:szCs w:val="20"/>
                <w:color w:val="auto"/>
              </w:rPr>
            </w:pPr>
            <w:r>
              <w:rPr>
                <w:rFonts w:ascii="Arial" w:cs="Arial" w:eastAsia="Arial" w:hAnsi="Arial"/>
                <w:sz w:val="18"/>
                <w:szCs w:val="18"/>
                <w:color w:val="auto"/>
              </w:rPr>
              <w:t>XBRL Instance Document</w:t>
            </w:r>
          </w:p>
        </w:tc>
      </w:tr>
      <w:tr>
        <w:trPr>
          <w:trHeight w:val="459"/>
        </w:trPr>
        <w:tc>
          <w:tcPr>
            <w:tcW w:w="10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10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646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59"/>
        </w:trPr>
        <w:tc>
          <w:tcPr>
            <w:tcW w:w="10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646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0" w:lineRule="exact"/>
        <w:rPr>
          <w:rFonts w:ascii="Arial" w:cs="Arial" w:eastAsia="Arial" w:hAnsi="Arial"/>
          <w:sz w:val="18"/>
          <w:szCs w:val="18"/>
          <w:u w:val="single" w:color="auto"/>
          <w:color w:val="0000FF"/>
        </w:rPr>
      </w:pPr>
    </w:p>
    <w:p>
      <w:pPr>
        <w:sectPr>
          <w:pgSz w:w="11900" w:h="16838" w:orient="portrait"/>
          <w:cols w:equalWidth="0" w:num="1">
            <w:col w:w="11240"/>
          </w:cols>
          <w:pgMar w:left="320" w:top="125" w:right="339" w:bottom="1440" w:gutter="0" w:footer="0" w:header="0"/>
        </w:sectPr>
      </w:pPr>
    </w:p>
    <w:p>
      <w:pPr>
        <w:spacing w:after="0" w:line="200" w:lineRule="exact"/>
        <w:rPr>
          <w:rFonts w:ascii="Arial" w:cs="Arial" w:eastAsia="Arial" w:hAnsi="Arial"/>
          <w:sz w:val="18"/>
          <w:szCs w:val="18"/>
          <w:u w:val="single" w:color="auto"/>
          <w:color w:val="0000FF"/>
        </w:rPr>
      </w:pPr>
    </w:p>
    <w:p>
      <w:pPr>
        <w:spacing w:after="0" w:line="374"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11" w:lineRule="exact"/>
        <w:rPr>
          <w:sz w:val="20"/>
          <w:szCs w:val="20"/>
          <w:color w:val="auto"/>
        </w:rPr>
      </w:pPr>
    </w:p>
    <w:p>
      <w:pPr>
        <w:sectPr>
          <w:pgSz w:w="11900" w:h="16838" w:orient="portrait"/>
          <w:cols w:equalWidth="0" w:num="2">
            <w:col w:w="980" w:space="200"/>
            <w:col w:w="10060"/>
          </w:cols>
          <w:pgMar w:left="320" w:top="125"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1000" w:space="200"/>
            <w:col w:w="10040"/>
          </w:cols>
          <w:pgMar w:left="320" w:top="125" w:right="339" w:bottom="1440" w:gutter="0" w:footer="0" w:header="0"/>
          <w:type w:val="continuous"/>
        </w:sectPr>
      </w:pPr>
    </w:p>
    <w:p>
      <w:pPr>
        <w:spacing w:after="0" w:line="64" w:lineRule="exact"/>
        <w:rPr>
          <w:sz w:val="20"/>
          <w:szCs w:val="20"/>
          <w:color w:val="auto"/>
        </w:rPr>
      </w:pPr>
    </w:p>
    <w:p>
      <w:pPr>
        <w:ind w:left="1300" w:hanging="1292"/>
        <w:spacing w:after="0" w:line="287" w:lineRule="auto"/>
        <w:tabs>
          <w:tab w:leader="none" w:pos="5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except registrant name, JACK HENRY &amp; ASSOCIATES INC, tagged in non-printing section.</w:t>
      </w:r>
    </w:p>
    <w:p>
      <w:pPr>
        <w:spacing w:after="0" w:line="180" w:lineRule="exact"/>
        <w:rPr>
          <w:sz w:val="20"/>
          <w:szCs w:val="20"/>
          <w:color w:val="auto"/>
        </w:rPr>
      </w:pPr>
    </w:p>
    <w:p>
      <w:pPr>
        <w:ind w:right="5500" w:firstLine="8"/>
        <w:spacing w:after="0" w:line="532" w:lineRule="auto"/>
        <w:tabs>
          <w:tab w:leader="none" w:pos="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 Filed with this report on Form 10-K</w:t>
      </w:r>
    </w:p>
    <w:p>
      <w:pPr>
        <w:spacing w:after="0"/>
        <w:rPr>
          <w:rFonts w:ascii="Arial" w:cs="Arial" w:eastAsia="Arial" w:hAnsi="Arial"/>
          <w:sz w:val="18"/>
          <w:szCs w:val="18"/>
          <w:color w:val="auto"/>
        </w:rPr>
      </w:pPr>
      <w:r>
        <w:rPr>
          <w:rFonts w:ascii="Arial" w:cs="Arial" w:eastAsia="Arial" w:hAnsi="Arial"/>
          <w:sz w:val="18"/>
          <w:szCs w:val="18"/>
          <w:color w:val="auto"/>
        </w:rPr>
        <w:t>*** Furnished with this report on Form 10-K.</w:t>
      </w:r>
    </w:p>
    <w:p>
      <w:pPr>
        <w:spacing w:after="0" w:line="252" w:lineRule="exact"/>
        <w:rPr>
          <w:sz w:val="20"/>
          <w:szCs w:val="20"/>
          <w:color w:val="auto"/>
        </w:rPr>
      </w:pPr>
    </w:p>
    <w:p>
      <w:pPr>
        <w:jc w:val="both"/>
        <w:ind w:firstLine="8"/>
        <w:spacing w:after="0" w:line="259" w:lineRule="auto"/>
        <w:tabs>
          <w:tab w:leader="none" w:pos="3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with this report on Form 10-K are the following documents formatted in XBRL ("Extensible Business Reporting Language"): (i) the Consolidated Balance Sheets at June 30, 2024, and June 30, 2023, (ii) the Consolidated Statements of Income for the years ended June 30, 2024, 2023, and 2022, (iii) the Consolidated Statements of Shareholders’ Equity for the years ended June 30, 2024, 2023, and 2022, (iv) the Consolidated Statements of Cash Flows for the years ended June 30, 2024, 2023, and 2022, and (v) Notes to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26th day of August, 2024.</w:t>
      </w:r>
    </w:p>
    <w:p>
      <w:pPr>
        <w:spacing w:after="0" w:line="180"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JACK HENRY &amp; ASSOCIATES, INC., Registrant</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By /s/ Gregory R. Adelson</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Chief Executive Officer</w:t>
      </w:r>
    </w:p>
    <w:p>
      <w:pPr>
        <w:spacing w:after="0" w:line="200" w:lineRule="exact"/>
        <w:rPr>
          <w:sz w:val="20"/>
          <w:szCs w:val="20"/>
          <w:color w:val="auto"/>
        </w:rPr>
      </w:pPr>
    </w:p>
    <w:p>
      <w:pPr>
        <w:spacing w:after="0" w:line="27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12"/>
          </w:tcPr>
          <w:p>
            <w:pPr>
              <w:spacing w:after="0"/>
              <w:rPr>
                <w:sz w:val="20"/>
                <w:szCs w:val="20"/>
                <w:color w:val="auto"/>
              </w:rPr>
            </w:pPr>
            <w:r>
              <w:rPr>
                <w:rFonts w:ascii="Arial" w:cs="Arial" w:eastAsia="Arial" w:hAnsi="Arial"/>
                <w:sz w:val="18"/>
                <w:szCs w:val="18"/>
                <w:b w:val="1"/>
                <w:bCs w:val="1"/>
                <w:color w:val="auto"/>
                <w:w w:val="98"/>
              </w:rPr>
              <w:t>Signature</w:t>
            </w:r>
          </w:p>
        </w:tc>
        <w:tc>
          <w:tcPr>
            <w:tcW w:w="7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Capacity</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60"/>
        </w:trPr>
        <w:tc>
          <w:tcPr>
            <w:tcW w:w="3020" w:type="dxa"/>
            <w:vAlign w:val="bottom"/>
            <w:gridSpan w:val="15"/>
          </w:tcPr>
          <w:p>
            <w:pPr>
              <w:spacing w:after="0"/>
              <w:rPr>
                <w:sz w:val="20"/>
                <w:szCs w:val="20"/>
                <w:color w:val="auto"/>
              </w:rPr>
            </w:pPr>
            <w:r>
              <w:rPr>
                <w:rFonts w:ascii="Arial" w:cs="Arial" w:eastAsia="Arial" w:hAnsi="Arial"/>
                <w:sz w:val="18"/>
                <w:szCs w:val="18"/>
                <w:color w:val="auto"/>
              </w:rPr>
              <w:t>/s/ Gregory R. Adelson</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Chief Executive Officer and President</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26, 2024</w:t>
            </w:r>
          </w:p>
        </w:tc>
      </w:tr>
      <w:tr>
        <w:trPr>
          <w:trHeight w:val="239"/>
        </w:trPr>
        <w:tc>
          <w:tcPr>
            <w:tcW w:w="184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Gregory R. Adelson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(Principal Executive Officer)</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89"/>
        </w:trPr>
        <w:tc>
          <w:tcPr>
            <w:tcW w:w="3020" w:type="dxa"/>
            <w:vAlign w:val="bottom"/>
            <w:gridSpan w:val="15"/>
          </w:tcPr>
          <w:p>
            <w:pPr>
              <w:ind w:left="60"/>
              <w:spacing w:after="0"/>
              <w:rPr>
                <w:sz w:val="20"/>
                <w:szCs w:val="20"/>
                <w:color w:val="auto"/>
              </w:rPr>
            </w:pPr>
            <w:r>
              <w:rPr>
                <w:rFonts w:ascii="Arial" w:cs="Arial" w:eastAsia="Arial" w:hAnsi="Arial"/>
                <w:sz w:val="18"/>
                <w:szCs w:val="18"/>
                <w:color w:val="auto"/>
              </w:rPr>
              <w:t>/s/ Mimi L. Carsley</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Chief Financial Officer and Treasurer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26, 2024</w:t>
            </w:r>
          </w:p>
        </w:tc>
      </w:tr>
      <w:tr>
        <w:trPr>
          <w:trHeight w:val="239"/>
        </w:trPr>
        <w:tc>
          <w:tcPr>
            <w:tcW w:w="15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Mimi L. Carsley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(Principal Financial Officer)</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89"/>
        </w:trPr>
        <w:tc>
          <w:tcPr>
            <w:tcW w:w="3020" w:type="dxa"/>
            <w:vAlign w:val="bottom"/>
            <w:gridSpan w:val="15"/>
          </w:tcPr>
          <w:p>
            <w:pPr>
              <w:spacing w:after="0"/>
              <w:rPr>
                <w:sz w:val="20"/>
                <w:szCs w:val="20"/>
                <w:color w:val="auto"/>
              </w:rPr>
            </w:pPr>
            <w:r>
              <w:rPr>
                <w:rFonts w:ascii="Arial" w:cs="Arial" w:eastAsia="Arial" w:hAnsi="Arial"/>
                <w:sz w:val="18"/>
                <w:szCs w:val="18"/>
                <w:color w:val="auto"/>
              </w:rPr>
              <w:t>/s/ Renee A. Swearingen</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Senior Vice President and Chief Accounting Officer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26, 2024</w:t>
            </w:r>
          </w:p>
        </w:tc>
      </w:tr>
      <w:tr>
        <w:trPr>
          <w:trHeight w:val="239"/>
        </w:trPr>
        <w:tc>
          <w:tcPr>
            <w:tcW w:w="200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Renee A. Swearingen</w:t>
            </w:r>
          </w:p>
        </w:tc>
        <w:tc>
          <w:tcPr>
            <w:tcW w:w="1020" w:type="dxa"/>
            <w:vAlign w:val="bottom"/>
            <w:gridSpan w:val="2"/>
          </w:tcPr>
          <w:p>
            <w:pPr>
              <w:spacing w:after="0"/>
              <w:rPr>
                <w:sz w:val="20"/>
                <w:szCs w:val="20"/>
                <w:color w:val="auto"/>
              </w:rPr>
            </w:pP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(Principal Accounting Officer)</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3"/>
        </w:trPr>
        <w:tc>
          <w:tcPr>
            <w:tcW w:w="3020" w:type="dxa"/>
            <w:vAlign w:val="bottom"/>
            <w:gridSpan w:val="15"/>
          </w:tcPr>
          <w:p>
            <w:pPr>
              <w:spacing w:after="0"/>
              <w:rPr>
                <w:sz w:val="20"/>
                <w:szCs w:val="20"/>
                <w:color w:val="auto"/>
              </w:rPr>
            </w:pPr>
            <w:r>
              <w:rPr>
                <w:rFonts w:ascii="Arial" w:cs="Arial" w:eastAsia="Arial" w:hAnsi="Arial"/>
                <w:sz w:val="18"/>
                <w:szCs w:val="18"/>
                <w:color w:val="auto"/>
              </w:rPr>
              <w:t>/s/ David B. Foss</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Executive Board Chair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26, 2024</w:t>
            </w:r>
          </w:p>
        </w:tc>
      </w:tr>
      <w:tr>
        <w:trPr>
          <w:trHeight w:val="232"/>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B. Foss</w:t>
            </w:r>
          </w:p>
        </w:tc>
        <w:tc>
          <w:tcPr>
            <w:tcW w:w="8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3"/>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3"/>
        </w:trPr>
        <w:tc>
          <w:tcPr>
            <w:tcW w:w="3020" w:type="dxa"/>
            <w:vAlign w:val="bottom"/>
            <w:gridSpan w:val="15"/>
          </w:tcPr>
          <w:p>
            <w:pPr>
              <w:spacing w:after="0"/>
              <w:rPr>
                <w:sz w:val="20"/>
                <w:szCs w:val="20"/>
                <w:color w:val="auto"/>
              </w:rPr>
            </w:pPr>
            <w:r>
              <w:rPr>
                <w:rFonts w:ascii="Arial" w:cs="Arial" w:eastAsia="Arial" w:hAnsi="Arial"/>
                <w:sz w:val="18"/>
                <w:szCs w:val="18"/>
                <w:color w:val="auto"/>
              </w:rPr>
              <w:t>/s/ Matthew C. Flanigan</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Vice Chair and Lead 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26, 2024</w:t>
            </w:r>
          </w:p>
        </w:tc>
      </w:tr>
      <w:tr>
        <w:trPr>
          <w:trHeight w:val="232"/>
        </w:trPr>
        <w:tc>
          <w:tcPr>
            <w:tcW w:w="190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Matthew C. Flanigan</w:t>
            </w:r>
          </w:p>
        </w:tc>
        <w:tc>
          <w:tcPr>
            <w:tcW w:w="60" w:type="dxa"/>
            <w:vAlign w:val="bottom"/>
          </w:tcPr>
          <w:p>
            <w:pPr>
              <w:spacing w:after="0"/>
              <w:rPr>
                <w:sz w:val="20"/>
                <w:szCs w:val="20"/>
                <w:color w:val="auto"/>
              </w:rPr>
            </w:pPr>
          </w:p>
        </w:tc>
        <w:tc>
          <w:tcPr>
            <w:tcW w:w="1060" w:type="dxa"/>
            <w:vAlign w:val="bottom"/>
            <w:gridSpan w:val="3"/>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6"/>
        </w:trPr>
        <w:tc>
          <w:tcPr>
            <w:tcW w:w="3020" w:type="dxa"/>
            <w:vAlign w:val="bottom"/>
            <w:gridSpan w:val="15"/>
          </w:tcPr>
          <w:p>
            <w:pPr>
              <w:spacing w:after="0"/>
              <w:rPr>
                <w:sz w:val="20"/>
                <w:szCs w:val="20"/>
                <w:color w:val="auto"/>
              </w:rPr>
            </w:pPr>
            <w:r>
              <w:rPr>
                <w:rFonts w:ascii="Arial" w:cs="Arial" w:eastAsia="Arial" w:hAnsi="Arial"/>
                <w:sz w:val="18"/>
                <w:szCs w:val="18"/>
                <w:color w:val="auto"/>
              </w:rPr>
              <w:t>/s/ Thomas H. Wilson, Jr</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26, 2024</w:t>
            </w:r>
          </w:p>
        </w:tc>
      </w:tr>
      <w:tr>
        <w:trPr>
          <w:trHeight w:val="232"/>
        </w:trPr>
        <w:tc>
          <w:tcPr>
            <w:tcW w:w="196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Thomas H. Wilson, Jr</w:t>
            </w:r>
          </w:p>
        </w:tc>
        <w:tc>
          <w:tcPr>
            <w:tcW w:w="1060" w:type="dxa"/>
            <w:vAlign w:val="bottom"/>
            <w:gridSpan w:val="3"/>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6"/>
        </w:trPr>
        <w:tc>
          <w:tcPr>
            <w:tcW w:w="3020" w:type="dxa"/>
            <w:vAlign w:val="bottom"/>
            <w:gridSpan w:val="15"/>
          </w:tcPr>
          <w:p>
            <w:pPr>
              <w:spacing w:after="0"/>
              <w:rPr>
                <w:sz w:val="20"/>
                <w:szCs w:val="20"/>
                <w:color w:val="auto"/>
              </w:rPr>
            </w:pPr>
            <w:r>
              <w:rPr>
                <w:rFonts w:ascii="Arial" w:cs="Arial" w:eastAsia="Arial" w:hAnsi="Arial"/>
                <w:sz w:val="18"/>
                <w:szCs w:val="18"/>
                <w:color w:val="auto"/>
              </w:rPr>
              <w:t>/s/ Jacqueline R. Fiegel</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26, 2024</w:t>
            </w:r>
          </w:p>
        </w:tc>
      </w:tr>
      <w:tr>
        <w:trPr>
          <w:trHeight w:val="232"/>
        </w:trPr>
        <w:tc>
          <w:tcPr>
            <w:tcW w:w="188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Jacqueline R. Fiegel</w:t>
            </w:r>
          </w:p>
        </w:tc>
        <w:tc>
          <w:tcPr>
            <w:tcW w:w="1140" w:type="dxa"/>
            <w:vAlign w:val="bottom"/>
            <w:gridSpan w:val="5"/>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6"/>
        </w:trPr>
        <w:tc>
          <w:tcPr>
            <w:tcW w:w="3020" w:type="dxa"/>
            <w:vAlign w:val="bottom"/>
            <w:gridSpan w:val="15"/>
          </w:tcPr>
          <w:p>
            <w:pPr>
              <w:spacing w:after="0"/>
              <w:rPr>
                <w:sz w:val="20"/>
                <w:szCs w:val="20"/>
                <w:color w:val="auto"/>
              </w:rPr>
            </w:pPr>
            <w:r>
              <w:rPr>
                <w:rFonts w:ascii="Arial" w:cs="Arial" w:eastAsia="Arial" w:hAnsi="Arial"/>
                <w:sz w:val="18"/>
                <w:szCs w:val="18"/>
                <w:color w:val="auto"/>
              </w:rPr>
              <w:t>/s/ Thomas A. Wimsett</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26, 2024</w:t>
            </w:r>
          </w:p>
        </w:tc>
      </w:tr>
      <w:tr>
        <w:trPr>
          <w:trHeight w:val="232"/>
        </w:trPr>
        <w:tc>
          <w:tcPr>
            <w:tcW w:w="182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Thomas A. Wimsett</w:t>
            </w:r>
          </w:p>
        </w:tc>
        <w:tc>
          <w:tcPr>
            <w:tcW w:w="40" w:type="dxa"/>
            <w:vAlign w:val="bottom"/>
            <w:gridSpan w:val="2"/>
          </w:tcPr>
          <w:p>
            <w:pPr>
              <w:spacing w:after="0"/>
              <w:rPr>
                <w:sz w:val="20"/>
                <w:szCs w:val="20"/>
                <w:color w:val="auto"/>
              </w:rPr>
            </w:pPr>
          </w:p>
        </w:tc>
        <w:tc>
          <w:tcPr>
            <w:tcW w:w="1160" w:type="dxa"/>
            <w:vAlign w:val="bottom"/>
            <w:gridSpan w:val="6"/>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3"/>
        </w:trPr>
        <w:tc>
          <w:tcPr>
            <w:tcW w:w="3020" w:type="dxa"/>
            <w:vAlign w:val="bottom"/>
            <w:gridSpan w:val="15"/>
          </w:tcPr>
          <w:p>
            <w:pPr>
              <w:spacing w:after="0"/>
              <w:rPr>
                <w:sz w:val="20"/>
                <w:szCs w:val="20"/>
                <w:color w:val="auto"/>
              </w:rPr>
            </w:pPr>
            <w:r>
              <w:rPr>
                <w:rFonts w:ascii="Arial" w:cs="Arial" w:eastAsia="Arial" w:hAnsi="Arial"/>
                <w:sz w:val="18"/>
                <w:szCs w:val="18"/>
                <w:color w:val="auto"/>
              </w:rPr>
              <w:t>/s/ Shruti S. Miyashiro</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26, 2024</w:t>
            </w:r>
          </w:p>
        </w:tc>
      </w:tr>
      <w:tr>
        <w:trPr>
          <w:trHeight w:val="232"/>
        </w:trPr>
        <w:tc>
          <w:tcPr>
            <w:tcW w:w="17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Shruti S. Miyashiro</w:t>
            </w:r>
          </w:p>
        </w:tc>
        <w:tc>
          <w:tcPr>
            <w:tcW w:w="100" w:type="dxa"/>
            <w:vAlign w:val="bottom"/>
            <w:gridSpan w:val="3"/>
          </w:tcPr>
          <w:p>
            <w:pPr>
              <w:spacing w:after="0"/>
              <w:rPr>
                <w:sz w:val="20"/>
                <w:szCs w:val="20"/>
                <w:color w:val="auto"/>
              </w:rPr>
            </w:pPr>
          </w:p>
        </w:tc>
        <w:tc>
          <w:tcPr>
            <w:tcW w:w="1160" w:type="dxa"/>
            <w:vAlign w:val="bottom"/>
            <w:gridSpan w:val="6"/>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3"/>
        </w:trPr>
        <w:tc>
          <w:tcPr>
            <w:tcW w:w="3020" w:type="dxa"/>
            <w:vAlign w:val="bottom"/>
            <w:gridSpan w:val="15"/>
          </w:tcPr>
          <w:p>
            <w:pPr>
              <w:spacing w:after="0"/>
              <w:rPr>
                <w:sz w:val="20"/>
                <w:szCs w:val="20"/>
                <w:color w:val="auto"/>
              </w:rPr>
            </w:pPr>
            <w:r>
              <w:rPr>
                <w:rFonts w:ascii="Arial" w:cs="Arial" w:eastAsia="Arial" w:hAnsi="Arial"/>
                <w:sz w:val="18"/>
                <w:szCs w:val="18"/>
                <w:color w:val="auto"/>
              </w:rPr>
              <w:t>/s/ Wesley A. Brown</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26, 2024</w:t>
            </w:r>
          </w:p>
        </w:tc>
      </w:tr>
      <w:tr>
        <w:trPr>
          <w:trHeight w:val="232"/>
        </w:trPr>
        <w:tc>
          <w:tcPr>
            <w:tcW w:w="16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Wesley A. Brown</w:t>
            </w:r>
          </w:p>
        </w:tc>
        <w:tc>
          <w:tcPr>
            <w:tcW w:w="120" w:type="dxa"/>
            <w:vAlign w:val="bottom"/>
          </w:tcPr>
          <w:p>
            <w:pPr>
              <w:spacing w:after="0"/>
              <w:rPr>
                <w:sz w:val="20"/>
                <w:szCs w:val="20"/>
                <w:color w:val="auto"/>
              </w:rPr>
            </w:pPr>
          </w:p>
        </w:tc>
        <w:tc>
          <w:tcPr>
            <w:tcW w:w="120" w:type="dxa"/>
            <w:vAlign w:val="bottom"/>
            <w:gridSpan w:val="4"/>
          </w:tcPr>
          <w:p>
            <w:pPr>
              <w:spacing w:after="0"/>
              <w:rPr>
                <w:sz w:val="20"/>
                <w:szCs w:val="20"/>
                <w:color w:val="auto"/>
              </w:rPr>
            </w:pPr>
          </w:p>
        </w:tc>
        <w:tc>
          <w:tcPr>
            <w:tcW w:w="1160" w:type="dxa"/>
            <w:vAlign w:val="bottom"/>
            <w:gridSpan w:val="6"/>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3"/>
        </w:trPr>
        <w:tc>
          <w:tcPr>
            <w:tcW w:w="3020" w:type="dxa"/>
            <w:vAlign w:val="bottom"/>
            <w:gridSpan w:val="15"/>
          </w:tcPr>
          <w:p>
            <w:pPr>
              <w:spacing w:after="0"/>
              <w:rPr>
                <w:sz w:val="20"/>
                <w:szCs w:val="20"/>
                <w:color w:val="auto"/>
              </w:rPr>
            </w:pPr>
            <w:r>
              <w:rPr>
                <w:rFonts w:ascii="Arial" w:cs="Arial" w:eastAsia="Arial" w:hAnsi="Arial"/>
                <w:sz w:val="18"/>
                <w:szCs w:val="18"/>
                <w:color w:val="auto"/>
              </w:rPr>
              <w:t>/s/ Curtis A. Campbell</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26, 2024</w:t>
            </w:r>
          </w:p>
        </w:tc>
      </w:tr>
      <w:tr>
        <w:trPr>
          <w:trHeight w:val="232"/>
        </w:trPr>
        <w:tc>
          <w:tcPr>
            <w:tcW w:w="17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Curtis A. Campbell</w:t>
            </w:r>
          </w:p>
        </w:tc>
        <w:tc>
          <w:tcPr>
            <w:tcW w:w="120" w:type="dxa"/>
            <w:vAlign w:val="bottom"/>
            <w:gridSpan w:val="4"/>
          </w:tcPr>
          <w:p>
            <w:pPr>
              <w:spacing w:after="0"/>
              <w:rPr>
                <w:sz w:val="20"/>
                <w:szCs w:val="20"/>
                <w:color w:val="auto"/>
              </w:rPr>
            </w:pPr>
          </w:p>
        </w:tc>
        <w:tc>
          <w:tcPr>
            <w:tcW w:w="1160" w:type="dxa"/>
            <w:vAlign w:val="bottom"/>
            <w:gridSpan w:val="6"/>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3"/>
        </w:trPr>
        <w:tc>
          <w:tcPr>
            <w:tcW w:w="3020" w:type="dxa"/>
            <w:vAlign w:val="bottom"/>
            <w:gridSpan w:val="15"/>
          </w:tcPr>
          <w:p>
            <w:pPr>
              <w:spacing w:after="0"/>
              <w:rPr>
                <w:sz w:val="20"/>
                <w:szCs w:val="20"/>
                <w:color w:val="auto"/>
              </w:rPr>
            </w:pPr>
            <w:r>
              <w:rPr>
                <w:rFonts w:ascii="Arial" w:cs="Arial" w:eastAsia="Arial" w:hAnsi="Arial"/>
                <w:sz w:val="18"/>
                <w:szCs w:val="18"/>
                <w:color w:val="auto"/>
              </w:rPr>
              <w:t>/s/ Tammy S. LoCascio</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26, 2024</w:t>
            </w:r>
          </w:p>
        </w:tc>
      </w:tr>
      <w:tr>
        <w:trPr>
          <w:trHeight w:val="232"/>
        </w:trPr>
        <w:tc>
          <w:tcPr>
            <w:tcW w:w="186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Tammy S. LoCascio</w:t>
            </w:r>
          </w:p>
        </w:tc>
        <w:tc>
          <w:tcPr>
            <w:tcW w:w="1160" w:type="dxa"/>
            <w:vAlign w:val="bottom"/>
            <w:gridSpan w:val="6"/>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3"/>
        </w:trPr>
        <w:tc>
          <w:tcPr>
            <w:tcW w:w="3020" w:type="dxa"/>
            <w:vAlign w:val="bottom"/>
            <w:gridSpan w:val="15"/>
          </w:tcPr>
          <w:p>
            <w:pPr>
              <w:spacing w:after="0"/>
              <w:rPr>
                <w:sz w:val="20"/>
                <w:szCs w:val="20"/>
                <w:color w:val="auto"/>
              </w:rPr>
            </w:pPr>
            <w:r>
              <w:rPr>
                <w:rFonts w:ascii="Arial" w:cs="Arial" w:eastAsia="Arial" w:hAnsi="Arial"/>
                <w:sz w:val="18"/>
                <w:szCs w:val="18"/>
                <w:color w:val="auto"/>
              </w:rPr>
              <w:t>/s/ Lisa M. Nelson</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26, 2024</w:t>
            </w:r>
          </w:p>
        </w:tc>
      </w:tr>
      <w:tr>
        <w:trPr>
          <w:trHeight w:val="232"/>
        </w:trPr>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Lisa M. Nelson</w:t>
            </w:r>
          </w:p>
        </w:tc>
        <w:tc>
          <w:tcPr>
            <w:tcW w:w="1580" w:type="dxa"/>
            <w:vAlign w:val="bottom"/>
            <w:gridSpan w:val="13"/>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22"/>
          <w:szCs w:val="22"/>
          <w:color w:val="auto"/>
        </w:rPr>
        <w:t>EXHIBIT 4.1</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The following is a brief description of the common stock of Jack Henry &amp; Associates, Inc. (the “Company”) common stock which is the only security of the Company registered pursuant to Section 12 of the Securities Exchange Act of 1934, as amended and is based on and qualified by the Company’s Restated Certificate of Incorporation (the “Certificate of Incorporation”) and Restated and Amended Bylaws (“Bylaws”). For a complete description of the terms and provisions of the Company’s common stock, refer to the Certificate of Incorporation and Bylaws, both of which are filed as Exhibits to this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Under the Company’s Certificate of Incorporation, our authorized capital stock consists of 250,000,000 shares of common stock, par value $0.01 per share, and 500,000 shares of preferred stock, par value $ 1.00 per share. As of August 15, 2024, an aggregate of 72,908,319 shares of common stock and no shares of preferred stock were issued and outstanding.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23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holders of our common stock are entitled to one vote per share on any matter to be voted upon by stockholders. The holders of common stock are not entitled to cumulative voting rights with respect to the election of directors, which means that the holders of a majority of the shares voted can elect all of the directors then standing for election.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23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Subject to preferences that may be applicable to any outstanding preferred stock, holders of common stock are entitled to receive ratably such dividends as may be declared by the board of directors (“Board of Directors”) out of legally available funds.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Liquidation</w:t>
      </w:r>
    </w:p>
    <w:p>
      <w:pPr>
        <w:spacing w:after="0" w:line="23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the event of a liquidation or dissolution of the Company, holders of common stock are entitled to share ratably in all assets remaining after payment of liabilities and the liquidation preference of any outstanding preferred stock.</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 Preemptive or Similar Rights</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common stock is not entitled to preemptive rights, conversion or other rights to subscribe for additional securities and there are no redemption or sinking fund provisions applicable to our common stock.</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Fully Paid and Non-assessable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All of the outstanding shares of common stock are fully paid and non-assessable.</w:t>
      </w:r>
    </w:p>
    <w:p>
      <w:pPr>
        <w:sectPr>
          <w:pgSz w:w="11900" w:h="16838" w:orient="portrait"/>
          <w:cols w:equalWidth="0" w:num="1">
            <w:col w:w="11240"/>
          </w:cols>
          <w:pgMar w:left="320" w:top="142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ANTI-TAKEOVER EFFECTS OF OUR CERTIFICATE OF INCORPORATION AND BYLAWS AND PROVISIONS OF DELAWARE LAW</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Provisions of our Certificate of Incorporation and Bylaws and Delaware law may make it more difficult for a third party to acquire, or may discourage a third party from attempting to acquire, control of us. These provisions could limit the price that investors might be willing to pay in the future for shares of our common stock. These provisions include the following.</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Blank Check Preferred Stock</w:t>
      </w:r>
    </w:p>
    <w:p>
      <w:pPr>
        <w:spacing w:after="0" w:line="250"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Our Board of Directors is authorized to designate any series of preferred stock and the powers, preferences and rights of the shares of such series and the qualifications, limitations or restrictions thereof without further action by the holders of common stock.</w:t>
      </w:r>
    </w:p>
    <w:p>
      <w:pPr>
        <w:jc w:val="both"/>
        <w:spacing w:after="0" w:line="242" w:lineRule="auto"/>
        <w:rPr>
          <w:sz w:val="20"/>
          <w:szCs w:val="20"/>
          <w:color w:val="auto"/>
        </w:rPr>
      </w:pPr>
      <w:r>
        <w:rPr>
          <w:rFonts w:ascii="Arial" w:cs="Arial" w:eastAsia="Arial" w:hAnsi="Arial"/>
          <w:sz w:val="18"/>
          <w:szCs w:val="18"/>
          <w:color w:val="auto"/>
        </w:rPr>
        <w:t>Our Board of Directors may create and issue a series of preferred stock with rights, privileges or restrictions, and adopt a stockholder rights plan, having the effect of discriminating against an existing or prospective holder of such securities as a result of such security holder beneficially owning or commencing a tender offer for a substantial amount of common stock. The issuance of preferred stock, while providing flexibility in connection with possible financings, acquisitions or other corporate purposes, could have the effect of making it more difficult or discouraging an attempt by a potential acquiror to obtain control of the Company by means of a merger, tender offer, proxy contest or otherwise, and thereby protect the continuity of our management. The issuance of such shares of capital stock may have the effect of delaying, deferring or preventing a change in control without any further action by the stockholders.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Size of Board</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Certificate of Incorporation and Bylaws provide that the number of directors shall be eight, or such other number (one or more), as fixed from time to time by resolution of the Board of Directors.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Director Vacancies</w:t>
      </w:r>
    </w:p>
    <w:p>
      <w:pPr>
        <w:spacing w:after="0" w:line="23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Bylaws provide that any vacancies on our Board of Directors and newly created directorships will be filled by the affirmative vote of a majority of the remaining directors, although less than a quorum.</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Advance Notice for Stockholder Proposals and Nominations</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Bylaws contain provisions requiring advance notice be delivered to the Company and procedures to be followed by stockholders in proposing business to be considered by the stockholders at an annual meeting or nominating persons for election to our Board of Directors, including stockholder nominees to be included in our proxy statement. To propose business to be considered by the stockholders at an annual meeting, a stockholder must submit to the secretary of the Company at the principal executive offices of the Company all of the information and documents required by the Bylaws not less than 90 days prior to the first anniversary of the preceding year's annual meeting. To nominate a nominee for election to the Board of Directors, a nominating stockholder must submit to the secretary of the Company at the principal executive offices of the Company all of the information and documents required by the Bylaws not less than 90 days prior to the first anniversary of the preceding year's annual meeting (or in the case of a special meeting, not later than the close of business on the later of the 75th day prior to such special meeting or the 10th day following the date on which public announcement is first made of the date of the special meeting and of the nominees proposed by the board of directors to be elected at such meeting). To nominate a nominee for election to Board of Directors for inclusion in the proxy statement, a nominating stockholder must submit to the secretary of the Company at the principal executive offices of the Company all of the information and documents specified in the Bylaws no earlier than 150 calendar days, and no later than 120 calendar days, before the anniversary of the date that the Company mailed its proxy statement for the prior year’s annual meeting of stockholders.</w:t>
      </w:r>
    </w:p>
    <w:p>
      <w:pPr>
        <w:sectPr>
          <w:pgSz w:w="11900" w:h="16838" w:orient="portrait"/>
          <w:cols w:equalWidth="0" w:num="1">
            <w:col w:w="11240"/>
          </w:cols>
          <w:pgMar w:left="320" w:top="1417" w:right="3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i w:val="1"/>
          <w:iCs w:val="1"/>
          <w:color w:val="auto"/>
        </w:rPr>
        <w:t>No Cumulative Voting</w:t>
      </w:r>
    </w:p>
    <w:p>
      <w:pPr>
        <w:spacing w:after="0" w:line="23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Bylaws do not provide for cumulative voting for our directors. The absence of cumulative voting may make it more difficult for stockholders owning less than a majority of our common stock to elect any directors to our Board.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Limitations on Liability of Directors; Indemnification of Directors and Officers</w:t>
      </w: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Certificate of Incorporation limits, to the fullest extent permitted by Delaware law, the liability of our directors to us or our stockholders. Subject to certain limitations, our Certificate of Incorporation provides that our directors, officers and other persons must be indemnified for, and provides for the advancement to them of expenses incurred in connection with, actual or threatened proceedings and claims arising out of their status as our director or officer to the fullest extent permitted by Delaware law. In addition, the Certificate of Incorporation expressly authorizes us to purchase and maintain directors’ and officers’ insurance providing indemnification for our directors, officers, employees or agents. We believe that these indemnification provisions and insurance are useful to attract and retain qualified directors, officers, employees and other agents.</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limitation of liability and indemnification provisions in our Certificate of Incorporation may discourage stockholders from bringing a lawsuit against directors for breach of their fiduciary duty. These provisions may also have the effect of reducing the likelihood of derivative litigation against directors, officers, employees and other agents, even though such an action, if successful, might otherwise benefit us and our stockholders. In addition, your investment may be adversely affected to the extent we pay the costs of settlement and damage awards against directors, officers, employees, and other agents pursuant to these indemnification provisions.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Super-majority voting requirements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Certificate of Incorporation requires a two-thirds vote of the stockholders to approve certain amendments to our Certificate of Incorporation. Our Bylaws may also be amended, altered or repealed at any special meeting of the stockholders if duly called for that purpose or at any annual meeting, by the affirmative vote of the holders of at least two-thirds of the Company’s stock entitled to vote thereon.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Limitations on Calling Special Meetings and Action by Written Consent</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Certificate of Incorporation prevents stockholder action by written consent in lieu of an annual or special meeting and our Bylaws require special meetings of the stockholders to be called by the Chair of the Board, the President, the Board of Directors as a whole, or two-thirds of the stockholders.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Limitations on Business Combinations with Interested Stockholders</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also subject to Section 203 of the Delaware General Corporation Law which, subject to exceptions, prohibits a Delaware corporation from engaging in any business combination with any interested stockholder for a period of three years following the date that a stockholder became an interested stockholder, unless:</w:t>
      </w:r>
    </w:p>
    <w:p>
      <w:pPr>
        <w:spacing w:after="0" w:line="189" w:lineRule="exact"/>
        <w:rPr>
          <w:sz w:val="20"/>
          <w:szCs w:val="20"/>
          <w:color w:val="auto"/>
        </w:rPr>
      </w:pPr>
    </w:p>
    <w:p>
      <w:pPr>
        <w:ind w:left="660" w:right="20" w:hanging="328"/>
        <w:spacing w:after="0" w:line="25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to that date, the Board of Directors approved either the business combination or the transaction which resulted in the stockholder becoming an interested stockholder; or</w:t>
      </w:r>
    </w:p>
    <w:p>
      <w:pPr>
        <w:ind w:left="660" w:hanging="328"/>
        <w:spacing w:after="0" w:line="24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outstanding at the time the transaction commenced; or</w:t>
      </w:r>
    </w:p>
    <w:p>
      <w:pPr>
        <w:spacing w:after="0" w:line="1" w:lineRule="exact"/>
        <w:rPr>
          <w:rFonts w:ascii="Arial" w:cs="Arial" w:eastAsia="Arial" w:hAnsi="Arial"/>
          <w:sz w:val="18"/>
          <w:szCs w:val="18"/>
          <w:color w:val="auto"/>
        </w:rPr>
      </w:pPr>
    </w:p>
    <w:p>
      <w:pPr>
        <w:jc w:val="both"/>
        <w:ind w:left="660" w:hanging="328"/>
        <w:spacing w:after="0" w:line="24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or following that date the business combination is approved by the Board of Directors and authorized at an annual or special meeting of stockholders, by the affirmative vote of at least two-thirds of the outstanding voting stock that is not owned by the interested stockholder.</w:t>
      </w:r>
    </w:p>
    <w:p>
      <w:pPr>
        <w:sectPr>
          <w:pgSz w:w="11900" w:h="16838" w:orient="portrait"/>
          <w:cols w:equalWidth="0" w:num="1">
            <w:col w:w="11240"/>
          </w:cols>
          <w:pgMar w:left="320" w:top="141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Computershare Trust Company, N.A. is the transfer agent and registrar for our common stock.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“JKHY.”</w:t>
      </w:r>
    </w:p>
    <w:p>
      <w:pPr>
        <w:sectPr>
          <w:pgSz w:w="11900" w:h="16838" w:orient="portrait"/>
          <w:cols w:equalWidth="0" w:num="1">
            <w:col w:w="10139"/>
          </w:cols>
          <w:pgMar w:left="320" w:top="1417"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EXHIBIT 10.79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JACK HENRY &amp; ASSOCIATES, INC. 2015 EQUITY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Directors)</w:t>
      </w:r>
    </w:p>
    <w:p>
      <w:pPr>
        <w:spacing w:after="0" w:line="2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 of Award:</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Number of Restricted Stock Units Granted:</w:t>
      </w:r>
    </w:p>
    <w:p>
      <w:pPr>
        <w:spacing w:after="0" w:line="3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Awardee:</w:t>
      </w:r>
    </w:p>
    <w:p>
      <w:pPr>
        <w:spacing w:after="0" w:line="355" w:lineRule="exact"/>
        <w:rPr>
          <w:sz w:val="20"/>
          <w:szCs w:val="20"/>
          <w:color w:val="auto"/>
        </w:rPr>
      </w:pPr>
    </w:p>
    <w:p>
      <w:pPr>
        <w:jc w:val="both"/>
        <w:ind w:firstLine="496"/>
        <w:spacing w:after="0" w:line="263" w:lineRule="auto"/>
        <w:rPr>
          <w:sz w:val="20"/>
          <w:szCs w:val="20"/>
          <w:color w:val="auto"/>
        </w:rPr>
      </w:pPr>
      <w:r>
        <w:rPr>
          <w:rFonts w:ascii="Times New Roman" w:cs="Times New Roman" w:eastAsia="Times New Roman" w:hAnsi="Times New Roman"/>
          <w:sz w:val="22"/>
          <w:szCs w:val="22"/>
          <w:color w:val="auto"/>
        </w:rPr>
        <w:t>THIS AGREEMENT (the “Agreement”) is made on the Date of Award noted above (the “Date of Award”) and is between Jack Henry &amp; Associates, Inc., a Delaware corporation (hereinafter called the “Company”), and the Awardee listed above (“Awardee”).</w:t>
      </w:r>
    </w:p>
    <w:p>
      <w:pPr>
        <w:spacing w:after="0" w:line="167" w:lineRule="exact"/>
        <w:rPr>
          <w:sz w:val="20"/>
          <w:szCs w:val="20"/>
          <w:color w:val="auto"/>
        </w:rPr>
      </w:pPr>
    </w:p>
    <w:p>
      <w:pPr>
        <w:jc w:val="both"/>
        <w:ind w:right="20" w:firstLine="461"/>
        <w:spacing w:after="0" w:line="257" w:lineRule="auto"/>
        <w:rPr>
          <w:sz w:val="20"/>
          <w:szCs w:val="20"/>
          <w:color w:val="auto"/>
        </w:rPr>
      </w:pPr>
      <w:r>
        <w:rPr>
          <w:rFonts w:ascii="Times New Roman" w:cs="Times New Roman" w:eastAsia="Times New Roman" w:hAnsi="Times New Roman"/>
          <w:sz w:val="22"/>
          <w:szCs w:val="22"/>
          <w:color w:val="auto"/>
        </w:rPr>
        <w:t>WHEREAS, the Board of Directors of the Company (“Board”) and the stockholders of the Company have adopted the Jack Henry &amp; Associates, Inc. 2015 Equity Incentive Plan (“Plan”) pursuant to which restricted stock units (“RSUs”) may be granted to directors of the Company; and</w:t>
      </w:r>
    </w:p>
    <w:p>
      <w:pPr>
        <w:spacing w:after="0" w:line="186" w:lineRule="exact"/>
        <w:rPr>
          <w:sz w:val="20"/>
          <w:szCs w:val="20"/>
          <w:color w:val="auto"/>
        </w:rPr>
      </w:pPr>
    </w:p>
    <w:p>
      <w:pPr>
        <w:jc w:val="both"/>
        <w:ind w:firstLine="508"/>
        <w:spacing w:after="0" w:line="271" w:lineRule="auto"/>
        <w:rPr>
          <w:sz w:val="20"/>
          <w:szCs w:val="20"/>
          <w:color w:val="auto"/>
        </w:rPr>
      </w:pPr>
      <w:r>
        <w:rPr>
          <w:rFonts w:ascii="Times New Roman" w:cs="Times New Roman" w:eastAsia="Times New Roman" w:hAnsi="Times New Roman"/>
          <w:sz w:val="22"/>
          <w:szCs w:val="22"/>
          <w:color w:val="auto"/>
        </w:rPr>
        <w:t>WHEREAS, the Company desires to make a restricted stock unit award to the Awardee pertaining to the number of RSUs granted set forth above (“Award”), under the terms hereinafter set forth;</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NOW, THEREFORE, in consideration of the premises and of the mutual agreements hereinafter set forth, the parties to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agree as follows:</w:t>
      </w:r>
    </w:p>
    <w:p>
      <w:pPr>
        <w:spacing w:after="0" w:line="196" w:lineRule="exact"/>
        <w:rPr>
          <w:sz w:val="20"/>
          <w:szCs w:val="20"/>
          <w:color w:val="auto"/>
        </w:rPr>
      </w:pPr>
    </w:p>
    <w:p>
      <w:pPr>
        <w:jc w:val="both"/>
        <w:ind w:firstLine="476"/>
        <w:spacing w:after="0" w:line="256" w:lineRule="auto"/>
        <w:tabs>
          <w:tab w:leader="none" w:pos="86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Subject to Plan</w:t>
      </w:r>
      <w:r>
        <w:rPr>
          <w:rFonts w:ascii="Times New Roman" w:cs="Times New Roman" w:eastAsia="Times New Roman" w:hAnsi="Times New Roman"/>
          <w:sz w:val="22"/>
          <w:szCs w:val="22"/>
          <w:color w:val="auto"/>
        </w:rPr>
        <w:t>. This Award is made under and is expressly subject to all the terms and provisions of the Plan, a copy of which Awardee acknowledges has been given to Awardee, and which terms are incorporated herein by reference. Awardee agrees to be bound by all the terms and provisions of the Plan. Terms not defined herein shall have the meaning ascribed thereto in the Plan.</w:t>
      </w:r>
    </w:p>
    <w:p>
      <w:pPr>
        <w:spacing w:after="0" w:line="176" w:lineRule="exact"/>
        <w:rPr>
          <w:rFonts w:ascii="Times New Roman" w:cs="Times New Roman" w:eastAsia="Times New Roman" w:hAnsi="Times New Roman"/>
          <w:sz w:val="22"/>
          <w:szCs w:val="22"/>
          <w:color w:val="auto"/>
        </w:rPr>
      </w:pPr>
    </w:p>
    <w:p>
      <w:pPr>
        <w:jc w:val="both"/>
        <w:ind w:firstLine="494"/>
        <w:spacing w:after="0" w:line="253" w:lineRule="auto"/>
        <w:tabs>
          <w:tab w:leader="none" w:pos="891"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Award</w:t>
      </w:r>
      <w:r>
        <w:rPr>
          <w:rFonts w:ascii="Times New Roman" w:cs="Times New Roman" w:eastAsia="Times New Roman" w:hAnsi="Times New Roman"/>
          <w:sz w:val="22"/>
          <w:szCs w:val="22"/>
          <w:color w:val="auto"/>
        </w:rPr>
        <w:t>. Pursuant to the action of the Board, which action was taken to be effective on the Date of Award, the Company awards to Awardee the Award (which directly relate to that same number of shares of Common Stock). Subject to the other terms and conditions of the Plan and this Agreement, settlement of each RSU as provided in Section 4 entitles Awardee to the issuance of one share of Common Stock, or, if permitted under the Plan and where the Board elects to settle an RSU for cash, a cash payment equal to the fair market value of the share underlying the RSU the Board elects to settle for cash.</w:t>
      </w:r>
    </w:p>
    <w:p>
      <w:pPr>
        <w:spacing w:after="0" w:line="178" w:lineRule="exact"/>
        <w:rPr>
          <w:rFonts w:ascii="Times New Roman" w:cs="Times New Roman" w:eastAsia="Times New Roman" w:hAnsi="Times New Roman"/>
          <w:sz w:val="22"/>
          <w:szCs w:val="22"/>
          <w:color w:val="auto"/>
        </w:rPr>
      </w:pPr>
    </w:p>
    <w:p>
      <w:pPr>
        <w:jc w:val="both"/>
        <w:ind w:firstLine="647"/>
        <w:spacing w:after="0" w:line="257" w:lineRule="auto"/>
        <w:tabs>
          <w:tab w:leader="none" w:pos="1120"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Except as may be permitted under the Plan or by the Board, the RSUs are not transferable by sale, assignment, disposition, gift, exchange, pledge, hypothecation, or otherwise. Any attempted disposition of the RSUs, or the levy of any execution, attachment or similar process upon the RSUs prior to settlement, shall be null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8" w:right="339" w:bottom="1440" w:gutter="0" w:footer="0" w:header="0"/>
        </w:sectPr>
      </w:pPr>
    </w:p>
    <w:bookmarkStart w:id="69" w:name="page70"/>
    <w:bookmarkEnd w:id="69"/>
    <w:p>
      <w:pPr>
        <w:jc w:val="both"/>
        <w:spacing w:after="0" w:line="257" w:lineRule="auto"/>
        <w:rPr>
          <w:sz w:val="20"/>
          <w:szCs w:val="20"/>
          <w:color w:val="auto"/>
        </w:rPr>
      </w:pPr>
      <w:r>
        <w:rPr>
          <w:rFonts w:ascii="Times New Roman" w:cs="Times New Roman" w:eastAsia="Times New Roman" w:hAnsi="Times New Roman"/>
          <w:sz w:val="22"/>
          <w:szCs w:val="22"/>
          <w:color w:val="auto"/>
        </w:rPr>
        <w:t>void and without effect. Holding RSUs does not give Awardee the rights of a shareholder (including without limitation the right to vote or receive dividends or other distributions) with respect to shares of Common Stock underlying the RSUs that the Company may issue under the terms and conditions of this Agreement.</w:t>
      </w:r>
    </w:p>
    <w:p>
      <w:pPr>
        <w:spacing w:after="0" w:line="186" w:lineRule="exact"/>
        <w:rPr>
          <w:sz w:val="20"/>
          <w:szCs w:val="20"/>
          <w:color w:val="auto"/>
        </w:rPr>
      </w:pPr>
    </w:p>
    <w:p>
      <w:pPr>
        <w:ind w:left="1680" w:hanging="376"/>
        <w:spacing w:after="0"/>
        <w:tabs>
          <w:tab w:leader="none" w:pos="16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Forfeiture and Share Issuance.</w:t>
      </w:r>
    </w:p>
    <w:p>
      <w:pPr>
        <w:spacing w:after="0" w:line="246" w:lineRule="exact"/>
        <w:rPr>
          <w:rFonts w:ascii="Times New Roman" w:cs="Times New Roman" w:eastAsia="Times New Roman" w:hAnsi="Times New Roman"/>
          <w:sz w:val="22"/>
          <w:szCs w:val="22"/>
          <w:color w:val="auto"/>
        </w:rPr>
      </w:pPr>
    </w:p>
    <w:p>
      <w:pPr>
        <w:jc w:val="both"/>
        <w:ind w:left="1300" w:firstLine="652"/>
        <w:spacing w:after="0" w:line="268" w:lineRule="auto"/>
        <w:tabs>
          <w:tab w:leader="none" w:pos="2404"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For purposes of this Agreement the Awardee’s “Settlement Date” shall be the earlier of (1) the day before the Company’s next Annual Meeting of the Stockholders following the Date of Award or (2) the one-year anniversary of the Date of Award. During the period ending on the Settlement Date, the RSUs will be subject to the risk of forfeiture and will be nontransferable by the Awardee. If the Awardee’s directorship is terminated before the Settlement Date, except as provided below at (c), the Awardee shall forfeit all the RSUs.</w:t>
      </w:r>
    </w:p>
    <w:p>
      <w:pPr>
        <w:spacing w:after="0" w:line="163" w:lineRule="exact"/>
        <w:rPr>
          <w:rFonts w:ascii="Times New Roman" w:cs="Times New Roman" w:eastAsia="Times New Roman" w:hAnsi="Times New Roman"/>
          <w:sz w:val="21"/>
          <w:szCs w:val="21"/>
          <w:color w:val="auto"/>
        </w:rPr>
      </w:pPr>
    </w:p>
    <w:p>
      <w:pPr>
        <w:jc w:val="both"/>
        <w:ind w:left="1300" w:firstLine="652"/>
        <w:spacing w:after="0" w:line="252" w:lineRule="auto"/>
        <w:tabs>
          <w:tab w:leader="none" w:pos="2429"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Settlement.</w:t>
      </w:r>
      <w:r>
        <w:rPr>
          <w:rFonts w:ascii="Times New Roman" w:cs="Times New Roman" w:eastAsia="Times New Roman" w:hAnsi="Times New Roman"/>
          <w:sz w:val="22"/>
          <w:szCs w:val="22"/>
          <w:color w:val="auto"/>
        </w:rPr>
        <w:t xml:space="preserve"> To the extent permissible under the Plan, the Committee, in its sole discretion, may elect to settle an RSU by issuing shares of Common Stock or by making a cash payment to Awardee in an amount equal to the then fair market value of the share of Common Stock underlying the RSU being settled, less any amounts necessary to satisfy the Company's tax withholding obligations.</w:t>
      </w:r>
    </w:p>
    <w:p>
      <w:pPr>
        <w:spacing w:after="0" w:line="179"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Settlement</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ind w:left="1300" w:firstLine="652"/>
        <w:spacing w:after="0" w:line="275" w:lineRule="auto"/>
        <w:tabs>
          <w:tab w:leader="none" w:pos="238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Effect of Change in Control on Settlement. </w:t>
      </w:r>
      <w:r>
        <w:rPr>
          <w:rFonts w:ascii="Times New Roman" w:cs="Times New Roman" w:eastAsia="Times New Roman" w:hAnsi="Times New Roman"/>
          <w:sz w:val="22"/>
          <w:szCs w:val="22"/>
          <w:color w:val="auto"/>
        </w:rPr>
        <w:t>Upon a Change in Control of the Company, all RSUs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settled. In such event, settlement of the RSUs shall occur at the time of the Change in Control.</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5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Effect of Death, Disability or Retirement on Settlement. </w:t>
      </w:r>
      <w:r>
        <w:rPr>
          <w:rFonts w:ascii="Times New Roman" w:cs="Times New Roman" w:eastAsia="Times New Roman" w:hAnsi="Times New Roman"/>
          <w:sz w:val="22"/>
          <w:szCs w:val="22"/>
          <w:color w:val="auto"/>
        </w:rPr>
        <w:t>Upon Awardee's death or termination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directorship due to Disability or Retirement, no forfeiture or accelerated settlement of the RSUs shall occur. Rather, on the Settlement Date, a pro rata portion of the RSUs subject to this Agreement shall be settled based on the portion of the year that elapsed from the Date of Award prior to Awardee's termination of directorship. For purposes of this Agreement, a "Retirement" means an Awardee's termination of directorship for the express reason of retirement, as determined by the Board or Committee in its sole discretion.</w:t>
      </w:r>
    </w:p>
    <w:p>
      <w:pPr>
        <w:spacing w:after="0" w:line="219" w:lineRule="exact"/>
        <w:rPr>
          <w:sz w:val="20"/>
          <w:szCs w:val="20"/>
          <w:color w:val="auto"/>
        </w:rPr>
      </w:pPr>
    </w:p>
    <w:p>
      <w:pPr>
        <w:jc w:val="both"/>
        <w:ind w:left="1300" w:firstLine="652"/>
        <w:spacing w:after="0" w:line="256" w:lineRule="auto"/>
        <w:tabs>
          <w:tab w:leader="none" w:pos="24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Subject to the other provisions of this Section 4, all non-settled RSUs shall be forfeited if Awardee ceases to be a director of the Company prior to the Settlement Date. Upon any such forfeiture, under no circumstances will the Company be obligated to make any payment to Awardee, and no shares of Common Stock shall be issued, as a result of such forfeited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70" w:name="page71"/>
    <w:bookmarkEnd w:id="70"/>
    <w:p>
      <w:pPr>
        <w:ind w:left="2320" w:hanging="368"/>
        <w:spacing w:after="0"/>
        <w:tabs>
          <w:tab w:leader="none" w:pos="23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Issuance; Stock Ownership Guidelines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960" w:firstLine="640"/>
        <w:spacing w:after="0" w:line="250" w:lineRule="auto"/>
        <w:tabs>
          <w:tab w:leader="none" w:pos="3106"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upon the settlement of a specific number of RSUs for shares of Common Stock as provided in this Section, the Company shall issue a corresponding number of shares of Common Stock to Awardee on the Settlement Date or Change in Control, provided that tax withholding obligations have been satisfied as provided in Section 5. The Company’s transfer agent may issue shares of Common Stock in certificated or book entry form as determined by the Company’s Corporate Secretary. Upon issuance of the Shares, Awardee shall have all rights of a shareholder with respect thereto including the right to vote and receive all dividends or other distributions made or paid with respect to the shares of Common Stock.</w:t>
      </w:r>
    </w:p>
    <w:p>
      <w:pPr>
        <w:spacing w:after="0" w:line="186" w:lineRule="exact"/>
        <w:rPr>
          <w:rFonts w:ascii="Times New Roman" w:cs="Times New Roman" w:eastAsia="Times New Roman" w:hAnsi="Times New Roman"/>
          <w:sz w:val="22"/>
          <w:szCs w:val="22"/>
          <w:color w:val="auto"/>
        </w:rPr>
      </w:pPr>
    </w:p>
    <w:p>
      <w:pPr>
        <w:jc w:val="both"/>
        <w:ind w:left="1960" w:firstLine="640"/>
        <w:spacing w:after="0" w:line="252" w:lineRule="auto"/>
        <w:tabs>
          <w:tab w:leader="none" w:pos="3202"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Shares acquired by Awardee on the Settlement Date pursuant to this Award may be subject to any Company stock ownership guidelines or stock ownership policy as determined appropriate by the Committee and communicated to Awardee. Awardee agrees that Awardee will comply with and adhere to such stock ownership guidelines or stock ownership policy.</w:t>
      </w:r>
    </w:p>
    <w:p>
      <w:pPr>
        <w:spacing w:after="0" w:line="179" w:lineRule="exact"/>
        <w:rPr>
          <w:rFonts w:ascii="Times New Roman" w:cs="Times New Roman" w:eastAsia="Times New Roman" w:hAnsi="Times New Roman"/>
          <w:sz w:val="22"/>
          <w:szCs w:val="22"/>
          <w:color w:val="auto"/>
        </w:rPr>
      </w:pPr>
    </w:p>
    <w:p>
      <w:pPr>
        <w:jc w:val="both"/>
        <w:ind w:left="1300" w:firstLine="4"/>
        <w:spacing w:after="0" w:line="252" w:lineRule="auto"/>
        <w:tabs>
          <w:tab w:leader="none" w:pos="173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to Third Party</w:t>
      </w:r>
      <w:r>
        <w:rPr>
          <w:rFonts w:ascii="Times New Roman" w:cs="Times New Roman" w:eastAsia="Times New Roman" w:hAnsi="Times New Roman"/>
          <w:sz w:val="22"/>
          <w:szCs w:val="22"/>
          <w:color w:val="auto"/>
        </w:rPr>
        <w:t>. On the Settlement Date following the death of Awardee, the shares of Common Stock, to the extent eligible to be issued, shall be issued to Awardee’s beneficiary named in a written beneficiary designation filed with the Company’s Corporate Secretary on a form for the Plan or, if there is no such designated beneficiary, to Awardee’s executor or administrator or other personal representative acceptable to the Corporate Secretary. Any request to pay any person or persons other than Awardee shall be accompanied by such documentation as the Company may reasonably require, including without limitation, evidence satisfactory to the Company of the authority of such person or persons to receive the payment.</w:t>
      </w:r>
    </w:p>
    <w:p>
      <w:pPr>
        <w:spacing w:after="0" w:line="179" w:lineRule="exact"/>
        <w:rPr>
          <w:sz w:val="20"/>
          <w:szCs w:val="20"/>
          <w:color w:val="auto"/>
        </w:rPr>
      </w:pPr>
    </w:p>
    <w:p>
      <w:pPr>
        <w:jc w:val="both"/>
        <w:ind w:firstLine="1304"/>
        <w:spacing w:after="0" w:line="248" w:lineRule="auto"/>
        <w:tabs>
          <w:tab w:leader="none" w:pos="172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Awardee understands and agrees that, at the time any tax withholding obligation arises in connection with the issuance of a share of Common Stock or, if permitted under the Plan, a cash payment, the Company may withhold, in shares of Common Stock if a valid election applies under this Section 5 or in cash from amounts the Company owes or will owe Awardee, any applicable minimum withholding, payroll and other required tax amounts due upon the issuance of shares of Common Stock or cash payment. Tax withholding may be made by any means permitted under the Plan, as approved by the Committee, and as permitted under the law. The valuation of the RSUs, and any shares of Common Stock that the Company may issue attributable to RSUs, for tax and other purposes shall be determined in accordance with all applicable laws and regulations. In the absence of the satisfaction of tax obligations, the Company may refuse to issue shares of Common Stock or make any other payment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71" w:name="page72"/>
    <w:bookmarkEnd w:id="71"/>
    <w:p>
      <w:pPr>
        <w:jc w:val="both"/>
        <w:ind w:firstLine="1304"/>
        <w:spacing w:after="0" w:line="257" w:lineRule="auto"/>
        <w:tabs>
          <w:tab w:leader="none" w:pos="170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and Voting</w:t>
      </w:r>
      <w:r>
        <w:rPr>
          <w:rFonts w:ascii="Times New Roman" w:cs="Times New Roman" w:eastAsia="Times New Roman" w:hAnsi="Times New Roman"/>
          <w:sz w:val="22"/>
          <w:szCs w:val="22"/>
          <w:color w:val="auto"/>
        </w:rPr>
        <w:t>. Prior to an RSU settlement date, Awardee shall have no right to receive any dividends or dividend equivalent payments with respect to the RSUs. Awardee will have no voting rights with respect to any of the RSUs or the shares of Common Stock underlying the RSUs.</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2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This Award has been made pursuant to a determination made by the Board, or a committee authorized by the Board, subject to the express terms of this Agreement, and the Board or such committee shall have plenary authority to interpret any provision of this Agreement and to make any determinations necessary or advisable for the administration of this Agreement and may waive or amend any provisions hereof in any manner not adversely affecting the rights granted to Awardee by the express terms hereof.</w:t>
      </w:r>
    </w:p>
    <w:p>
      <w:pPr>
        <w:spacing w:after="0" w:line="194" w:lineRule="exact"/>
        <w:rPr>
          <w:rFonts w:ascii="Times New Roman" w:cs="Times New Roman" w:eastAsia="Times New Roman" w:hAnsi="Times New Roman"/>
          <w:sz w:val="22"/>
          <w:szCs w:val="22"/>
          <w:color w:val="auto"/>
        </w:rPr>
      </w:pPr>
    </w:p>
    <w:p>
      <w:pPr>
        <w:jc w:val="both"/>
        <w:ind w:firstLine="548"/>
        <w:spacing w:after="0" w:line="252" w:lineRule="auto"/>
        <w:tabs>
          <w:tab w:leader="none" w:pos="10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Agreement shall be governed by the laws of the State of Delaware, excluding any conflicts or choice of law rule or principle that might otherwise refer construction or interpretation of the Agreement to the substantive law of another jurisdiction. Awardee is deemed to submit to the exclusive jurisdiction and venue of the federal or state courts of Missouri to resolve any and all issues that may arise out of or relate to this agreement.</w:t>
      </w:r>
    </w:p>
    <w:p>
      <w:pPr>
        <w:spacing w:after="0" w:line="179" w:lineRule="exact"/>
        <w:rPr>
          <w:sz w:val="20"/>
          <w:szCs w:val="20"/>
          <w:color w:val="auto"/>
        </w:rPr>
      </w:pPr>
    </w:p>
    <w:p>
      <w:pPr>
        <w:ind w:firstLine="278"/>
        <w:spacing w:after="0" w:line="271" w:lineRule="auto"/>
        <w:rPr>
          <w:sz w:val="20"/>
          <w:szCs w:val="20"/>
          <w:color w:val="auto"/>
        </w:rPr>
      </w:pPr>
      <w:r>
        <w:rPr>
          <w:rFonts w:ascii="Times New Roman" w:cs="Times New Roman" w:eastAsia="Times New Roman" w:hAnsi="Times New Roman"/>
          <w:sz w:val="22"/>
          <w:szCs w:val="22"/>
          <w:color w:val="auto"/>
        </w:rPr>
        <w:t>The Company has caused this Agreement to be executed on its behalf, and Awardee has signed this Agreement to evidence Awardee’s acceptance of the terms hereof, all as of the date first above written.</w:t>
      </w:r>
    </w:p>
    <w:p>
      <w:pPr>
        <w:spacing w:after="0" w:line="16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JACK HENRY &amp; ASSOCIATES, INC.</w:t>
      </w:r>
    </w:p>
    <w:p>
      <w:pPr>
        <w:spacing w:after="0" w:line="25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By:</w:t>
      </w:r>
    </w:p>
    <w:p>
      <w:pPr>
        <w:spacing w:after="0" w:line="24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8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AWARDEE</w:t>
      </w:r>
    </w:p>
    <w:p>
      <w:pPr>
        <w:spacing w:after="0" w:line="25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7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72" w:name="page73"/>
    <w:bookmarkEnd w:id="72"/>
    <w:p>
      <w:pPr>
        <w:spacing w:after="0"/>
        <w:rPr>
          <w:sz w:val="20"/>
          <w:szCs w:val="20"/>
          <w:color w:val="auto"/>
        </w:rPr>
      </w:pPr>
      <w:r>
        <w:rPr>
          <w:rFonts w:ascii="Arial" w:cs="Arial" w:eastAsia="Arial" w:hAnsi="Arial"/>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Jack Henry &amp; Associates,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Trading In Company Securities Policy</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May 2023</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 and Scope</w:t>
      </w:r>
    </w:p>
    <w:p>
      <w:pPr>
        <w:spacing w:after="0" w:line="39" w:lineRule="exact"/>
        <w:rPr>
          <w:sz w:val="20"/>
          <w:szCs w:val="20"/>
          <w:color w:val="auto"/>
        </w:rPr>
      </w:pPr>
    </w:p>
    <w:p>
      <w:pPr>
        <w:ind w:right="240"/>
        <w:spacing w:after="0" w:line="247" w:lineRule="auto"/>
        <w:rPr>
          <w:sz w:val="20"/>
          <w:szCs w:val="20"/>
          <w:color w:val="auto"/>
        </w:rPr>
      </w:pPr>
      <w:r>
        <w:rPr>
          <w:rFonts w:ascii="Arial" w:cs="Arial" w:eastAsia="Arial" w:hAnsi="Arial"/>
          <w:sz w:val="22"/>
          <w:szCs w:val="22"/>
          <w:color w:val="auto"/>
        </w:rPr>
        <w:t>This Trading in Company Securities Policy (this “Policy”) provides guidelines with respect to transactions in the securities of Jack Henry &amp; Associates, Inc. (the “Company”) and the handling of confidential information about the Company and companies with which the Company does business. The Company’s Board of Directors has adopted this Policy to promote compliance with securities laws that prohibit certain persons who are aware of material nonpublic information about a company from: (i) trading in securities of that company; or (ii) providing material nonpublic information to other persons who trade on the basis of that information.</w:t>
      </w:r>
    </w:p>
    <w:p>
      <w:pPr>
        <w:spacing w:after="0" w:line="213"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This Policy applies to (i) directors, officers and employees of the Company, (ii) the Family Members (as defined below) of directors, officers and employees of the Company, and (iii) contractors and consultants of the Company who have access to material nonpublic information concerning the Company (collectively, “Insiders”).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Insider Trading Policy</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General Prohibition on Insider Trading</w:t>
      </w:r>
    </w:p>
    <w:p>
      <w:pPr>
        <w:spacing w:after="0" w:line="4"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color w:val="auto"/>
        </w:rPr>
        <w:t>No Insider who is aware of material nonpublic information relating to the Company shall, directly or indirectly, (a) engage, or permit any Family Member to engage, in a transaction in Company Securities, except as otherwise specified in this Policy under the headings "Transactions Not Subject to Trading Restrictions"; (b) recommend the purchase or sale of Company Securities; (c) engage in any other action to take personal advantage of that information, or (d) pass that information on to others outside the Company, including family and friends. In addition, no Insider who, in the course of working for the Company, learns of material nonpublic information about a company with which the Company does business, including a customer or supplier of the Company, may take any of the actions described in clauses (a) through (d) above with respect to such company until the information becomes public or is no longer material.</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22"/>
          <w:szCs w:val="22"/>
          <w:color w:val="auto"/>
        </w:rPr>
        <w:t>Transactions that you may view as necessary or justifiable for independent reasons (such as the need to raise money for an emergency) are not excepted from this Policy. The securities laws do not recognize emergencies or other mitigating circumstances, and, in any event, even the appearance of an</w:t>
      </w:r>
    </w:p>
    <w:p>
      <w:pPr>
        <w:sectPr>
          <w:pgSz w:w="11900" w:h="16838" w:orient="portrait"/>
          <w:cols w:equalWidth="0" w:num="1">
            <w:col w:w="11220"/>
          </w:cols>
          <w:pgMar w:left="320" w:top="104" w:right="359" w:bottom="1440" w:gutter="0" w:footer="0" w:header="0"/>
        </w:sectPr>
      </w:pPr>
    </w:p>
    <w:bookmarkStart w:id="73" w:name="page74"/>
    <w:bookmarkEnd w:id="73"/>
    <w:p>
      <w:pPr>
        <w:ind w:right="120"/>
        <w:spacing w:after="0" w:line="272" w:lineRule="auto"/>
        <w:rPr>
          <w:sz w:val="20"/>
          <w:szCs w:val="20"/>
          <w:color w:val="auto"/>
        </w:rPr>
      </w:pPr>
      <w:r>
        <w:rPr>
          <w:rFonts w:ascii="Arial" w:cs="Arial" w:eastAsia="Arial" w:hAnsi="Arial"/>
          <w:sz w:val="22"/>
          <w:szCs w:val="22"/>
          <w:color w:val="auto"/>
        </w:rPr>
        <w:t>improper transaction must be avoided to preserve the Company’s reputation for adhering to the highest standards of conduct.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Prohibited Transactions</w:t>
      </w:r>
    </w:p>
    <w:p>
      <w:pPr>
        <w:spacing w:after="0" w:line="31" w:lineRule="exact"/>
        <w:rPr>
          <w:sz w:val="20"/>
          <w:szCs w:val="20"/>
          <w:color w:val="auto"/>
        </w:rPr>
      </w:pPr>
    </w:p>
    <w:p>
      <w:pPr>
        <w:ind w:right="140"/>
        <w:spacing w:after="0" w:line="245" w:lineRule="auto"/>
        <w:rPr>
          <w:sz w:val="20"/>
          <w:szCs w:val="20"/>
          <w:color w:val="auto"/>
        </w:rPr>
      </w:pPr>
      <w:r>
        <w:rPr>
          <w:rFonts w:ascii="Arial" w:cs="Arial" w:eastAsia="Arial" w:hAnsi="Arial"/>
          <w:sz w:val="22"/>
          <w:szCs w:val="22"/>
          <w:color w:val="auto"/>
        </w:rPr>
        <w:t>Certain transactions are of concern not only because of insider trading considerations, but also because of the appearance created by the transaction and the potential repercussions that the transaction may have with investors, regulators and others. The Company considers it improper and inappropriate for any Insider to engage in short-term or speculative transactions in the Company’s Securities. Therefore, Insiders may not engage in any of the following transactions:</w:t>
      </w:r>
    </w:p>
    <w:p>
      <w:pPr>
        <w:spacing w:after="0" w:line="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22"/>
          <w:szCs w:val="22"/>
          <w:color w:val="auto"/>
        </w:rPr>
        <w:t>Short sales;</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22"/>
          <w:szCs w:val="22"/>
          <w:color w:val="auto"/>
        </w:rPr>
        <w:t>Buying or selling Company options, puts, calls or other derivative securities;</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22"/>
          <w:szCs w:val="22"/>
          <w:color w:val="auto"/>
        </w:rPr>
        <w:t>Hedging transactions;</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22"/>
          <w:szCs w:val="22"/>
          <w:color w:val="auto"/>
        </w:rPr>
        <w:t>Holding Company Securities in margin accounts and/or pledging Company Securities as collateral; and</w:t>
      </w:r>
    </w:p>
    <w:p>
      <w:pPr>
        <w:spacing w:after="0" w:line="2" w:lineRule="exact"/>
        <w:rPr>
          <w:rFonts w:ascii="Times New Roman" w:cs="Times New Roman" w:eastAsia="Times New Roman" w:hAnsi="Times New Roman"/>
          <w:sz w:val="22"/>
          <w:szCs w:val="22"/>
          <w:color w:val="auto"/>
        </w:rPr>
      </w:pPr>
    </w:p>
    <w:p>
      <w:pPr>
        <w:ind w:left="660" w:right="120" w:hanging="328"/>
        <w:spacing w:after="0" w:line="246" w:lineRule="auto"/>
        <w:tabs>
          <w:tab w:leader="none" w:pos="655" w:val="left"/>
        </w:tabs>
        <w:numPr>
          <w:ilvl w:val="0"/>
          <w:numId w:val="29"/>
        </w:numPr>
        <w:rPr>
          <w:rFonts w:ascii="Times New Roman" w:cs="Times New Roman" w:eastAsia="Times New Roman" w:hAnsi="Times New Roman"/>
          <w:sz w:val="22"/>
          <w:szCs w:val="22"/>
          <w:color w:val="auto"/>
        </w:rPr>
      </w:pPr>
      <w:r>
        <w:rPr>
          <w:rFonts w:ascii="Arial" w:cs="Arial" w:eastAsia="Arial" w:hAnsi="Arial"/>
          <w:sz w:val="22"/>
          <w:szCs w:val="22"/>
          <w:color w:val="auto"/>
        </w:rPr>
        <w:t>Placing standing or limit orders with a broker to buy or sell Company Securities that have a duration in excess of three business days (except under approved Rule 10b5-1 Plans).</w:t>
      </w:r>
    </w:p>
    <w:p>
      <w:pPr>
        <w:jc w:val="both"/>
        <w:ind w:right="220"/>
        <w:spacing w:after="0" w:line="251" w:lineRule="auto"/>
        <w:rPr>
          <w:sz w:val="20"/>
          <w:szCs w:val="20"/>
          <w:color w:val="auto"/>
        </w:rPr>
      </w:pPr>
      <w:r>
        <w:rPr>
          <w:rFonts w:ascii="Arial" w:cs="Arial" w:eastAsia="Arial" w:hAnsi="Arial"/>
          <w:sz w:val="22"/>
          <w:szCs w:val="22"/>
          <w:color w:val="auto"/>
        </w:rPr>
        <w:t>In addition, from time to time, the Company may determine that other types of transactions by Insiders in Company Securities shall be prohibited or shall be permitted only with prior written consent of the Administrator. See Annex A for further information on prohibited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Defined Terms</w:t>
      </w:r>
    </w:p>
    <w:p>
      <w:pPr>
        <w:spacing w:after="0" w:line="26" w:lineRule="exact"/>
        <w:rPr>
          <w:sz w:val="20"/>
          <w:szCs w:val="20"/>
          <w:color w:val="auto"/>
        </w:rPr>
      </w:pPr>
    </w:p>
    <w:p>
      <w:pPr>
        <w:ind w:right="40"/>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Securities</w:t>
      </w:r>
      <w:r>
        <w:rPr>
          <w:rFonts w:ascii="Arial" w:cs="Arial" w:eastAsia="Arial" w:hAnsi="Arial"/>
          <w:sz w:val="22"/>
          <w:szCs w:val="22"/>
          <w:color w:val="auto"/>
        </w:rPr>
        <w:t>” means the Company’s securities, including the Company’s common stock, options to purchase common stock or any other type of securities that the Company may issue.</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Family Members</w:t>
      </w:r>
      <w:r>
        <w:rPr>
          <w:rFonts w:ascii="Arial" w:cs="Arial" w:eastAsia="Arial" w:hAnsi="Arial"/>
          <w:sz w:val="22"/>
          <w:szCs w:val="22"/>
          <w:color w:val="auto"/>
        </w:rPr>
        <w:t>” of a person means such person’s spouse, family members who reside with an Insider, anyone else who lives in the person’s household and any family members who do not live in the person’s household but whose transactions in Company Securities are directed by the person or subject to the person’s influence or control (such as parents or children who consult with the Insider before they trade in Company Securities).</w:t>
      </w:r>
    </w:p>
    <w:p>
      <w:pPr>
        <w:spacing w:after="0" w:line="216" w:lineRule="exact"/>
        <w:rPr>
          <w:sz w:val="20"/>
          <w:szCs w:val="20"/>
          <w:color w:val="auto"/>
        </w:rPr>
      </w:pPr>
    </w:p>
    <w:p>
      <w:pPr>
        <w:ind w:right="20"/>
        <w:spacing w:after="0" w:line="25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nonpublic information</w:t>
      </w:r>
      <w:r>
        <w:rPr>
          <w:rFonts w:ascii="Arial" w:cs="Arial" w:eastAsia="Arial" w:hAnsi="Arial"/>
          <w:sz w:val="22"/>
          <w:szCs w:val="22"/>
          <w:color w:val="auto"/>
        </w:rPr>
        <w:t>” means information that a reasonable investor would consider important in deciding to purchase, hold or sell securities that has not been disclosed generally to the investing public in a manner that complies with applicable securities law (such as by a press release or an SEC filing).</w:t>
      </w:r>
    </w:p>
    <w:p>
      <w:pPr>
        <w:sectPr>
          <w:pgSz w:w="11900" w:h="16838" w:orient="portrait"/>
          <w:cols w:equalWidth="0" w:num="1">
            <w:col w:w="11220"/>
          </w:cols>
          <w:pgMar w:left="320" w:top="1423" w:right="359" w:bottom="1440" w:gutter="0" w:footer="0" w:header="0"/>
        </w:sectPr>
      </w:pPr>
    </w:p>
    <w:bookmarkStart w:id="74" w:name="page75"/>
    <w:bookmarkEnd w:id="74"/>
    <w:p>
      <w:pPr>
        <w:spacing w:after="0" w:line="248" w:lineRule="auto"/>
        <w:rPr>
          <w:sz w:val="20"/>
          <w:szCs w:val="20"/>
          <w:color w:val="auto"/>
        </w:rPr>
      </w:pPr>
      <w:r>
        <w:rPr>
          <w:rFonts w:ascii="Arial" w:cs="Arial" w:eastAsia="Arial" w:hAnsi="Arial"/>
          <w:sz w:val="22"/>
          <w:szCs w:val="22"/>
          <w:color w:val="auto"/>
        </w:rPr>
        <w:t>There is no bright line standard for assessing materiality; rather, materiality is based on an assessment of the facts and circumstances. Determining materiality can involve a relatively low threshold. Any information that could be expected to affect the Company’s stock price, whether it is positive or negative, should be considered material. Material information is not limited to historical facts, but may also include projections, forecasts and potential or pending transactions or developments. The following are examples of the types of information that are particularly sensitive and should be treated as material:</w:t>
      </w:r>
    </w:p>
    <w:p>
      <w:pPr>
        <w:spacing w:after="0" w:line="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Projections of future earnings or losses, or other earnings guidance;</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Changes to previously announced earnings guidance, or the decision to suspend earnings guidance;</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Current or future sales or revenues;</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Earnings above or below the expectations of the investment community;</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A pending or proposed merger, acquisition or tender offer;</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A pending or proposed acquisition or disposition of a significant asset;</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A pending or proposed joint venture;</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A Company restructuring;</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The establishment of or a change in a repurchase program for Company Securities;</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Significant related party transactions;</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A change in dividend policy, the declaration of a stock split, or an offering of securities;</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A change in management;</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A change in auditors or notification that the auditor's reports may no longer be relied upon;</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Pending or threatened material litigation, or the resolution of such litigation;</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Pending or threatened regulatory actions;</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Development of a significant new product or process;</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Impending bankruptcy or the existence of severe liquidity problems;</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The gain or loss of a significant customer or supplier;</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Any occurrence that requires notice or a filing with the SEC;</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Significant cybersecurity incidents, including a cybersecurity breach; and</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The imposition of a ban on trading in Company stock or the securities of another company.</w:t>
      </w:r>
    </w:p>
    <w:p>
      <w:pPr>
        <w:spacing w:after="0" w:line="226" w:lineRule="exact"/>
        <w:rPr>
          <w:sz w:val="20"/>
          <w:szCs w:val="20"/>
          <w:color w:val="auto"/>
        </w:rPr>
      </w:pPr>
    </w:p>
    <w:p>
      <w:pPr>
        <w:ind w:right="80"/>
        <w:spacing w:after="0" w:line="25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16 Insider</w:t>
      </w:r>
      <w:r>
        <w:rPr>
          <w:rFonts w:ascii="Arial" w:cs="Arial" w:eastAsia="Arial" w:hAnsi="Arial"/>
          <w:sz w:val="22"/>
          <w:szCs w:val="22"/>
          <w:color w:val="auto"/>
        </w:rPr>
        <w:t>” means each director of the Company, the Company’s President/Chief Executive Officer, Chief Financial Officer, Chief Accounting Officer (if a different person than the Chief Financial Officer), and each other officer of the Company designated by the Board of Directors as a Section 16 officer.</w:t>
      </w:r>
    </w:p>
    <w:p>
      <w:pPr>
        <w:sectPr>
          <w:pgSz w:w="11900" w:h="16838" w:orient="portrait"/>
          <w:cols w:equalWidth="0" w:num="1">
            <w:col w:w="10940"/>
          </w:cols>
          <w:pgMar w:left="320" w:top="1423" w:right="639" w:bottom="1440" w:gutter="0" w:footer="0" w:header="0"/>
        </w:sectPr>
      </w:pPr>
    </w:p>
    <w:bookmarkStart w:id="75" w:name="page76"/>
    <w:bookmarkEnd w:id="75"/>
    <w:p>
      <w:pPr>
        <w:spacing w:after="0"/>
        <w:rPr>
          <w:sz w:val="20"/>
          <w:szCs w:val="20"/>
          <w:color w:val="auto"/>
        </w:rPr>
      </w:pPr>
      <w:r>
        <w:rPr>
          <w:rFonts w:ascii="Arial" w:cs="Arial" w:eastAsia="Arial" w:hAnsi="Arial"/>
          <w:sz w:val="22"/>
          <w:szCs w:val="22"/>
          <w:b w:val="1"/>
          <w:bCs w:val="1"/>
          <w:color w:val="auto"/>
        </w:rPr>
        <w:t>Additional Restrictions Applicable to Certain Insiders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16 Insiders</w:t>
      </w:r>
    </w:p>
    <w:p>
      <w:pPr>
        <w:spacing w:after="0" w:line="4" w:lineRule="exact"/>
        <w:rPr>
          <w:sz w:val="20"/>
          <w:szCs w:val="20"/>
          <w:color w:val="auto"/>
        </w:rPr>
      </w:pPr>
    </w:p>
    <w:p>
      <w:pPr>
        <w:ind w:right="500"/>
        <w:spacing w:after="0" w:line="266" w:lineRule="auto"/>
        <w:rPr>
          <w:sz w:val="20"/>
          <w:szCs w:val="20"/>
          <w:color w:val="auto"/>
        </w:rPr>
      </w:pPr>
      <w:r>
        <w:rPr>
          <w:rFonts w:ascii="Arial" w:cs="Arial" w:eastAsia="Arial" w:hAnsi="Arial"/>
          <w:sz w:val="22"/>
          <w:szCs w:val="22"/>
          <w:color w:val="auto"/>
        </w:rPr>
        <w:t>The Section 16 Insiders must comply with the requirements of the Section 16 Compliance Program, set forth in Annex B hereto.</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Restricted Insiders and Restricted Periods</w:t>
      </w:r>
    </w:p>
    <w:p>
      <w:pPr>
        <w:spacing w:after="0" w:line="24"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There are certain periods during the year, including related to the close of fiscal quarters and quarterly earnings releases, when trading of Company Securities is closed to individuals on the Company’s “closed trading list.” The closed trading list shall include directors, Section 16 Insiders, and certain other employees as designated by the Administrator and the Chief Financial Officer. The individuals on the closed trading list, together with each of their Family Members, are referred to as “</w:t>
      </w:r>
      <w:r>
        <w:rPr>
          <w:rFonts w:ascii="Arial" w:cs="Arial" w:eastAsia="Arial" w:hAnsi="Arial"/>
          <w:sz w:val="22"/>
          <w:szCs w:val="22"/>
          <w:u w:val="single" w:color="auto"/>
          <w:color w:val="auto"/>
        </w:rPr>
        <w:t>Restricted Insiders</w:t>
      </w:r>
      <w:r>
        <w:rPr>
          <w:rFonts w:ascii="Arial" w:cs="Arial" w:eastAsia="Arial" w:hAnsi="Arial"/>
          <w:sz w:val="22"/>
          <w:szCs w:val="22"/>
          <w:color w:val="auto"/>
        </w:rPr>
        <w:t>”. There may also be periods when all Company personnel are designated as Restricted Insiders and are restricted from trading in Company Securities. The commencement of “closed trading” periods will be announced to the relevant personnel, generally by internal e-mail. The Restricted Insiders must not trade any Company Securities during any such closed trading period. Quarterly closed trading periods will typically begin after the market closes on the eleventh day before the end of the fiscal quarter and continue until the market closes on the day of the quarterly earnings call. The Chief Financial Officer is responsible for determining and setting closed trading periods.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Pre-Clearance and Advance Notification by Section 16 Insider and Certain Other Insiders</w:t>
      </w:r>
    </w:p>
    <w:p>
      <w:pPr>
        <w:spacing w:after="0" w:line="24" w:lineRule="exact"/>
        <w:rPr>
          <w:sz w:val="20"/>
          <w:szCs w:val="20"/>
          <w:color w:val="auto"/>
        </w:rPr>
      </w:pPr>
    </w:p>
    <w:p>
      <w:pPr>
        <w:ind w:right="40"/>
        <w:spacing w:after="0" w:line="247" w:lineRule="auto"/>
        <w:rPr>
          <w:sz w:val="20"/>
          <w:szCs w:val="20"/>
          <w:color w:val="auto"/>
        </w:rPr>
      </w:pPr>
      <w:r>
        <w:rPr>
          <w:rFonts w:ascii="Arial" w:cs="Arial" w:eastAsia="Arial" w:hAnsi="Arial"/>
          <w:sz w:val="22"/>
          <w:szCs w:val="22"/>
          <w:color w:val="auto"/>
        </w:rPr>
        <w:t>To provide assistance in meeting Section 16 reporting requirements, monitor insider and short-swing trading concerns, and avoid even the appearance of impropriety (which could result, for example, where an officer engages in a trade while unaware of a pending major development), the Company requires that Section 16 Insiders follow a pre-clearance and advance notification procedure set forth in Annex B. In addition, the Administrator may designate certain Restricted Insiders who are not Section 16 Insiders to also follow the pre-clearance and advance notification procedure before engaging in any transaction involving Company Securities.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Transactions not Subject to Trading Restrictions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Transactions under Company Plans</w:t>
      </w:r>
    </w:p>
    <w:p>
      <w:pPr>
        <w:spacing w:after="0" w:line="227" w:lineRule="exact"/>
        <w:rPr>
          <w:sz w:val="20"/>
          <w:szCs w:val="20"/>
          <w:color w:val="auto"/>
        </w:rPr>
      </w:pPr>
    </w:p>
    <w:p>
      <w:pPr>
        <w:ind w:right="260"/>
        <w:spacing w:after="0" w:line="253" w:lineRule="auto"/>
        <w:rPr>
          <w:sz w:val="20"/>
          <w:szCs w:val="20"/>
          <w:color w:val="auto"/>
        </w:rPr>
      </w:pPr>
      <w:r>
        <w:rPr>
          <w:rFonts w:ascii="Arial" w:cs="Arial" w:eastAsia="Arial" w:hAnsi="Arial"/>
          <w:sz w:val="22"/>
          <w:szCs w:val="22"/>
          <w:i w:val="1"/>
          <w:iCs w:val="1"/>
          <w:u w:val="single" w:color="auto"/>
          <w:color w:val="auto"/>
        </w:rPr>
        <w:t>Restricted Stock Awards</w:t>
      </w:r>
      <w:r>
        <w:rPr>
          <w:rFonts w:ascii="Arial" w:cs="Arial" w:eastAsia="Arial" w:hAnsi="Arial"/>
          <w:sz w:val="22"/>
          <w:szCs w:val="22"/>
          <w:color w:val="auto"/>
        </w:rPr>
        <w:t>. This Policy does not apply to the vesting of restricted stock, or the exercise of a tax</w:t>
      </w:r>
      <w:r>
        <w:rPr>
          <w:rFonts w:ascii="Arial" w:cs="Arial" w:eastAsia="Arial" w:hAnsi="Arial"/>
          <w:sz w:val="22"/>
          <w:szCs w:val="22"/>
          <w:i w:val="1"/>
          <w:iCs w:val="1"/>
          <w:color w:val="auto"/>
        </w:rPr>
        <w:t xml:space="preserve"> </w:t>
      </w:r>
      <w:r>
        <w:rPr>
          <w:rFonts w:ascii="Arial" w:cs="Arial" w:eastAsia="Arial" w:hAnsi="Arial"/>
          <w:sz w:val="22"/>
          <w:szCs w:val="22"/>
          <w:color w:val="auto"/>
        </w:rPr>
        <w:t>withholding right pursuant to which an Insider elects to have the Company withhold shares of stock to satisfy tax withholding requirements upon the vesting of any restricted stock. This Policy does apply, however, to any market sale of any restricted stock.</w:t>
      </w:r>
    </w:p>
    <w:p>
      <w:pPr>
        <w:sectPr>
          <w:pgSz w:w="11900" w:h="16838" w:orient="portrait"/>
          <w:cols w:equalWidth="0" w:num="1">
            <w:col w:w="11080"/>
          </w:cols>
          <w:pgMar w:left="320" w:top="1421" w:right="499" w:bottom="1440" w:gutter="0" w:footer="0" w:header="0"/>
        </w:sectPr>
      </w:pPr>
    </w:p>
    <w:bookmarkStart w:id="76" w:name="page77"/>
    <w:bookmarkEnd w:id="76"/>
    <w:p>
      <w:pPr>
        <w:spacing w:after="0" w:line="249" w:lineRule="auto"/>
        <w:rPr>
          <w:sz w:val="20"/>
          <w:szCs w:val="20"/>
          <w:color w:val="auto"/>
        </w:rPr>
      </w:pPr>
      <w:r>
        <w:rPr>
          <w:rFonts w:ascii="Arial" w:cs="Arial" w:eastAsia="Arial" w:hAnsi="Arial"/>
          <w:sz w:val="22"/>
          <w:szCs w:val="22"/>
          <w:i w:val="1"/>
          <w:iCs w:val="1"/>
          <w:u w:val="single" w:color="auto"/>
          <w:color w:val="auto"/>
        </w:rPr>
        <w:t>Stock Option Exercises</w:t>
      </w:r>
      <w:r>
        <w:rPr>
          <w:rFonts w:ascii="Arial" w:cs="Arial" w:eastAsia="Arial" w:hAnsi="Arial"/>
          <w:sz w:val="22"/>
          <w:szCs w:val="22"/>
          <w:color w:val="auto"/>
        </w:rPr>
        <w:t>. This Policy does not apply to the exercise of an employee stock option awarded under a</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plan, or to the exercise of a tax withholding right pursuant to which an Insider elects to have the Company withhold shares to satisfy tax withholding requirements. This Policy does apply, however, to any sale of stock as part of a broker-assisted exercise of an option, or any other market sale for the purpose of generating the cash needed to pay the exercise price of an option. In other words, an Insider may exercise an option at any time without having to worry about insider trading issues, but only if the Insider has the cash to pay the exercise price. A “cashless” exercise in which the broker immediately sells some of the shares to pay the exercise price would be subject to any closed trading periods and to this Policy.</w:t>
      </w:r>
    </w:p>
    <w:p>
      <w:pPr>
        <w:spacing w:after="0" w:line="222" w:lineRule="exact"/>
        <w:rPr>
          <w:sz w:val="20"/>
          <w:szCs w:val="20"/>
          <w:color w:val="auto"/>
        </w:rPr>
      </w:pPr>
    </w:p>
    <w:p>
      <w:pPr>
        <w:ind w:right="80"/>
        <w:spacing w:after="0" w:line="264" w:lineRule="auto"/>
        <w:rPr>
          <w:sz w:val="20"/>
          <w:szCs w:val="20"/>
          <w:color w:val="auto"/>
        </w:rPr>
      </w:pPr>
      <w:r>
        <w:rPr>
          <w:rFonts w:ascii="Arial" w:cs="Arial" w:eastAsia="Arial" w:hAnsi="Arial"/>
          <w:sz w:val="21"/>
          <w:szCs w:val="21"/>
          <w:i w:val="1"/>
          <w:iCs w:val="1"/>
          <w:u w:val="single" w:color="auto"/>
          <w:color w:val="auto"/>
        </w:rPr>
        <w:t>401(k) Plan</w:t>
      </w:r>
      <w:r>
        <w:rPr>
          <w:rFonts w:ascii="Arial" w:cs="Arial" w:eastAsia="Arial" w:hAnsi="Arial"/>
          <w:sz w:val="21"/>
          <w:szCs w:val="21"/>
          <w:color w:val="auto"/>
        </w:rPr>
        <w:t>. This Policy does not apply to purchases of Company stock in the 401(k) plan resulting from an Insider’s</w:t>
      </w:r>
      <w:r>
        <w:rPr>
          <w:rFonts w:ascii="Arial" w:cs="Arial" w:eastAsia="Arial" w:hAnsi="Arial"/>
          <w:sz w:val="21"/>
          <w:szCs w:val="21"/>
          <w:i w:val="1"/>
          <w:iCs w:val="1"/>
          <w:color w:val="auto"/>
        </w:rPr>
        <w:t xml:space="preserve"> </w:t>
      </w:r>
      <w:r>
        <w:rPr>
          <w:rFonts w:ascii="Arial" w:cs="Arial" w:eastAsia="Arial" w:hAnsi="Arial"/>
          <w:sz w:val="21"/>
          <w:szCs w:val="21"/>
          <w:color w:val="auto"/>
        </w:rPr>
        <w:t>periodic contribution of money to the plan pursuant to a payroll deduction election. This Policy does apply, however, to certain elections an Insider may make under the 401(k) plan, including (a) an election to increase or decrease periodic contributions that will be allocated to the Company stock fund, (b) an election to transfer an existing account balance into or out of the Company stock fund, (c) an election to borrow money against a 401(k) plan account if the loan will result in a liquidation of some or all of the Insider’s Company stock fund balance, and (d) an Insider’s election to pre-pay a plan loan if the prepayment will result in allocation of loan proceeds to the Company stock fund.</w:t>
      </w:r>
    </w:p>
    <w:p>
      <w:pPr>
        <w:spacing w:after="0" w:line="193"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i w:val="1"/>
          <w:iCs w:val="1"/>
          <w:u w:val="single" w:color="auto"/>
          <w:color w:val="auto"/>
        </w:rPr>
        <w:t>Employee Stock Purchase Plan</w:t>
      </w:r>
      <w:r>
        <w:rPr>
          <w:rFonts w:ascii="Arial" w:cs="Arial" w:eastAsia="Arial" w:hAnsi="Arial"/>
          <w:sz w:val="22"/>
          <w:szCs w:val="22"/>
          <w:color w:val="auto"/>
        </w:rPr>
        <w:t>. This Policy does not apply to purchases of Company Securities in the employee</w:t>
      </w:r>
      <w:r>
        <w:rPr>
          <w:rFonts w:ascii="Arial" w:cs="Arial" w:eastAsia="Arial" w:hAnsi="Arial"/>
          <w:sz w:val="22"/>
          <w:szCs w:val="22"/>
          <w:i w:val="1"/>
          <w:iCs w:val="1"/>
          <w:color w:val="auto"/>
        </w:rPr>
        <w:t xml:space="preserve"> </w:t>
      </w:r>
      <w:r>
        <w:rPr>
          <w:rFonts w:ascii="Arial" w:cs="Arial" w:eastAsia="Arial" w:hAnsi="Arial"/>
          <w:sz w:val="22"/>
          <w:szCs w:val="22"/>
          <w:color w:val="auto"/>
        </w:rPr>
        <w:t>stock purchase plan resulting from an Insider’s periodic contribution of money to the plan pursuant to the election made at the time of enrollment in the plan. This Policy also does not apply to purchases of Company Securities resulting from lump sum contributions to the plan, provided that the Insider elected to participate by lump-sum payment at the beginning of the applicable enrollment period. This Policy does apply to an Insider’s election to participate in the plan for any enrollment period, and to an Insider’s sales of Company Securities purchased pursuant to the plan.</w:t>
      </w:r>
    </w:p>
    <w:p>
      <w:pPr>
        <w:spacing w:after="0" w:line="207"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i w:val="1"/>
          <w:iCs w:val="1"/>
          <w:u w:val="single" w:color="auto"/>
          <w:color w:val="auto"/>
        </w:rPr>
        <w:t>Dividend Reinvestment Plan</w:t>
      </w:r>
      <w:r>
        <w:rPr>
          <w:rFonts w:ascii="Arial" w:cs="Arial" w:eastAsia="Arial" w:hAnsi="Arial"/>
          <w:sz w:val="22"/>
          <w:szCs w:val="22"/>
          <w:color w:val="auto"/>
        </w:rPr>
        <w:t>. This Policy does not apply to purchases of Company Securities under the Company’s</w:t>
      </w:r>
      <w:r>
        <w:rPr>
          <w:rFonts w:ascii="Arial" w:cs="Arial" w:eastAsia="Arial" w:hAnsi="Arial"/>
          <w:sz w:val="22"/>
          <w:szCs w:val="22"/>
          <w:i w:val="1"/>
          <w:iCs w:val="1"/>
          <w:color w:val="auto"/>
        </w:rPr>
        <w:t xml:space="preserve"> </w:t>
      </w:r>
      <w:r>
        <w:rPr>
          <w:rFonts w:ascii="Arial" w:cs="Arial" w:eastAsia="Arial" w:hAnsi="Arial"/>
          <w:sz w:val="22"/>
          <w:szCs w:val="22"/>
          <w:color w:val="auto"/>
        </w:rPr>
        <w:t>dividend reinvestment plan resulting from an Insider’s reinvestment of dividends paid on Company Securities. This Policy does apply, however, to voluntary purchases of Company Securities resulting from additional contributions an Insider chooses to make to the dividend reinvestment plan, and to an Insider’s election to participate in the plan or increase the level of participation in the plan. This</w:t>
      </w:r>
    </w:p>
    <w:p>
      <w:pPr>
        <w:sectPr>
          <w:pgSz w:w="11900" w:h="16838" w:orient="portrait"/>
          <w:cols w:equalWidth="0" w:num="1">
            <w:col w:w="11200"/>
          </w:cols>
          <w:pgMar w:left="320" w:top="1423" w:right="37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Policy also applies to an Insider’s sale of any Company Securities purchased pursuant to the plan.</w:t>
      </w:r>
    </w:p>
    <w:p>
      <w:pPr>
        <w:spacing w:after="0" w:line="247" w:lineRule="exact"/>
        <w:rPr>
          <w:sz w:val="20"/>
          <w:szCs w:val="20"/>
          <w:color w:val="auto"/>
        </w:rPr>
      </w:pPr>
    </w:p>
    <w:p>
      <w:pPr>
        <w:ind w:right="120"/>
        <w:spacing w:after="0" w:line="272" w:lineRule="auto"/>
        <w:rPr>
          <w:sz w:val="20"/>
          <w:szCs w:val="20"/>
          <w:color w:val="auto"/>
        </w:rPr>
      </w:pPr>
      <w:r>
        <w:rPr>
          <w:rFonts w:ascii="Arial" w:cs="Arial" w:eastAsia="Arial" w:hAnsi="Arial"/>
          <w:sz w:val="22"/>
          <w:szCs w:val="22"/>
          <w:i w:val="1"/>
          <w:iCs w:val="1"/>
          <w:u w:val="single" w:color="auto"/>
          <w:color w:val="auto"/>
        </w:rPr>
        <w:t>Other Similar Transactions</w:t>
      </w:r>
      <w:r>
        <w:rPr>
          <w:rFonts w:ascii="Arial" w:cs="Arial" w:eastAsia="Arial" w:hAnsi="Arial"/>
          <w:sz w:val="22"/>
          <w:szCs w:val="22"/>
          <w:i w:val="1"/>
          <w:iCs w:val="1"/>
          <w:color w:val="auto"/>
        </w:rPr>
        <w:t xml:space="preserve"> </w:t>
      </w:r>
      <w:r>
        <w:rPr>
          <w:rFonts w:ascii="Arial" w:cs="Arial" w:eastAsia="Arial" w:hAnsi="Arial"/>
          <w:sz w:val="22"/>
          <w:szCs w:val="22"/>
          <w:color w:val="auto"/>
        </w:rPr>
        <w:t>. Other similar purchases of Company Securities from the Company or sales of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to the Company are not subject to this Policy.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Transactions Not Involving a Purchase or Sale</w:t>
      </w:r>
    </w:p>
    <w:p>
      <w:pPr>
        <w:spacing w:after="0" w:line="24" w:lineRule="exact"/>
        <w:rPr>
          <w:sz w:val="20"/>
          <w:szCs w:val="20"/>
          <w:color w:val="auto"/>
        </w:rPr>
      </w:pPr>
    </w:p>
    <w:p>
      <w:pPr>
        <w:ind w:right="60"/>
        <w:spacing w:after="0" w:line="261" w:lineRule="auto"/>
        <w:rPr>
          <w:sz w:val="20"/>
          <w:szCs w:val="20"/>
          <w:color w:val="auto"/>
        </w:rPr>
      </w:pPr>
      <w:r>
        <w:rPr>
          <w:rFonts w:ascii="Arial" w:cs="Arial" w:eastAsia="Arial" w:hAnsi="Arial"/>
          <w:sz w:val="21"/>
          <w:szCs w:val="21"/>
          <w:color w:val="auto"/>
        </w:rPr>
        <w:t>Bona fide gifts of Company Securities are not transactions subject to this Policy. However, whether a gift is truly “bona fide” will depend on the circumstances surrounding a specific gift. The more unrelated the recipient is to the donor, the more likely the gift would be considered “bona fide” and not a “transaction.” For example, gifts to charities, churches or non-profit organizations would not be deemed to be “transactions.” However, gifts to dependent children followed by a sale of the “gifted securities” in close proximity to the time of the gift may imply some economic benefit to the donor and, therefore, may be deemed to be a “transaction” and not a “bona fide gift.”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Rule 10b5-1 Plans</w:t>
      </w:r>
    </w:p>
    <w:p>
      <w:pPr>
        <w:spacing w:after="0" w:line="2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Rule 10b5-1 under the Securities Exchange Act of 1934 (the “Exchange Act”) provides a defense from insider trading liability under Rule 10b-5 if a plan is entered into that meets certain conditions specified in the Rule (a “Rule 10b5-1 Plan”). Any Rule 10b5-1 Plan must be approved by the Administrator. See Annex C for further information regarding Rule 10b5-1 Plans.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Consequences</w:t>
      </w:r>
    </w:p>
    <w:p>
      <w:pPr>
        <w:spacing w:after="0" w:line="26" w:lineRule="exact"/>
        <w:rPr>
          <w:sz w:val="20"/>
          <w:szCs w:val="20"/>
          <w:color w:val="auto"/>
        </w:rPr>
      </w:pPr>
    </w:p>
    <w:p>
      <w:pPr>
        <w:ind w:right="100"/>
        <w:spacing w:after="0" w:line="247" w:lineRule="auto"/>
        <w:rPr>
          <w:sz w:val="20"/>
          <w:szCs w:val="20"/>
          <w:color w:val="auto"/>
        </w:rPr>
      </w:pPr>
      <w:r>
        <w:rPr>
          <w:rFonts w:ascii="Arial" w:cs="Arial" w:eastAsia="Arial" w:hAnsi="Arial"/>
          <w:sz w:val="22"/>
          <w:szCs w:val="22"/>
          <w:color w:val="auto"/>
        </w:rPr>
        <w:t>The purchase or sale of stock or other securities of a company while aware of material nonpublic information of that company, or the disclosure of material nonpublic information to others who then trade, is prohibited by the federal securities laws. Insider trading violations are pursued vigorously by the U.S. Securities and Exchange Commission (the “SEC”) and are punished severely. While the regulatory authorities concentrate their efforts on the individuals who trade, or who tip inside information to others who trade, the federal securities laws also can impose liability on companies and other “controlling persons” if they fail to take reasonable steps to prevent insider trading by company personnel.</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Individuals who trade on insider information (or tip information to others) can be subject to the following penalties:</w:t>
      </w:r>
    </w:p>
    <w:p>
      <w:pPr>
        <w:spacing w:after="0" w:line="3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22"/>
          <w:szCs w:val="22"/>
          <w:color w:val="auto"/>
        </w:rPr>
      </w:pPr>
      <w:r>
        <w:rPr>
          <w:rFonts w:ascii="Arial" w:cs="Arial" w:eastAsia="Arial" w:hAnsi="Arial"/>
          <w:sz w:val="22"/>
          <w:szCs w:val="22"/>
          <w:color w:val="auto"/>
        </w:rPr>
        <w:t>A civil penalty of up to three times the profit gained or loss avoided;</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1"/>
        </w:numPr>
        <w:rPr>
          <w:rFonts w:ascii="Times New Roman" w:cs="Times New Roman" w:eastAsia="Times New Roman" w:hAnsi="Times New Roman"/>
          <w:sz w:val="22"/>
          <w:szCs w:val="22"/>
          <w:color w:val="auto"/>
        </w:rPr>
      </w:pPr>
      <w:r>
        <w:rPr>
          <w:rFonts w:ascii="Arial" w:cs="Arial" w:eastAsia="Arial" w:hAnsi="Arial"/>
          <w:sz w:val="22"/>
          <w:szCs w:val="22"/>
          <w:color w:val="auto"/>
        </w:rPr>
        <w:t>A criminal fine of up to $5 million (no matter how small the profit); and</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1"/>
        </w:numPr>
        <w:rPr>
          <w:rFonts w:ascii="Times New Roman" w:cs="Times New Roman" w:eastAsia="Times New Roman" w:hAnsi="Times New Roman"/>
          <w:sz w:val="22"/>
          <w:szCs w:val="22"/>
          <w:color w:val="auto"/>
        </w:rPr>
      </w:pPr>
      <w:r>
        <w:rPr>
          <w:rFonts w:ascii="Arial" w:cs="Arial" w:eastAsia="Arial" w:hAnsi="Arial"/>
          <w:sz w:val="22"/>
          <w:szCs w:val="22"/>
          <w:color w:val="auto"/>
        </w:rPr>
        <w:t>A jail term of up to 20 years.</w:t>
      </w:r>
    </w:p>
    <w:p>
      <w:pPr>
        <w:sectPr>
          <w:pgSz w:w="11900" w:h="16838" w:orient="portrait"/>
          <w:cols w:equalWidth="0" w:num="1">
            <w:col w:w="11180"/>
          </w:cols>
          <w:pgMar w:left="320" w:top="1423" w:right="399" w:bottom="1440" w:gutter="0" w:footer="0" w:header="0"/>
        </w:sectPr>
      </w:pPr>
    </w:p>
    <w:bookmarkStart w:id="78" w:name="page79"/>
    <w:bookmarkEnd w:id="78"/>
    <w:p>
      <w:pPr>
        <w:ind w:right="140"/>
        <w:spacing w:after="0" w:line="272" w:lineRule="auto"/>
        <w:rPr>
          <w:sz w:val="20"/>
          <w:szCs w:val="20"/>
          <w:color w:val="auto"/>
        </w:rPr>
      </w:pPr>
      <w:r>
        <w:rPr>
          <w:rFonts w:ascii="Arial" w:cs="Arial" w:eastAsia="Arial" w:hAnsi="Arial"/>
          <w:sz w:val="22"/>
          <w:szCs w:val="22"/>
          <w:color w:val="auto"/>
        </w:rPr>
        <w:t>The Company and its officers and managers are also subject to severe penalties if they fail to take appropriate steps to prevent illegal insider trading.</w:t>
      </w:r>
    </w:p>
    <w:p>
      <w:pPr>
        <w:spacing w:after="0" w:line="183" w:lineRule="exact"/>
        <w:rPr>
          <w:sz w:val="20"/>
          <w:szCs w:val="20"/>
          <w:color w:val="auto"/>
        </w:rPr>
      </w:pPr>
    </w:p>
    <w:p>
      <w:pPr>
        <w:ind w:right="180"/>
        <w:spacing w:after="0" w:line="257" w:lineRule="auto"/>
        <w:rPr>
          <w:sz w:val="20"/>
          <w:szCs w:val="20"/>
          <w:color w:val="auto"/>
        </w:rPr>
      </w:pPr>
      <w:r>
        <w:rPr>
          <w:rFonts w:ascii="Arial" w:cs="Arial" w:eastAsia="Arial" w:hAnsi="Arial"/>
          <w:sz w:val="22"/>
          <w:szCs w:val="22"/>
          <w:color w:val="auto"/>
        </w:rPr>
        <w:t>The Company considers strict compliance with this Policy to be a matter of the highest importance. Violations of this Policy could cause embarrassment and legal liability to you and the Company. Violations of the letter or spirit of this Policy will be grounds for disciplinary actions, up to and including dismissal. A violation of law, or even an SEC investigation that does not result in prosecution, can tarnish your reputation and damage your career.</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Miscellaneous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Applicability to Company</w:t>
      </w:r>
    </w:p>
    <w:p>
      <w:pPr>
        <w:spacing w:after="0" w:line="11" w:lineRule="exact"/>
        <w:rPr>
          <w:sz w:val="20"/>
          <w:szCs w:val="20"/>
          <w:color w:val="auto"/>
        </w:rPr>
      </w:pPr>
    </w:p>
    <w:p>
      <w:pPr>
        <w:ind w:right="100"/>
        <w:spacing w:after="0" w:line="259" w:lineRule="auto"/>
        <w:rPr>
          <w:sz w:val="20"/>
          <w:szCs w:val="20"/>
          <w:color w:val="auto"/>
        </w:rPr>
      </w:pPr>
      <w:r>
        <w:rPr>
          <w:rFonts w:ascii="Arial" w:cs="Arial" w:eastAsia="Arial" w:hAnsi="Arial"/>
          <w:sz w:val="22"/>
          <w:szCs w:val="22"/>
          <w:color w:val="auto"/>
        </w:rPr>
        <w:t>Except as pursuant to a Rule 10b5-1 Plan, the Company will not engage in transactions in Company Securities while aware of material nonpublic information relating to the Company or Company Securities.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Post-Termination Transaction</w:t>
      </w:r>
    </w:p>
    <w:p>
      <w:pPr>
        <w:spacing w:after="0" w:line="24"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This Policy continues to apply to an Insider’s transactions in Company Securities even after termination of employment. If an Insider is in possession of material nonpublic information when the Insider’s employment terminates, that Insider may not trade in Company Securities until the information has become public or is no longer material.</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Individual Responsibility</w:t>
      </w:r>
    </w:p>
    <w:p>
      <w:pPr>
        <w:spacing w:after="0" w:line="24"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Persons subject to this Policy have ethical and legal obligations to maintain the confidentiality of information about the Company and not to engage in transactions in Company Securities while in possession of material nonpublic information. Each Insider is responsible for making sure that he or she complies with this Policy, and that any Family Member or entity whose transactions are subject to this Policy, also comply with this Policy. In all cases, the responsibility for determining whether an individual is in possession of material nonpublic information rests with that individual, and any action on the part of the Company, the Administrator or any other employee or director pursuant to this Policy (or otherwise) does not in any way constitute legal advice or insulate an individual from liability under applicable securities laws.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Administration of the Policy</w:t>
      </w:r>
    </w:p>
    <w:p>
      <w:pPr>
        <w:spacing w:after="0" w:line="24" w:lineRule="exact"/>
        <w:rPr>
          <w:sz w:val="20"/>
          <w:szCs w:val="20"/>
          <w:color w:val="auto"/>
        </w:rPr>
      </w:pPr>
    </w:p>
    <w:p>
      <w:pPr>
        <w:spacing w:after="0" w:line="262" w:lineRule="auto"/>
        <w:rPr>
          <w:sz w:val="20"/>
          <w:szCs w:val="20"/>
          <w:color w:val="auto"/>
        </w:rPr>
      </w:pPr>
      <w:r>
        <w:rPr>
          <w:rFonts w:ascii="Arial" w:cs="Arial" w:eastAsia="Arial" w:hAnsi="Arial"/>
          <w:sz w:val="21"/>
          <w:szCs w:val="21"/>
          <w:color w:val="auto"/>
        </w:rPr>
        <w:t>The Company's General Counsel shall serve as the “Administrator” for the purposes of this Policy, and in the absence of the General Counsel, the Chief Financial Officer or another employee designated by the Administrator or the Board of Directors shall be responsible for administration of this Policy. All determinations and interpretations by the Administrator shall be final and not subject to further review. The Administrator may, as necessary, update the</w:t>
      </w:r>
    </w:p>
    <w:p>
      <w:pPr>
        <w:sectPr>
          <w:pgSz w:w="11900" w:h="16838" w:orient="portrait"/>
          <w:cols w:equalWidth="0" w:num="1">
            <w:col w:w="11240"/>
          </w:cols>
          <w:pgMar w:left="320" w:top="1423"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terms of this Policy from time to time as required by changes or developments in law.</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Confidentiality Generally</w:t>
      </w:r>
    </w:p>
    <w:p>
      <w:pPr>
        <w:spacing w:after="0" w:line="24" w:lineRule="exact"/>
        <w:rPr>
          <w:sz w:val="20"/>
          <w:szCs w:val="20"/>
          <w:color w:val="auto"/>
        </w:rPr>
      </w:pPr>
    </w:p>
    <w:p>
      <w:pPr>
        <w:ind w:right="320"/>
        <w:spacing w:after="0" w:line="254" w:lineRule="auto"/>
        <w:rPr>
          <w:sz w:val="20"/>
          <w:szCs w:val="20"/>
          <w:color w:val="auto"/>
        </w:rPr>
      </w:pPr>
      <w:r>
        <w:rPr>
          <w:rFonts w:ascii="Arial" w:cs="Arial" w:eastAsia="Arial" w:hAnsi="Arial"/>
          <w:sz w:val="22"/>
          <w:szCs w:val="22"/>
          <w:color w:val="auto"/>
        </w:rPr>
        <w:t>Company personnel should not discuss internal Company matters or developments with anyone outside the Company (including in an internet-based forum), whether or not for the purpose of trading, except as required and authorized in the performance of regular Company duties or in accordance with Company policy.</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22"/>
          <w:szCs w:val="22"/>
          <w:color w:val="auto"/>
        </w:rPr>
        <w:t>The Company must also avoid selective disclosure of material nonpublic information under Regulation FD of federal securities laws. The Company has established procedures for releasing information in a manner compliant with these securities laws as outlined in the Company’s Communication Guidelines.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Questions</w:t>
      </w:r>
    </w:p>
    <w:p>
      <w:pPr>
        <w:spacing w:after="0" w:line="24" w:lineRule="exact"/>
        <w:rPr>
          <w:sz w:val="20"/>
          <w:szCs w:val="20"/>
          <w:color w:val="auto"/>
        </w:rPr>
      </w:pPr>
    </w:p>
    <w:p>
      <w:pPr>
        <w:ind w:right="580"/>
        <w:spacing w:after="0" w:line="253" w:lineRule="auto"/>
        <w:rPr>
          <w:sz w:val="20"/>
          <w:szCs w:val="20"/>
          <w:color w:val="auto"/>
        </w:rPr>
      </w:pPr>
      <w:r>
        <w:rPr>
          <w:rFonts w:ascii="Arial" w:cs="Arial" w:eastAsia="Arial" w:hAnsi="Arial"/>
          <w:sz w:val="22"/>
          <w:szCs w:val="22"/>
          <w:color w:val="auto"/>
        </w:rPr>
        <w:t>Anyone who has a question about this Policy or its application to any proposed transaction may seek additional guidance from the Administrator or the Chief Financial Officer.</w:t>
      </w:r>
    </w:p>
    <w:p>
      <w:pPr>
        <w:sectPr>
          <w:pgSz w:w="11900" w:h="16838" w:orient="portrait"/>
          <w:cols w:equalWidth="0" w:num="1">
            <w:col w:w="11180"/>
          </w:cols>
          <w:pgMar w:left="320" w:top="1423" w:right="399" w:bottom="1440" w:gutter="0" w:footer="0" w:header="0"/>
        </w:sectPr>
      </w:pPr>
    </w:p>
    <w:bookmarkStart w:id="80" w:name="page81"/>
    <w:bookmarkEnd w:id="80"/>
    <w:p>
      <w:pPr>
        <w:jc w:val="center"/>
        <w:ind w:right="-79"/>
        <w:spacing w:after="0"/>
        <w:rPr>
          <w:sz w:val="20"/>
          <w:szCs w:val="20"/>
          <w:color w:val="auto"/>
        </w:rPr>
      </w:pPr>
      <w:r>
        <w:rPr>
          <w:rFonts w:ascii="Arial" w:cs="Arial" w:eastAsia="Arial" w:hAnsi="Arial"/>
          <w:sz w:val="22"/>
          <w:szCs w:val="22"/>
          <w:b w:val="1"/>
          <w:bCs w:val="1"/>
          <w:color w:val="auto"/>
        </w:rPr>
        <w:t>Annex A: Prohibited Transactions</w:t>
      </w:r>
    </w:p>
    <w:p>
      <w:pPr>
        <w:spacing w:after="0" w:line="26" w:lineRule="exact"/>
        <w:rPr>
          <w:sz w:val="20"/>
          <w:szCs w:val="20"/>
          <w:color w:val="auto"/>
        </w:rPr>
      </w:pPr>
    </w:p>
    <w:p>
      <w:pPr>
        <w:ind w:right="880"/>
        <w:spacing w:after="0" w:line="253" w:lineRule="auto"/>
        <w:rPr>
          <w:sz w:val="20"/>
          <w:szCs w:val="20"/>
          <w:color w:val="auto"/>
        </w:rPr>
      </w:pPr>
      <w:r>
        <w:rPr>
          <w:rFonts w:ascii="Arial" w:cs="Arial" w:eastAsia="Arial" w:hAnsi="Arial"/>
          <w:sz w:val="22"/>
          <w:szCs w:val="22"/>
          <w:color w:val="auto"/>
        </w:rPr>
        <w:t>Below is further information on certain prohibited transactions. If you have any questions about any of these restrictions, please contact the Administrator.</w:t>
      </w:r>
    </w:p>
    <w:p>
      <w:pPr>
        <w:spacing w:after="0" w:line="216" w:lineRule="exact"/>
        <w:rPr>
          <w:sz w:val="20"/>
          <w:szCs w:val="20"/>
          <w:color w:val="auto"/>
        </w:rPr>
      </w:pPr>
    </w:p>
    <w:p>
      <w:pPr>
        <w:spacing w:after="0" w:line="250" w:lineRule="auto"/>
        <w:rPr>
          <w:sz w:val="20"/>
          <w:szCs w:val="20"/>
          <w:color w:val="auto"/>
        </w:rPr>
      </w:pPr>
      <w:r>
        <w:rPr>
          <w:rFonts w:ascii="Arial" w:cs="Arial" w:eastAsia="Arial" w:hAnsi="Arial"/>
          <w:sz w:val="22"/>
          <w:szCs w:val="22"/>
          <w:i w:val="1"/>
          <w:iCs w:val="1"/>
          <w:u w:val="single" w:color="auto"/>
          <w:color w:val="auto"/>
        </w:rPr>
        <w:t>Short Sales</w:t>
      </w:r>
      <w:r>
        <w:rPr>
          <w:rFonts w:ascii="Arial" w:cs="Arial" w:eastAsia="Arial" w:hAnsi="Arial"/>
          <w:sz w:val="22"/>
          <w:szCs w:val="22"/>
          <w:color w:val="auto"/>
        </w:rPr>
        <w:t>. Short sales of the Company’s Securities may suggest that the seller believes that the securities will</w:t>
      </w:r>
      <w:r>
        <w:rPr>
          <w:rFonts w:ascii="Arial" w:cs="Arial" w:eastAsia="Arial" w:hAnsi="Arial"/>
          <w:sz w:val="22"/>
          <w:szCs w:val="22"/>
          <w:i w:val="1"/>
          <w:iCs w:val="1"/>
          <w:color w:val="auto"/>
        </w:rPr>
        <w:t xml:space="preserve"> </w:t>
      </w:r>
      <w:r>
        <w:rPr>
          <w:rFonts w:ascii="Arial" w:cs="Arial" w:eastAsia="Arial" w:hAnsi="Arial"/>
          <w:sz w:val="22"/>
          <w:szCs w:val="22"/>
          <w:color w:val="auto"/>
        </w:rPr>
        <w:t>decline in value, and therefore have the potential to signal the market that the seller has no confidence in the Company or its short-term prospects. In addition, short sales may reduce the seller’s incentive to seek to improve the Company’s performance. For these reasons, short sales of the Company Securities are prohibited by this Policy. In addition, Section 16(c) of the Exchange Act prohibits Section 16 Insiders from engaging in short sales.</w:t>
      </w:r>
    </w:p>
    <w:p>
      <w:pPr>
        <w:spacing w:after="0" w:line="221"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i w:val="1"/>
          <w:iCs w:val="1"/>
          <w:u w:val="single" w:color="auto"/>
          <w:color w:val="auto"/>
        </w:rPr>
        <w:t>Publicly Traded Options</w:t>
      </w:r>
      <w:r>
        <w:rPr>
          <w:rFonts w:ascii="Arial" w:cs="Arial" w:eastAsia="Arial" w:hAnsi="Arial"/>
          <w:sz w:val="22"/>
          <w:szCs w:val="22"/>
          <w:color w:val="auto"/>
        </w:rPr>
        <w:t>. A transaction in options is, in effect, a bet on the short-term movement of the Company’s</w:t>
      </w:r>
      <w:r>
        <w:rPr>
          <w:rFonts w:ascii="Arial" w:cs="Arial" w:eastAsia="Arial" w:hAnsi="Arial"/>
          <w:sz w:val="22"/>
          <w:szCs w:val="22"/>
          <w:i w:val="1"/>
          <w:iCs w:val="1"/>
          <w:color w:val="auto"/>
        </w:rPr>
        <w:t xml:space="preserve"> </w:t>
      </w:r>
      <w:r>
        <w:rPr>
          <w:rFonts w:ascii="Arial" w:cs="Arial" w:eastAsia="Arial" w:hAnsi="Arial"/>
          <w:sz w:val="22"/>
          <w:szCs w:val="22"/>
          <w:color w:val="auto"/>
        </w:rPr>
        <w:t>stock and therefore creates the appearance that the Insider is trading based on inside information. Transactions in options also may focus the director’s or employee’s attention on short-term performance at the expense of the Company’s long-term objectives. Accordingly, transactions in puts, calls or other derivative securities, on an exchange or in any other organized market, are prohibited by this Policy.</w:t>
      </w:r>
    </w:p>
    <w:p>
      <w:pPr>
        <w:spacing w:after="0" w:line="208"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i w:val="1"/>
          <w:iCs w:val="1"/>
          <w:u w:val="single" w:color="auto"/>
          <w:color w:val="auto"/>
        </w:rPr>
        <w:t>Hedging Transactions</w:t>
      </w:r>
      <w:r>
        <w:rPr>
          <w:rFonts w:ascii="Arial" w:cs="Arial" w:eastAsia="Arial" w:hAnsi="Arial"/>
          <w:sz w:val="22"/>
          <w:szCs w:val="22"/>
          <w:color w:val="auto"/>
        </w:rPr>
        <w:t>. Hedging or monetization transactions can be accomplished through several possible</w:t>
      </w:r>
      <w:r>
        <w:rPr>
          <w:rFonts w:ascii="Arial" w:cs="Arial" w:eastAsia="Arial" w:hAnsi="Arial"/>
          <w:sz w:val="22"/>
          <w:szCs w:val="22"/>
          <w:i w:val="1"/>
          <w:iCs w:val="1"/>
          <w:color w:val="auto"/>
        </w:rPr>
        <w:t xml:space="preserve"> </w:t>
      </w:r>
      <w:r>
        <w:rPr>
          <w:rFonts w:ascii="Arial" w:cs="Arial" w:eastAsia="Arial" w:hAnsi="Arial"/>
          <w:sz w:val="22"/>
          <w:szCs w:val="22"/>
          <w:color w:val="auto"/>
        </w:rPr>
        <w:t>mechanisms, including through the use of financial instruments such as prepaid variable forwards, equity swaps, collars and exchange funds. Such hedging transactions may permit an Insider to continue to own Company Securities obtained through employee benefit plans or otherwise, but without the full risks and rewards of ownership. When that occurs, the Insider may no longer have the same objectives as the Company’s other shareholders. Therefore, Insiders are prohibited from engaging in any such transactions.</w:t>
      </w:r>
    </w:p>
    <w:p>
      <w:pPr>
        <w:spacing w:after="0" w:line="222" w:lineRule="exact"/>
        <w:rPr>
          <w:sz w:val="20"/>
          <w:szCs w:val="20"/>
          <w:color w:val="auto"/>
        </w:rPr>
      </w:pPr>
    </w:p>
    <w:p>
      <w:pPr>
        <w:ind w:right="40"/>
        <w:spacing w:after="0" w:line="262" w:lineRule="auto"/>
        <w:rPr>
          <w:sz w:val="20"/>
          <w:szCs w:val="20"/>
          <w:color w:val="auto"/>
        </w:rPr>
      </w:pPr>
      <w:r>
        <w:rPr>
          <w:rFonts w:ascii="Arial" w:cs="Arial" w:eastAsia="Arial" w:hAnsi="Arial"/>
          <w:sz w:val="21"/>
          <w:szCs w:val="21"/>
          <w:i w:val="1"/>
          <w:iCs w:val="1"/>
          <w:u w:val="single" w:color="auto"/>
          <w:color w:val="auto"/>
        </w:rPr>
        <w:t>Margin Accounts and Pledges</w:t>
      </w:r>
      <w:r>
        <w:rPr>
          <w:rFonts w:ascii="Arial" w:cs="Arial" w:eastAsia="Arial" w:hAnsi="Arial"/>
          <w:sz w:val="21"/>
          <w:szCs w:val="21"/>
          <w:color w:val="auto"/>
        </w:rPr>
        <w:t>. Stock held in a margin account may be sold by the broker without the customer’s</w:t>
      </w:r>
      <w:r>
        <w:rPr>
          <w:rFonts w:ascii="Arial" w:cs="Arial" w:eastAsia="Arial" w:hAnsi="Arial"/>
          <w:sz w:val="21"/>
          <w:szCs w:val="21"/>
          <w:i w:val="1"/>
          <w:iCs w:val="1"/>
          <w:color w:val="auto"/>
        </w:rPr>
        <w:t xml:space="preserve"> </w:t>
      </w:r>
      <w:r>
        <w:rPr>
          <w:rFonts w:ascii="Arial" w:cs="Arial" w:eastAsia="Arial" w:hAnsi="Arial"/>
          <w:sz w:val="21"/>
          <w:szCs w:val="21"/>
          <w:color w:val="auto"/>
        </w:rPr>
        <w:t>consent if the customer fails to meet a margin call. Similarly, stock pledged (or hypothecated) as collateral for a loan may be sold in foreclosure if the borrower defaults on the loan. Because a margin sale or foreclosure sale may occur at a time when the borrower is aware of material nonpublic information or otherwise is not permitted to trade in Company Securities, Insiders are prohibited from holding Company Securities in a margin account or pledging Company Securities as collateral for a loan. An exception may be granted where a person wishes to pledge Company Securities as collateral for a loan (not including margin debt) and clearly demonstrates the financial capacity to repay the loan without resorting to the pledged stock. Any person who wishes to pledge Company</w:t>
      </w:r>
    </w:p>
    <w:p>
      <w:pPr>
        <w:sectPr>
          <w:pgSz w:w="11900" w:h="16838" w:orient="portrait"/>
          <w:cols w:equalWidth="0" w:num="1">
            <w:col w:w="11160"/>
          </w:cols>
          <w:pgMar w:left="320" w:top="1421" w:right="419" w:bottom="1440" w:gutter="0" w:footer="0" w:header="0"/>
        </w:sectPr>
      </w:pPr>
    </w:p>
    <w:bookmarkStart w:id="81" w:name="page82"/>
    <w:bookmarkEnd w:id="81"/>
    <w:p>
      <w:pPr>
        <w:ind w:right="200"/>
        <w:spacing w:after="0" w:line="272" w:lineRule="auto"/>
        <w:rPr>
          <w:sz w:val="20"/>
          <w:szCs w:val="20"/>
          <w:color w:val="auto"/>
        </w:rPr>
      </w:pPr>
      <w:r>
        <w:rPr>
          <w:rFonts w:ascii="Arial" w:cs="Arial" w:eastAsia="Arial" w:hAnsi="Arial"/>
          <w:sz w:val="22"/>
          <w:szCs w:val="22"/>
          <w:color w:val="auto"/>
        </w:rPr>
        <w:t>Securities as collateral for a loan must submit a request for approval to the Administrator at least ten business days prior to the proposed pledge.</w:t>
      </w:r>
    </w:p>
    <w:p>
      <w:pPr>
        <w:spacing w:after="0" w:line="183" w:lineRule="exact"/>
        <w:rPr>
          <w:sz w:val="20"/>
          <w:szCs w:val="20"/>
          <w:color w:val="auto"/>
        </w:rPr>
      </w:pPr>
    </w:p>
    <w:p>
      <w:pPr>
        <w:spacing w:after="0" w:line="252" w:lineRule="auto"/>
        <w:rPr>
          <w:sz w:val="20"/>
          <w:szCs w:val="20"/>
          <w:color w:val="auto"/>
        </w:rPr>
      </w:pPr>
      <w:r>
        <w:rPr>
          <w:rFonts w:ascii="Arial" w:cs="Arial" w:eastAsia="Arial" w:hAnsi="Arial"/>
          <w:sz w:val="22"/>
          <w:szCs w:val="22"/>
          <w:i w:val="1"/>
          <w:iCs w:val="1"/>
          <w:u w:val="single" w:color="auto"/>
          <w:color w:val="auto"/>
        </w:rPr>
        <w:t>Standing and Limit Orders</w:t>
      </w:r>
      <w:r>
        <w:rPr>
          <w:rFonts w:ascii="Arial" w:cs="Arial" w:eastAsia="Arial" w:hAnsi="Arial"/>
          <w:sz w:val="22"/>
          <w:szCs w:val="22"/>
          <w:color w:val="auto"/>
        </w:rPr>
        <w:t>. Standing and limit orders (except standing and limit orders under approved Rule 10b5-1</w:t>
      </w:r>
      <w:r>
        <w:rPr>
          <w:rFonts w:ascii="Arial" w:cs="Arial" w:eastAsia="Arial" w:hAnsi="Arial"/>
          <w:sz w:val="22"/>
          <w:szCs w:val="22"/>
          <w:i w:val="1"/>
          <w:iCs w:val="1"/>
          <w:color w:val="auto"/>
        </w:rPr>
        <w:t xml:space="preserve"> </w:t>
      </w:r>
      <w:r>
        <w:rPr>
          <w:rFonts w:ascii="Arial" w:cs="Arial" w:eastAsia="Arial" w:hAnsi="Arial"/>
          <w:sz w:val="22"/>
          <w:szCs w:val="22"/>
          <w:color w:val="auto"/>
        </w:rPr>
        <w:t>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duration should not exceed three business days.</w:t>
      </w:r>
    </w:p>
    <w:p>
      <w:pPr>
        <w:sectPr>
          <w:pgSz w:w="11900" w:h="16838" w:orient="portrait"/>
          <w:cols w:equalWidth="0" w:num="1">
            <w:col w:w="11200"/>
          </w:cols>
          <w:pgMar w:left="320" w:top="1423" w:right="37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22"/>
          <w:szCs w:val="22"/>
          <w:b w:val="1"/>
          <w:bCs w:val="1"/>
          <w:color w:val="auto"/>
        </w:rPr>
        <w:t>Annex B: Section 16 Compliance Program</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[OMITTED]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Annex C: Guidelines for Rule 10B-5-1 Plans</w:t>
      </w:r>
    </w:p>
    <w:p>
      <w:pPr>
        <w:spacing w:after="0" w:line="39"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Rule 10b5-1 under the Exchange Act provides a defense from insider trading liability. In order to be eligible to rely on this defense, a person subject to the Company’s Trading in Company Securities Policy (the “Policy”) must enter into a Rule 10b5-1 plan for transactions in Company Securities (as defined in the Policy) that meets certain conditions specified in Rule 10b5-1 (a “Rule 10b5-1 Plan”). If the plan meets the requirements of Rule 10b5-1, Company Securities may be purchased or sold without regard to certain insider trading restrictions or closed trading periods. In general, a Rule 10b5-1 Plan must be adopted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Capitalized terms not defined herein shall have the meaning given such terms in the Trading in Company Securities Policy.</w:t>
      </w:r>
    </w:p>
    <w:p>
      <w:pPr>
        <w:spacing w:after="0" w:line="23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As specified in the Policy, a Rule 10b5-1 Plan must be approved by the Administrator and meet the requirements of Rule 10b5-1 and these guidelines. Any Rule 10b5-1 Plan must be submitted for approval one month prior to the entry into the Rule 10b5-1 Plan. No further pre-approval or clearance of transactions conducted pursuant to the Rule 10b5-1 Plan will be required, however Section 16 Insiders must provide notice of such transactions pursuant to the Section 16 Compliance Program, attached as Annex A to the Policy.</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guidelines apply to all Rule 10b5-1 Plans:</w:t>
      </w:r>
    </w:p>
    <w:p>
      <w:pPr>
        <w:spacing w:after="0" w:line="24" w:lineRule="exact"/>
        <w:rPr>
          <w:sz w:val="20"/>
          <w:szCs w:val="20"/>
          <w:color w:val="auto"/>
        </w:rPr>
      </w:pPr>
    </w:p>
    <w:p>
      <w:pPr>
        <w:ind w:left="660" w:right="80" w:hanging="328"/>
        <w:spacing w:after="0" w:line="245" w:lineRule="auto"/>
        <w:tabs>
          <w:tab w:leader="none" w:pos="655" w:val="left"/>
        </w:tabs>
        <w:numPr>
          <w:ilvl w:val="0"/>
          <w:numId w:val="32"/>
        </w:numPr>
        <w:rPr>
          <w:rFonts w:ascii="Times New Roman" w:cs="Times New Roman" w:eastAsia="Times New Roman" w:hAnsi="Times New Roman"/>
          <w:sz w:val="22"/>
          <w:szCs w:val="22"/>
          <w:color w:val="auto"/>
        </w:rPr>
      </w:pPr>
      <w:r>
        <w:rPr>
          <w:rFonts w:ascii="Arial" w:cs="Arial" w:eastAsia="Arial" w:hAnsi="Arial"/>
          <w:sz w:val="22"/>
          <w:szCs w:val="22"/>
          <w:color w:val="auto"/>
        </w:rPr>
        <w:t>You may not enter into, modify, or terminate a trading program during a closed trading period or while in possession of material nonpublic information. Section 16 Insiders must make a representation in the trading plan certifying that they are not aware of material nonpublic information about the Company or its securities and that the trading plan is being adopted in good faith and not in an attempt to evade the prohibitions of Rule 10b5-1.</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2"/>
        </w:numPr>
        <w:rPr>
          <w:rFonts w:ascii="Times New Roman" w:cs="Times New Roman" w:eastAsia="Times New Roman" w:hAnsi="Times New Roman"/>
          <w:sz w:val="22"/>
          <w:szCs w:val="22"/>
          <w:color w:val="auto"/>
        </w:rPr>
      </w:pPr>
      <w:r>
        <w:rPr>
          <w:rFonts w:ascii="Arial" w:cs="Arial" w:eastAsia="Arial" w:hAnsi="Arial"/>
          <w:sz w:val="22"/>
          <w:szCs w:val="22"/>
          <w:color w:val="auto"/>
        </w:rPr>
        <w:t>All Rule 10b5-1 Plans must have a duration of at least 6 months and no more than 2 years.</w:t>
      </w:r>
    </w:p>
    <w:p>
      <w:pPr>
        <w:spacing w:after="0" w:line="2" w:lineRule="exact"/>
        <w:rPr>
          <w:rFonts w:ascii="Times New Roman" w:cs="Times New Roman" w:eastAsia="Times New Roman" w:hAnsi="Times New Roman"/>
          <w:sz w:val="22"/>
          <w:szCs w:val="22"/>
          <w:color w:val="auto"/>
        </w:rPr>
      </w:pPr>
    </w:p>
    <w:p>
      <w:pPr>
        <w:ind w:left="660" w:right="220" w:hanging="328"/>
        <w:spacing w:after="0" w:line="254" w:lineRule="auto"/>
        <w:tabs>
          <w:tab w:leader="none" w:pos="655" w:val="left"/>
        </w:tabs>
        <w:numPr>
          <w:ilvl w:val="0"/>
          <w:numId w:val="32"/>
        </w:numPr>
        <w:rPr>
          <w:rFonts w:ascii="Times New Roman" w:cs="Times New Roman" w:eastAsia="Times New Roman" w:hAnsi="Times New Roman"/>
          <w:sz w:val="21"/>
          <w:szCs w:val="21"/>
          <w:color w:val="auto"/>
        </w:rPr>
      </w:pPr>
      <w:r>
        <w:rPr>
          <w:rFonts w:ascii="Arial" w:cs="Arial" w:eastAsia="Arial" w:hAnsi="Arial"/>
          <w:sz w:val="21"/>
          <w:szCs w:val="21"/>
          <w:color w:val="auto"/>
        </w:rPr>
        <w:t>If a Rule 10b5-1 Plan is terminated, you must wait at least 30 days before trading outside of the Rule 10b5-1 Plan (and you are still subject to the other restrictions in the Trading in Company Securities Policy).</w:t>
      </w:r>
    </w:p>
    <w:p>
      <w:pPr>
        <w:ind w:left="660" w:right="80" w:hanging="328"/>
        <w:spacing w:after="0" w:line="252" w:lineRule="auto"/>
        <w:tabs>
          <w:tab w:leader="none" w:pos="655" w:val="left"/>
        </w:tabs>
        <w:numPr>
          <w:ilvl w:val="0"/>
          <w:numId w:val="32"/>
        </w:numPr>
        <w:rPr>
          <w:rFonts w:ascii="Times New Roman" w:cs="Times New Roman" w:eastAsia="Times New Roman" w:hAnsi="Times New Roman"/>
          <w:sz w:val="22"/>
          <w:szCs w:val="22"/>
          <w:color w:val="auto"/>
        </w:rPr>
      </w:pPr>
      <w:r>
        <w:rPr>
          <w:rFonts w:ascii="Arial" w:cs="Arial" w:eastAsia="Arial" w:hAnsi="Arial"/>
          <w:sz w:val="22"/>
          <w:szCs w:val="22"/>
          <w:color w:val="auto"/>
        </w:rPr>
        <w:t>If you are a Section 16 Insider, you may not commence sales under a trading program (or a modification of an existing trading program) until</w:t>
      </w:r>
    </w:p>
    <w:p>
      <w:pPr>
        <w:sectPr>
          <w:pgSz w:w="11900" w:h="16838" w:orient="portrait"/>
          <w:cols w:equalWidth="0" w:num="1">
            <w:col w:w="11200"/>
          </w:cols>
          <w:pgMar w:left="320" w:top="1421" w:right="379" w:bottom="1440" w:gutter="0" w:footer="0" w:header="0"/>
        </w:sectPr>
      </w:pPr>
    </w:p>
    <w:bookmarkStart w:id="83" w:name="page84"/>
    <w:bookmarkEnd w:id="83"/>
    <w:p>
      <w:pPr>
        <w:ind w:left="660"/>
        <w:spacing w:after="0" w:line="247" w:lineRule="auto"/>
        <w:rPr>
          <w:sz w:val="20"/>
          <w:szCs w:val="20"/>
          <w:color w:val="auto"/>
        </w:rPr>
      </w:pPr>
      <w:r>
        <w:rPr>
          <w:rFonts w:ascii="Arial" w:cs="Arial" w:eastAsia="Arial" w:hAnsi="Arial"/>
          <w:sz w:val="22"/>
          <w:szCs w:val="22"/>
          <w:color w:val="auto"/>
        </w:rPr>
        <w:t>the later of (a) 90 days after the adoption (or modification) of the trading program, or (b) two business days after the disclosure of the Company’s financial results in Form 10-Q or 10-K for the fiscal quarter in which the trading program was adopted (or modified); but, notwithstanding the foregoing, this delayed period need not extend beyond 120 days after the adoption of the trading program. If you are not a Section 16 Insider, you may not commence sales under a trading program until at least 30 days following the date of establishment of a trading program, and any modification of a trading program must not take effect for at least 30 days from the date of modification.</w:t>
      </w:r>
    </w:p>
    <w:p>
      <w:pPr>
        <w:spacing w:after="0" w:line="7" w:lineRule="exact"/>
        <w:rPr>
          <w:sz w:val="20"/>
          <w:szCs w:val="20"/>
          <w:color w:val="auto"/>
        </w:rPr>
      </w:pPr>
    </w:p>
    <w:p>
      <w:pPr>
        <w:ind w:left="660" w:right="440" w:hanging="328"/>
        <w:spacing w:after="0" w:line="249" w:lineRule="auto"/>
        <w:tabs>
          <w:tab w:leader="none" w:pos="655" w:val="left"/>
        </w:tabs>
        <w:numPr>
          <w:ilvl w:val="0"/>
          <w:numId w:val="33"/>
        </w:numPr>
        <w:rPr>
          <w:rFonts w:ascii="Times New Roman" w:cs="Times New Roman" w:eastAsia="Times New Roman" w:hAnsi="Times New Roman"/>
          <w:sz w:val="22"/>
          <w:szCs w:val="22"/>
          <w:color w:val="auto"/>
        </w:rPr>
      </w:pPr>
      <w:r>
        <w:rPr>
          <w:rFonts w:ascii="Arial" w:cs="Arial" w:eastAsia="Arial" w:hAnsi="Arial"/>
          <w:sz w:val="22"/>
          <w:szCs w:val="22"/>
          <w:color w:val="auto"/>
        </w:rPr>
        <w:t>You may not enter into any transaction in Company Securities while the Rule 10b5-1 Plan is in effect other than subject to the Rule 10b5-1 Plan.</w:t>
      </w:r>
    </w:p>
    <w:p>
      <w:pPr>
        <w:ind w:left="660" w:hanging="328"/>
        <w:spacing w:after="0"/>
        <w:tabs>
          <w:tab w:leader="none" w:pos="660" w:val="left"/>
        </w:tabs>
        <w:numPr>
          <w:ilvl w:val="0"/>
          <w:numId w:val="33"/>
        </w:numPr>
        <w:rPr>
          <w:rFonts w:ascii="Times New Roman" w:cs="Times New Roman" w:eastAsia="Times New Roman" w:hAnsi="Times New Roman"/>
          <w:sz w:val="22"/>
          <w:szCs w:val="22"/>
          <w:color w:val="auto"/>
        </w:rPr>
      </w:pPr>
      <w:r>
        <w:rPr>
          <w:rFonts w:ascii="Arial" w:cs="Arial" w:eastAsia="Arial" w:hAnsi="Arial"/>
          <w:sz w:val="22"/>
          <w:szCs w:val="22"/>
          <w:color w:val="auto"/>
        </w:rPr>
        <w:t>You may only have a single Rule 10b5-1 Plan in place at one time.</w:t>
      </w:r>
    </w:p>
    <w:p>
      <w:pPr>
        <w:spacing w:after="0" w:line="3" w:lineRule="exact"/>
        <w:rPr>
          <w:sz w:val="20"/>
          <w:szCs w:val="20"/>
          <w:color w:val="auto"/>
        </w:rPr>
      </w:pPr>
    </w:p>
    <w:p>
      <w:pPr>
        <w:ind w:right="400"/>
        <w:spacing w:after="0" w:line="248" w:lineRule="auto"/>
        <w:rPr>
          <w:sz w:val="20"/>
          <w:szCs w:val="20"/>
          <w:color w:val="auto"/>
        </w:rPr>
      </w:pPr>
      <w:r>
        <w:rPr>
          <w:rFonts w:ascii="Arial" w:cs="Arial" w:eastAsia="Arial" w:hAnsi="Arial"/>
          <w:sz w:val="22"/>
          <w:szCs w:val="22"/>
          <w:color w:val="auto"/>
        </w:rPr>
        <w:t>Each Section 16 Insider also must include in a Rule 10b5-1 Plan a closed trading window for the five trading days before and one trading day after the release of quarterly earnings to avoid disclosure of trades during this period around the Company’s announcement of quarterly earnings.</w:t>
      </w:r>
    </w:p>
    <w:p>
      <w:pPr>
        <w:spacing w:after="0" w:line="208" w:lineRule="exact"/>
        <w:rPr>
          <w:sz w:val="20"/>
          <w:szCs w:val="20"/>
          <w:color w:val="auto"/>
        </w:rPr>
      </w:pPr>
    </w:p>
    <w:p>
      <w:pPr>
        <w:ind w:right="140"/>
        <w:spacing w:after="0" w:line="257" w:lineRule="auto"/>
        <w:rPr>
          <w:sz w:val="20"/>
          <w:szCs w:val="20"/>
          <w:color w:val="auto"/>
        </w:rPr>
      </w:pPr>
      <w:r>
        <w:rPr>
          <w:rFonts w:ascii="Arial" w:cs="Arial" w:eastAsia="Arial" w:hAnsi="Arial"/>
          <w:sz w:val="22"/>
          <w:szCs w:val="22"/>
          <w:color w:val="auto"/>
        </w:rPr>
        <w:t>Each Section 16 Insider understands that the approval or adoption of a pre-planned selling program in no way reduces or eliminates such person’s obligations under Section 16 of the Exchange Act, including such person’s disclosure and short-swing trading liabilities thereunder. If any questions arise, such person should consult with their own counsel in implementing a Rule 10b5-1 Plan.</w:t>
      </w:r>
    </w:p>
    <w:p>
      <w:pPr>
        <w:spacing w:after="0" w:line="199" w:lineRule="exact"/>
        <w:rPr>
          <w:sz w:val="20"/>
          <w:szCs w:val="20"/>
          <w:color w:val="auto"/>
        </w:rPr>
      </w:pPr>
    </w:p>
    <w:p>
      <w:pPr>
        <w:ind w:right="60"/>
        <w:spacing w:after="0" w:line="264" w:lineRule="auto"/>
        <w:rPr>
          <w:sz w:val="20"/>
          <w:szCs w:val="20"/>
          <w:color w:val="auto"/>
        </w:rPr>
      </w:pPr>
      <w:r>
        <w:rPr>
          <w:rFonts w:ascii="Arial" w:cs="Arial" w:eastAsia="Arial" w:hAnsi="Arial"/>
          <w:sz w:val="22"/>
          <w:szCs w:val="22"/>
          <w:color w:val="auto"/>
        </w:rPr>
        <w:t>None of the requirements or plan terms currently contemplated by these guidelines are exhaustive or limiting on the Company. The Company has the right to require the inclusion of additional provisions in a Rule 10b5-1 Plan, whether before or after the plan has been approved by the Administrator.</w:t>
      </w:r>
    </w:p>
    <w:p>
      <w:pPr>
        <w:sectPr>
          <w:pgSz w:w="11900" w:h="16838" w:orient="portrait"/>
          <w:cols w:equalWidth="0" w:num="1">
            <w:col w:w="11220"/>
          </w:cols>
          <w:pgMar w:left="320" w:top="1423"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EXHIBIT 21.1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Henry &amp; Associates, Inc. Subsidiaries</w:t>
      </w:r>
    </w:p>
    <w:p>
      <w:pPr>
        <w:sectPr>
          <w:pgSz w:w="11900" w:h="16838" w:orient="portrait"/>
          <w:cols w:equalWidth="0" w:num="1">
            <w:col w:w="10139"/>
          </w:cols>
          <w:pgMar w:left="320" w:top="1417" w:right="1440"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Goldleaf Insurance, LLC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JHA Payment Solutions,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Towne Services,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iPay Technologies,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Profitstars,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JHA Money Center,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Payrailz, LLC</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State/Country of Incorporation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Kentucky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3260" w:space="720"/>
            <w:col w:w="6159"/>
          </w:cols>
          <w:pgMar w:left="320" w:top="1417" w:right="1440"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540"/>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both"/>
        <w:spacing w:after="0" w:line="250" w:lineRule="auto"/>
        <w:rPr>
          <w:sz w:val="20"/>
          <w:szCs w:val="20"/>
          <w:color w:val="auto"/>
        </w:rPr>
      </w:pPr>
      <w:r>
        <w:rPr>
          <w:rFonts w:ascii="Georgia" w:cs="Georgia" w:eastAsia="Georgia" w:hAnsi="Georgia"/>
          <w:sz w:val="18"/>
          <w:szCs w:val="18"/>
          <w:color w:val="auto"/>
        </w:rPr>
        <w:t xml:space="preserve">We hereby consent to the incorporation by reference in the Registration Statements on Form S-8 (Nos. 333-208234, 333-214631 and 333-220169) of Jack Henry &amp; Associates, Inc. of our report dated </w:t>
      </w:r>
      <w:r>
        <w:rPr>
          <w:rFonts w:ascii="Arial" w:cs="Arial" w:eastAsia="Arial" w:hAnsi="Arial"/>
          <w:sz w:val="18"/>
          <w:szCs w:val="18"/>
          <w:color w:val="auto"/>
        </w:rPr>
        <w:t>August 26, 2024</w:t>
      </w:r>
      <w:r>
        <w:rPr>
          <w:rFonts w:ascii="Georgia" w:cs="Georgia" w:eastAsia="Georgia" w:hAnsi="Georgia"/>
          <w:sz w:val="18"/>
          <w:szCs w:val="18"/>
          <w:color w:val="auto"/>
        </w:rPr>
        <w:t xml:space="preserve"> relating to the financial statements and the effectiveness of internal control over financial reporting, which appears in this Form 10-K.</w:t>
      </w:r>
    </w:p>
    <w:p>
      <w:pPr>
        <w:spacing w:after="0" w:line="232"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24" w:lineRule="auto"/>
        <w:rPr>
          <w:sz w:val="20"/>
          <w:szCs w:val="20"/>
          <w:color w:val="auto"/>
        </w:rPr>
      </w:pPr>
      <w:r>
        <w:rPr>
          <w:rFonts w:ascii="Georgia" w:cs="Georgia" w:eastAsia="Georgia" w:hAnsi="Georgia"/>
          <w:sz w:val="18"/>
          <w:szCs w:val="18"/>
          <w:color w:val="auto"/>
        </w:rPr>
        <w:t>Kansas City, Missouri</w:t>
      </w:r>
    </w:p>
    <w:p>
      <w:pPr>
        <w:spacing w:after="0"/>
        <w:rPr>
          <w:sz w:val="20"/>
          <w:szCs w:val="20"/>
          <w:color w:val="auto"/>
        </w:rPr>
      </w:pPr>
      <w:r>
        <w:rPr>
          <w:rFonts w:ascii="Arial" w:cs="Arial" w:eastAsia="Arial" w:hAnsi="Arial"/>
          <w:sz w:val="18"/>
          <w:szCs w:val="18"/>
          <w:color w:val="auto"/>
        </w:rPr>
        <w:t>August 26, 2024</w:t>
      </w:r>
    </w:p>
    <w:p>
      <w:pPr>
        <w:sectPr>
          <w:pgSz w:w="11900" w:h="16838" w:orient="portrait"/>
          <w:cols w:equalWidth="0" w:num="1">
            <w:col w:w="10940"/>
          </w:cols>
          <w:pgMar w:left="320" w:top="1417" w:right="6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Gregory R. Adelson, certify that:</w:t>
      </w:r>
    </w:p>
    <w:p>
      <w:pPr>
        <w:spacing w:after="0" w:line="77" w:lineRule="exact"/>
        <w:rPr>
          <w:sz w:val="20"/>
          <w:szCs w:val="20"/>
          <w:color w:val="auto"/>
        </w:rPr>
      </w:pPr>
    </w:p>
    <w:p>
      <w:pPr>
        <w:ind w:left="200" w:hanging="192"/>
        <w:spacing w:after="0"/>
        <w:tabs>
          <w:tab w:leader="none" w:pos="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August 26, 2024</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Gregory R. Adelson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Gregory R. Adelson</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5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Mimi L. Carsley, certify that:</w:t>
      </w:r>
    </w:p>
    <w:p>
      <w:pPr>
        <w:spacing w:after="0" w:line="77"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August 26, 2024</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5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Executive Officer of Jack Henry &amp; Associates, Inc. (the "Company"), hereby certify that, to my knowledge, the Annual Report on Form 10-K of the Company for the fiscal year ended June 30, 2024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August 26, 2024</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Gregory R. Adelson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Gregory R. Adelson</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Financial Officer of Jack Henry &amp; Associates, Inc. (the "Company"), hereby certify that, to my knowledge, the Annual Report on Form 10-K of the Company for the fiscal year ended June 30, 2024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August 26, 2024</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Jack Henry &amp; Associates,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Compensation Clawback Policy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Effective November 13, 2023)</w:t>
      </w: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Human Capital &amp; Compensation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of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Jack Henry &amp; Associates,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such term as used herein shall include all of the Company's subsidiaries) has adopted this Executive Compensation Clawback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 describe the circumstances in which Executive Officers will be required to repay or return Erroneously Awarded Compensation to the Company.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Restatement</w:t>
      </w:r>
      <w:r>
        <w:rPr>
          <w:rFonts w:ascii="Times New Roman" w:cs="Times New Roman" w:eastAsia="Times New Roman" w:hAnsi="Times New Roman"/>
          <w:sz w:val="22"/>
          <w:szCs w:val="22"/>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Section 10D of the Exchange Act, and any rules or regulations promulgated by the SEC pursuant thereto, or any rules promulgated pursuant to such provision of the Exchange Act or the aforementioned rules promulgated by the SEC by Nasdaq.</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Clawback Eligible Incentive Compensation</w:t>
      </w:r>
      <w:r>
        <w:rPr>
          <w:rFonts w:ascii="Times New Roman" w:cs="Times New Roman" w:eastAsia="Times New Roman" w:hAnsi="Times New Roman"/>
          <w:sz w:val="22"/>
          <w:szCs w:val="22"/>
          <w:color w:val="auto"/>
        </w:rPr>
        <w:t>" means,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all Incentive-based Compensation Received by such Executive Officer (i) on or after the Nasdaq Effective Date, (ii) after beginning service as an Executive Officer, (iii) while the Company has a class of securities listed on a national securities exchange or a national securities association, and (iv) during the applicable Clawback Period.</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Clawback Period</w:t>
      </w:r>
      <w:r>
        <w:rPr>
          <w:rFonts w:ascii="Times New Roman" w:cs="Times New Roman" w:eastAsia="Times New Roman" w:hAnsi="Times New Roman"/>
          <w:sz w:val="22"/>
          <w:szCs w:val="22"/>
          <w:color w:val="auto"/>
        </w:rPr>
        <w:t>" means, with respect to any Accounting Restatement, the three completed fiscal years of the Company immediately preceding the Measurement Date and any transition period (that results from a change in the Company’s fiscal year) within or immediately following those three completed fiscal years. For purposes of this Policy, a transition period between the last day of the Company’s previous fiscal year end and the first day of its new fiscal year that comprises a period of nine to twelve months will be deemed a completed fiscal year.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set forth in the preamble.</w:t>
      </w:r>
    </w:p>
    <w:p>
      <w:pPr>
        <w:sectPr>
          <w:pgSz w:w="11900" w:h="16838" w:orient="portrait"/>
          <w:cols w:equalWidth="0" w:num="1">
            <w:col w:w="11240"/>
          </w:cols>
          <w:pgMar w:left="320" w:top="98" w:right="339" w:bottom="1440" w:gutter="0" w:footer="0" w:header="0"/>
        </w:sectPr>
      </w:pPr>
    </w:p>
    <w:bookmarkStart w:id="91" w:name="page92"/>
    <w:bookmarkEnd w:id="91"/>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any officer as defined in Rule 10D-1(d) (or any successor provision thereof) under the Exchange Act. Subsequent changes in an Executive Officer's employment status, including retirement or termination of employment, do not affect the Company's rights to recover Erroneously Awarded Compensation pursuant to this Policy.</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means any measure that is determined and presented in accordance with the accounting principles used in preparing the Company’s financial statements, and any other measure that is derived wholly or in part from such measure. For the avoidance of doubt, a Financial Reporting Measure need not be presented in the Company’s financial statements or included in a filing with the SEC. Stock price and total shareholder return (and any measure that is derived wholly or in part from stock price or total shareholder return) shall for purposes of this Policy be considered a Financial Reporting Measure.</w:t>
      </w:r>
    </w:p>
    <w:p>
      <w:pPr>
        <w:spacing w:after="0" w:line="2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Examples of Incentive-based Compensation may include any of the following:</w:t>
      </w:r>
    </w:p>
    <w:p>
      <w:pPr>
        <w:spacing w:after="0" w:line="220" w:lineRule="exact"/>
        <w:rPr>
          <w:sz w:val="20"/>
          <w:szCs w:val="20"/>
          <w:color w:val="auto"/>
        </w:rPr>
      </w:pPr>
    </w:p>
    <w:p>
      <w:pPr>
        <w:ind w:left="1300" w:right="20" w:hanging="644"/>
        <w:spacing w:after="0" w:line="271" w:lineRule="auto"/>
        <w:tabs>
          <w:tab w:leader="none" w:pos="100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non-equity incentive plan awards that are earned based wholly or in part on the attainment of a Financial Reporting Measure;</w:t>
      </w:r>
    </w:p>
    <w:p>
      <w:pPr>
        <w:spacing w:after="0" w:line="171" w:lineRule="exact"/>
        <w:rPr>
          <w:rFonts w:ascii="Times New Roman" w:cs="Times New Roman" w:eastAsia="Times New Roman" w:hAnsi="Times New Roman"/>
          <w:sz w:val="22"/>
          <w:szCs w:val="22"/>
          <w:color w:val="auto"/>
        </w:rPr>
      </w:pPr>
    </w:p>
    <w:p>
      <w:pPr>
        <w:ind w:left="1300" w:hanging="644"/>
        <w:spacing w:after="0" w:line="271" w:lineRule="auto"/>
        <w:tabs>
          <w:tab w:leader="none" w:pos="9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bonuses paid from a bonus pool, the size of which pool is determined based wholly or in part on the attainment of a Financial Reporting Measure;</w:t>
      </w:r>
    </w:p>
    <w:p>
      <w:pPr>
        <w:spacing w:after="0" w:line="157"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cash awards based on the attainment of a Financial Reporting Measure;</w:t>
      </w:r>
    </w:p>
    <w:p>
      <w:pPr>
        <w:spacing w:after="0" w:line="219" w:lineRule="exact"/>
        <w:rPr>
          <w:rFonts w:ascii="Times New Roman" w:cs="Times New Roman" w:eastAsia="Times New Roman" w:hAnsi="Times New Roman"/>
          <w:sz w:val="22"/>
          <w:szCs w:val="22"/>
          <w:color w:val="auto"/>
        </w:rPr>
      </w:pPr>
    </w:p>
    <w:p>
      <w:pPr>
        <w:ind w:left="1300" w:hanging="644"/>
        <w:spacing w:after="0" w:line="263" w:lineRule="auto"/>
        <w:tabs>
          <w:tab w:leader="none" w:pos="11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Restricted stock units, performance shares, performance share units, stock options and stock appreciation rights that are granted or become vested based wholly or in part on the attainment of a Financial Reporting Measure; and</w:t>
      </w:r>
    </w:p>
    <w:p>
      <w:pPr>
        <w:spacing w:after="0" w:line="167" w:lineRule="exact"/>
        <w:rPr>
          <w:rFonts w:ascii="Times New Roman" w:cs="Times New Roman" w:eastAsia="Times New Roman" w:hAnsi="Times New Roman"/>
          <w:sz w:val="22"/>
          <w:szCs w:val="22"/>
          <w:color w:val="auto"/>
        </w:rPr>
      </w:pPr>
    </w:p>
    <w:p>
      <w:pPr>
        <w:ind w:left="1300" w:hanging="644"/>
        <w:spacing w:after="0" w:line="271" w:lineRule="auto"/>
        <w:tabs>
          <w:tab w:leader="none" w:pos="9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proceeds received upon the sale of shares acquired through an incentive plan that were granted or vested based wholly or in part on the attainment of a Financial Reporting Measure.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Examples of compensation that does not constitute Incentive-based Compensation may include the following:</w:t>
      </w:r>
    </w:p>
    <w:p>
      <w:pPr>
        <w:spacing w:after="0" w:line="220" w:lineRule="exact"/>
        <w:rPr>
          <w:sz w:val="20"/>
          <w:szCs w:val="20"/>
          <w:color w:val="auto"/>
        </w:rPr>
      </w:pPr>
    </w:p>
    <w:p>
      <w:pPr>
        <w:ind w:left="940" w:hanging="284"/>
        <w:spacing w:after="0"/>
        <w:tabs>
          <w:tab w:leader="none" w:pos="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92" w:name="page93"/>
    <w:bookmarkEnd w:id="92"/>
    <w:p>
      <w:pPr>
        <w:ind w:left="1300" w:hanging="644"/>
        <w:spacing w:after="0" w:line="271" w:lineRule="auto"/>
        <w:tabs>
          <w:tab w:leader="none" w:pos="95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bonuses paid solely at the discretion of the Committee or the Board (other than bonuses paid from a bonus pool that is determined based on the attainment of one or more Financial Reporting Measures);</w:t>
      </w:r>
    </w:p>
    <w:p>
      <w:pPr>
        <w:spacing w:after="0" w:line="157" w:lineRule="exact"/>
        <w:rPr>
          <w:rFonts w:ascii="Times New Roman" w:cs="Times New Roman" w:eastAsia="Times New Roman" w:hAnsi="Times New Roman"/>
          <w:sz w:val="22"/>
          <w:szCs w:val="22"/>
          <w:color w:val="auto"/>
        </w:rPr>
      </w:pPr>
    </w:p>
    <w:p>
      <w:pPr>
        <w:ind w:left="1300" w:hanging="644"/>
        <w:spacing w:after="0" w:line="284" w:lineRule="auto"/>
        <w:tabs>
          <w:tab w:leader="none" w:pos="109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bonuses paid solely upon satisfying one or more subjective standards (e.g., demonstrated leadership) and/or the completion of a specified period of employment; and</w:t>
      </w:r>
    </w:p>
    <w:p>
      <w:pPr>
        <w:spacing w:after="0" w:line="143" w:lineRule="exact"/>
        <w:rPr>
          <w:rFonts w:ascii="Times New Roman" w:cs="Times New Roman" w:eastAsia="Times New Roman" w:hAnsi="Times New Roman"/>
          <w:sz w:val="22"/>
          <w:szCs w:val="22"/>
          <w:color w:val="auto"/>
        </w:rPr>
      </w:pPr>
    </w:p>
    <w:p>
      <w:pPr>
        <w:ind w:left="1300" w:hanging="644"/>
        <w:spacing w:after="0" w:line="271" w:lineRule="auto"/>
        <w:tabs>
          <w:tab w:leader="none" w:pos="113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non-equity incentive plan awards earned solely upon satisfying one or more strategic measures or operational measures (e.g., completion of a project).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Measurement Date</w:t>
      </w:r>
      <w:r>
        <w:rPr>
          <w:rFonts w:ascii="Times New Roman" w:cs="Times New Roman" w:eastAsia="Times New Roman" w:hAnsi="Times New Roman"/>
          <w:sz w:val="22"/>
          <w:szCs w:val="22"/>
          <w:color w:val="auto"/>
        </w:rPr>
        <w:t>" means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means Nasdaq Global Select Market.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Nasdaq Effective Date</w:t>
      </w:r>
      <w:r>
        <w:rPr>
          <w:rFonts w:ascii="Times New Roman" w:cs="Times New Roman" w:eastAsia="Times New Roman" w:hAnsi="Times New Roman"/>
          <w:sz w:val="22"/>
          <w:szCs w:val="22"/>
          <w:color w:val="auto"/>
        </w:rPr>
        <w:t>" is October 2, 2023.</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Received</w:t>
      </w:r>
      <w:r>
        <w:rPr>
          <w:rFonts w:ascii="Times New Roman" w:cs="Times New Roman" w:eastAsia="Times New Roman" w:hAnsi="Times New Roman"/>
          <w:sz w:val="22"/>
          <w:szCs w:val="22"/>
          <w:color w:val="auto"/>
        </w:rPr>
        <w:t>" 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means shares of the Company's common stock.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MANDATORY RECOUPMENT OF EXECUTIVE OFFICER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INCENTIVE COMPENSATION</w:t>
      </w:r>
    </w:p>
    <w:p>
      <w:pPr>
        <w:spacing w:after="0" w:line="22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 the event the Company is required to prepare an Accounting Restatement, the Company shall, in accordance with the terms of this Policy, require reimbursement of Erroneously Awarded Compensation from each Executive Officer who, at any time during the applicable Clawback Period, Received Clawback Eligible Incentive Compensation.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RECOUPMENT AMOUNT AND PROCEDURES</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Section 3.01. In the event that the Company is required to prepare an Accounting Restatement, (i) the Committee shall reasonably promptly determine the amount of any Erroneously Awarded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93" w:name="page94"/>
    <w:bookmarkEnd w:id="93"/>
    <w:p>
      <w:pPr>
        <w:jc w:val="both"/>
        <w:spacing w:after="0" w:line="272" w:lineRule="auto"/>
        <w:rPr>
          <w:sz w:val="20"/>
          <w:szCs w:val="20"/>
          <w:color w:val="auto"/>
        </w:rPr>
      </w:pPr>
      <w:r>
        <w:rPr>
          <w:rFonts w:ascii="Times New Roman" w:cs="Times New Roman" w:eastAsia="Times New Roman" w:hAnsi="Times New Roman"/>
          <w:sz w:val="21"/>
          <w:szCs w:val="21"/>
          <w:color w:val="auto"/>
        </w:rPr>
        <w:t>Compensation for each applicable Executive Officer in connection with such Accounting Restatement, and (ii) the Company will require the reasonably prompt recoupment of such Erroneously Awarded Compensation from any such applicable Executive Officer, and any such applicable Executive Officer shall surrender such Erroneously Awarded Compensation to the Company, at such time(s), and via such method(s), as determined by the Committee in accordance with the terms of this Policy.</w:t>
      </w:r>
    </w:p>
    <w:p>
      <w:pPr>
        <w:spacing w:after="0" w:line="1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Section 3.02. For Incentive-based Compensation based on stock price or total shareholder return, where the amount of Erroneously Awarded Compensation Received by an Executive Officer is not subject to mathematical recalculation directly from the information in the applicable Accounting Restatement, the Committee shall determine such amount based on a reasonable estimate of the effect of the Accounting Restatement on the stock price or total shareholder return upon which the Incentive-based Compensation was Received, and the Company shall maintain documentation of any such estimate and provide such documentation to Nasdaq.</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Section 3.03. Any Erroneously Awarded Compensation required to be recovered by the Company shall be reimbursed or returned to the Company. Except as otherwise required by the Applicable Law, the Committee will determine, in its sole discretion, the method and timing for obtaining reimbursement or return of payments made, which may include, but is not limited to:</w:t>
      </w:r>
    </w:p>
    <w:p>
      <w:pPr>
        <w:spacing w:after="0" w:line="193" w:lineRule="exact"/>
        <w:rPr>
          <w:sz w:val="20"/>
          <w:szCs w:val="20"/>
          <w:color w:val="auto"/>
        </w:rPr>
      </w:pPr>
    </w:p>
    <w:p>
      <w:pPr>
        <w:ind w:left="660" w:firstLine="968"/>
        <w:spacing w:after="0" w:line="271" w:lineRule="auto"/>
        <w:tabs>
          <w:tab w:leader="none" w:pos="211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and requiring the forfeiture of any Shares or any portion thereof issued in connection with an equity award constituting Incentive-based Compensation;</w:t>
      </w:r>
    </w:p>
    <w:p>
      <w:pPr>
        <w:spacing w:after="0" w:line="157" w:lineRule="exact"/>
        <w:rPr>
          <w:rFonts w:ascii="Times New Roman" w:cs="Times New Roman" w:eastAsia="Times New Roman" w:hAnsi="Times New Roman"/>
          <w:sz w:val="22"/>
          <w:szCs w:val="22"/>
          <w:color w:val="auto"/>
        </w:rPr>
      </w:pPr>
    </w:p>
    <w:p>
      <w:pPr>
        <w:ind w:left="660" w:firstLine="968"/>
        <w:spacing w:after="0" w:line="271" w:lineRule="auto"/>
        <w:tabs>
          <w:tab w:leader="none" w:pos="225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and requiring the forfeiture of any outstanding grant or award or portion thereof, whether relating to Shares or cash, constituting Incentive-based Compensation;</w:t>
      </w:r>
    </w:p>
    <w:p>
      <w:pPr>
        <w:spacing w:after="0" w:line="157" w:lineRule="exact"/>
        <w:rPr>
          <w:rFonts w:ascii="Times New Roman" w:cs="Times New Roman" w:eastAsia="Times New Roman" w:hAnsi="Times New Roman"/>
          <w:sz w:val="22"/>
          <w:szCs w:val="22"/>
          <w:color w:val="auto"/>
        </w:rPr>
      </w:pPr>
    </w:p>
    <w:p>
      <w:pPr>
        <w:jc w:val="both"/>
        <w:ind w:left="660" w:firstLine="968"/>
        <w:spacing w:after="0" w:line="263" w:lineRule="auto"/>
        <w:tabs>
          <w:tab w:leader="none" w:pos="211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offsetting the Erroneously Awarded Compensation from any compensation owed by the Company to the affected Executive Officer (including, without limitation, amounts payable under a deferred compensation plan at such time as is permitted by Section 409A of the Internal Revenue Code of 1986, as amended);</w:t>
      </w:r>
    </w:p>
    <w:p>
      <w:pPr>
        <w:spacing w:after="0" w:line="167" w:lineRule="exact"/>
        <w:rPr>
          <w:rFonts w:ascii="Times New Roman" w:cs="Times New Roman" w:eastAsia="Times New Roman" w:hAnsi="Times New Roman"/>
          <w:sz w:val="22"/>
          <w:szCs w:val="22"/>
          <w:color w:val="auto"/>
        </w:rPr>
      </w:pPr>
    </w:p>
    <w:p>
      <w:pPr>
        <w:ind w:left="2100" w:hanging="472"/>
        <w:spacing w:after="0"/>
        <w:tabs>
          <w:tab w:leader="none" w:pos="21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or eliminating future salary increases, cash incentive awards or equity awards; or</w:t>
      </w:r>
    </w:p>
    <w:p>
      <w:pPr>
        <w:spacing w:after="0" w:line="219" w:lineRule="exact"/>
        <w:rPr>
          <w:rFonts w:ascii="Times New Roman" w:cs="Times New Roman" w:eastAsia="Times New Roman" w:hAnsi="Times New Roman"/>
          <w:sz w:val="22"/>
          <w:szCs w:val="22"/>
          <w:color w:val="auto"/>
        </w:rPr>
      </w:pPr>
    </w:p>
    <w:p>
      <w:pPr>
        <w:ind w:left="660" w:firstLine="968"/>
        <w:spacing w:after="0" w:line="271" w:lineRule="auto"/>
        <w:tabs>
          <w:tab w:leader="none" w:pos="210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the Executive Officer to pay the Erroneously Awarded Compensation to the Company upon the Company's written demand for such payment.</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Section 3.04. The applicable Executive Officer shall be required to reimburse the Company for any and all expenses reasonably incurred (including legal fees) by the Company in recovering such Erroneously Awarded Compensation in accordance with the terms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94" w:name="page95"/>
    <w:bookmarkEnd w:id="94"/>
    <w:p>
      <w:pPr>
        <w:jc w:val="both"/>
        <w:spacing w:after="0" w:line="257" w:lineRule="auto"/>
        <w:rPr>
          <w:sz w:val="20"/>
          <w:szCs w:val="20"/>
          <w:color w:val="auto"/>
        </w:rPr>
      </w:pPr>
      <w:r>
        <w:rPr>
          <w:rFonts w:ascii="Times New Roman" w:cs="Times New Roman" w:eastAsia="Times New Roman" w:hAnsi="Times New Roman"/>
          <w:sz w:val="22"/>
          <w:szCs w:val="22"/>
          <w:color w:val="auto"/>
        </w:rPr>
        <w:t>Section 3.05. Notwithstanding anything herein to the contrary, the Company shall not be required to take the actions contemplated by this Article III if the following conditions are met and the Committee determines that recovery would be impracticable:</w:t>
      </w:r>
    </w:p>
    <w:p>
      <w:pPr>
        <w:spacing w:after="0" w:line="186" w:lineRule="exact"/>
        <w:rPr>
          <w:sz w:val="20"/>
          <w:szCs w:val="20"/>
          <w:color w:val="auto"/>
        </w:rPr>
      </w:pPr>
    </w:p>
    <w:p>
      <w:pPr>
        <w:jc w:val="both"/>
        <w:ind w:left="660" w:firstLine="644"/>
        <w:spacing w:after="0" w:line="275" w:lineRule="auto"/>
        <w:tabs>
          <w:tab w:leader="none" w:pos="179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 expenses paid to a third party to assist in enforcing this Policy against an Executive Officer would exceed the amount to be recovered, after the Company has made a reasonable attempt to recover the applicable Erroneously Awarded Compensation, documented such reasonable attempts and provided such documentation to Nasdaq;</w:t>
      </w:r>
    </w:p>
    <w:p>
      <w:pPr>
        <w:spacing w:after="0" w:line="155" w:lineRule="exact"/>
        <w:rPr>
          <w:rFonts w:ascii="Times New Roman" w:cs="Times New Roman" w:eastAsia="Times New Roman" w:hAnsi="Times New Roman"/>
          <w:sz w:val="21"/>
          <w:szCs w:val="21"/>
          <w:color w:val="auto"/>
        </w:rPr>
      </w:pPr>
    </w:p>
    <w:p>
      <w:pPr>
        <w:jc w:val="both"/>
        <w:ind w:left="660" w:firstLine="644"/>
        <w:spacing w:after="0" w:line="272" w:lineRule="auto"/>
        <w:tabs>
          <w:tab w:leader="none" w:pos="1787"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and a copy of the opinion has been provided to Nasdaq; or</w:t>
      </w:r>
    </w:p>
    <w:p>
      <w:pPr>
        <w:spacing w:after="0" w:line="160"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86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Items 401(a)(13) or 411(a) under Regulation S-K and regulations thereunder.</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Section 3.06. The withholding of any cash by the Company, or reimbursement by an Executive Officer shall be deemed to be a correction and adjustment of the cash amount to which the Executive Officer is entitled under the circumstances and shall not constitute a penalty or withholding by the Company of any wages or amounts to which the Executive Officer was in fact entitled to receive or had earned.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ADMINISTRATION</w:t>
      </w:r>
    </w:p>
    <w:p>
      <w:pPr>
        <w:spacing w:after="0" w:line="23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Policy is to be administered by the Committee. The Committee is authorized to interpret and implement this Policy and any provisions referenced in Section 5.01 below and to make all determinations necessary, appropriate, or advisable for the administration of this Policy. Decisions of the Committee with respect to this Policy shall be final, conclusive and binding on all Executive Officers, unless determined to be an abuse of discretion. Notwithstanding the foregoing, it is intended that this Policy be interpreted in a manner that is consistent with the requirements of Applicable Law, and, to the extent this Policy is in any manner deemed inconsistent with such rules or standards, this Policy shall be treated as retroactively amended to be compliant with Applicable Law. Except as otherwise required by applicable legal requirements or the rules and requirements of Nasdaq, any determinations of the Committee hereunder need not be uniform with respect to one or more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Section 5.01. The Committee intends that this Policy will apply to all Incentive-based Compensation irrespective of whether any applicable award, plan, program, arrangement or agreement specifically addresses this Policy or the recoupment requirements herein.</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Section 5.02. This Policy is a supplement to any other clawback policies in effect now or in the future at the Company. To the extent this Policy applies to compensation payable to an Executive Officer, it shall be the only clawback policy applicable to such compensation and no other clawback policy shall apply; provided that, if such other policy provides that a greater amount of such compensation shall be subject to clawback, such other policy shall apply to the amount in excess of the amount subject to clawback under this Policy. 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Section 5.03. This Policy will supersede any provisions in (x) any agreement, plan or other arrangement applicable to the Company, and (y) any organizational documents of the Company that, in any such case, (a) exempt any Incentive-based Compensation from the application of this Policy, (b) waive or otherwise prohibit or restricts the Company’s right to recover any Erroneously Awarded Compensation, including, without limitation, in connection with exercising any right of setoff as provided herein, and/or (c) require or provide for indemnification to the extent that such indemnification is prohibited under Section 5.08.</w:t>
      </w:r>
    </w:p>
    <w:p>
      <w:pPr>
        <w:spacing w:after="0" w:line="1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Section 5.04. The Committee intends that this Policy will be applied to the fullest extent of the law. The Committee may require that, as a condition to the grant of any benefit under any employment agreement, equity award agreement, or any other agreement entered into on or after the Effective Date (“</w:t>
      </w:r>
      <w:r>
        <w:rPr>
          <w:rFonts w:ascii="Times New Roman" w:cs="Times New Roman" w:eastAsia="Times New Roman" w:hAnsi="Times New Roman"/>
          <w:sz w:val="21"/>
          <w:szCs w:val="21"/>
          <w:b w:val="1"/>
          <w:bCs w:val="1"/>
          <w:color w:val="auto"/>
        </w:rPr>
        <w:t>Compensation Agreement</w:t>
      </w:r>
      <w:r>
        <w:rPr>
          <w:rFonts w:ascii="Times New Roman" w:cs="Times New Roman" w:eastAsia="Times New Roman" w:hAnsi="Times New Roman"/>
          <w:sz w:val="21"/>
          <w:szCs w:val="21"/>
          <w:color w:val="auto"/>
        </w:rPr>
        <w:t>”), an Executive Officer must agree to abide by the terms of this Policy. Any such Compensation Agreement may be unilaterally amended by the Company to comply with this Policy.</w:t>
      </w:r>
    </w:p>
    <w:p>
      <w:pPr>
        <w:spacing w:after="0" w:line="1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Section 5.05. The Committee may modify this Policy at any time, including as and when it determines that it is legally required by, and to the extent not otherwise prohibited under, Applicable Law; any such modification(s) may be applied prospectively or retroactively, as determined by the Committee. The Committee may terminate this Policy at any time. Notwithstanding anything in this Section 5.05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Nasdaq.</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Section 5.06. Any failure by the Company to assert its rights pursuant to this Policy shall not waive, or operate to waive, the Company's right to later assert its rights pursuant to this Policy with respect to other or subsequent Incentive-based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8" w:right="339" w:bottom="1440" w:gutter="0" w:footer="0" w:header="0"/>
        </w:sectPr>
      </w:pPr>
    </w:p>
    <w:bookmarkStart w:id="96" w:name="page97"/>
    <w:bookmarkEnd w:id="96"/>
    <w:p>
      <w:pPr>
        <w:spacing w:after="0" w:line="271" w:lineRule="auto"/>
        <w:rPr>
          <w:sz w:val="20"/>
          <w:szCs w:val="20"/>
          <w:color w:val="auto"/>
        </w:rPr>
      </w:pPr>
      <w:r>
        <w:rPr>
          <w:rFonts w:ascii="Times New Roman" w:cs="Times New Roman" w:eastAsia="Times New Roman" w:hAnsi="Times New Roman"/>
          <w:sz w:val="22"/>
          <w:szCs w:val="22"/>
          <w:color w:val="auto"/>
        </w:rPr>
        <w:t>Section 5.07. The Company shall file all disclosures with respect to this Policy in accordance with the requirements of the federal securities laws, including the disclosure required by the applicable SEC filings.</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Section 5.08. The Company shall not be permitted to indemnify any Executive Officer or former Executive Officer against (i) the loss of any Erroneously Awarded Compensation that is repaid, returned or recovered pursuant to the terms of this Policy, or</w:t>
      </w:r>
    </w:p>
    <w:p>
      <w:pPr>
        <w:jc w:val="both"/>
        <w:ind w:right="20" w:firstLine="8"/>
        <w:spacing w:after="0" w:line="245" w:lineRule="auto"/>
        <w:tabs>
          <w:tab w:leader="none" w:pos="33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claims relating to the Company’s enforcement of its rights under this Policy. Further, the Company shall not enter into any agreement that exempts any Incentive-based Compensation from the application of this Policy or that waives the Company’s right to recovery of any Erroneously Awarded Compensation and this Policy shall supersede any such agreement (whether entered into before, on or after the Nasdaq Effective Date).</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Section 5.09. This Policy shall be binding and enforceable against all Executive Officers and their beneficiaries, heirs, executors, administrators or other legal representatives. Each Executive Officer shall be required to sign and return to the Company an Acknowledgment Form to this Policy substantially in the form attached hereto as Exhibit A pursuant to which such Executive Officer will agree to be bound by the terms and comply with this Policy.</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Section 5.10. The provisions of this Policy are intended to be applied to the fullest 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Section 5.11. Except to the extent preempted by federal law, the laws of the State of Delaware, as amended from time to time, shall govern the construction and application of this Policy. Words used in the singular shall include the plural, as appropriate. The words "herein," "hereunder," and other similar compounds of the word "here" shall refer to this entire Policy, not to a particular section. Any mention of "Sections", unless stated specifically to the contrary, refers to a section in this Policy. All references to statutory sections shall include the section so identified, as amended from time to time, or any other statute of similar import and all applicable rule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97" w:name="page98"/>
    <w:bookmarkEnd w:id="97"/>
    <w:p>
      <w:pPr>
        <w:ind w:left="51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JACK HENRY &amp; ASSOCIATES,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COMPENSATION CLAWBACK POLICY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ACKNOWLEDGEMENT FORM</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By signing below, the undersigned acknowledges and confirms that the undersigned has received and reviewed a copy of the Jack Henry &amp; Associates, Inc. Executive Compensation Clawback Policy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Capitalized terms used but not otherwise defined in this Acknowledgement Form (this “</w:t>
      </w:r>
      <w:r>
        <w:rPr>
          <w:rFonts w:ascii="Times New Roman" w:cs="Times New Roman" w:eastAsia="Times New Roman" w:hAnsi="Times New Roman"/>
          <w:sz w:val="22"/>
          <w:szCs w:val="22"/>
          <w:b w:val="1"/>
          <w:bCs w:val="1"/>
          <w:color w:val="auto"/>
        </w:rPr>
        <w:t>Acknowledgement Form</w:t>
      </w:r>
      <w:r>
        <w:rPr>
          <w:rFonts w:ascii="Times New Roman" w:cs="Times New Roman" w:eastAsia="Times New Roman" w:hAnsi="Times New Roman"/>
          <w:sz w:val="22"/>
          <w:szCs w:val="22"/>
          <w:color w:val="auto"/>
        </w:rPr>
        <w:t>”) shall have the meanings ascribed to such terms in the Policy.</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 Awarded Compensation (as defined in the Policy) to the Company to the extent required by, and in a manner permitted by, the Policy. The undersigned acknowledges and agrees that any Erroneously Awarded Compensation shall be computed, and must be repaid or returned by the undersigned, without regard to any taxes previously paid by the undersigned and that undersigned may not be able to amend his or her prior year tax returns, or claim a current year tax deduction, as a result of the return or repayment of any Erroneously Awarded Compensation.</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By signing below, the undersigned acknowledges and confirms that the undersigned has received and reviewed a copy of the Jack Henry &amp; Associates, Inc. Executive Compensation Recoupment Policy (the “</w:t>
      </w:r>
      <w:r>
        <w:rPr>
          <w:rFonts w:ascii="Times New Roman" w:cs="Times New Roman" w:eastAsia="Times New Roman" w:hAnsi="Times New Roman"/>
          <w:sz w:val="22"/>
          <w:szCs w:val="22"/>
          <w:b w:val="1"/>
          <w:bCs w:val="1"/>
          <w:color w:val="auto"/>
        </w:rPr>
        <w:t>Original Policy</w:t>
      </w:r>
      <w:r>
        <w:rPr>
          <w:rFonts w:ascii="Times New Roman" w:cs="Times New Roman" w:eastAsia="Times New Roman" w:hAnsi="Times New Roman"/>
          <w:sz w:val="22"/>
          <w:szCs w:val="22"/>
          <w:color w:val="auto"/>
        </w:rPr>
        <w:t>”). By signing this Acknowledgement Form, the undersigned acknowledges and agrees that the undersigned is and will continue to be subject to the Original Policy and that the Original Policy will apply both during and after the undersigned’s employment with the Company. Further, by signing below, the undersigned agrees to abide by the terms of the Original Policy, including, without limitation, by returning any portion of Incentive Compensation (as defined in the Original Policy) based on erroneous financial data to the Company to the extent required by, and in a manner permitted by, the Original Policy.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lvl w:ilvl="1">
      <w:lvlJc w:val="left"/>
      <w:lvlText w:val="-"/>
      <w:numFmt w:val="bullet"/>
      <w:start w:val="1"/>
    </w:lvl>
  </w:abstractNum>
  <w:abstractNum w:abstractNumId="15">
    <w:nsid w:val="737B8DDC"/>
    <w:multiLevelType w:val="hybridMultilevel"/>
    <w:lvl w:ilvl="0">
      <w:lvlJc w:val="left"/>
      <w:lvlText w:val="%1"/>
      <w:numFmt w:val="decimal"/>
      <w:start w:val="104"/>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20">
    <w:nsid w:val="614FD4A1"/>
    <w:multiLevelType w:val="hybridMultilevel"/>
    <w:lvl w:ilvl="0">
      <w:lvlJc w:val="left"/>
      <w:lvlText w:val="%1."/>
      <w:numFmt w:val="decimal"/>
      <w:start w:val="4"/>
    </w:lvl>
    <w:lvl w:ilvl="1">
      <w:lvlJc w:val="left"/>
      <w:lvlText w:val="(%2)"/>
      <w:numFmt w:val="lowerLetter"/>
      <w:start w:val="1"/>
    </w:lvl>
  </w:abstractNum>
  <w:abstractNum w:abstractNumId="21">
    <w:nsid w:val="419AC241"/>
    <w:multiLevelType w:val="hybridMultilevel"/>
    <w:lvl w:ilvl="0">
      <w:lvlJc w:val="left"/>
      <w:lvlText w:val="(%1)"/>
      <w:numFmt w:val="lowerRoman"/>
      <w:start w:val="1"/>
    </w:lvl>
  </w:abstractNum>
  <w:abstractNum w:abstractNumId="22">
    <w:nsid w:val="5577F8E1"/>
    <w:multiLevelType w:val="hybridMultilevel"/>
    <w:lvl w:ilvl="0">
      <w:lvlJc w:val="left"/>
      <w:lvlText w:val="%1."/>
      <w:numFmt w:val="lowerLetter"/>
      <w:start w:val="4"/>
    </w:lvl>
  </w:abstractNum>
  <w:abstractNum w:abstractNumId="23">
    <w:nsid w:val="440BADFC"/>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24">
    <w:nsid w:val="5072367"/>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25">
    <w:nsid w:val="3804823E"/>
    <w:multiLevelType w:val="hybridMultilevel"/>
    <w:lvl w:ilvl="0">
      <w:lvlJc w:val="left"/>
      <w:lvlText w:val="%1."/>
      <w:numFmt w:val="decimal"/>
      <w:start w:val="5"/>
    </w:lvl>
  </w:abstractNum>
  <w:abstractNum w:abstractNumId="26">
    <w:nsid w:val="77465F01"/>
    <w:multiLevelType w:val="hybridMultilevel"/>
    <w:lvl w:ilvl="0">
      <w:lvlJc w:val="left"/>
      <w:lvlText w:val="%1"/>
      <w:numFmt w:val="decimal"/>
      <w:start w:val="1"/>
    </w:lvl>
    <w:lvl w:ilvl="1">
      <w:lvlJc w:val="left"/>
      <w:lvlText w:val="%2."/>
      <w:numFmt w:val="decimal"/>
      <w:start w:val="6"/>
    </w:lvl>
  </w:abstractNum>
  <w:abstractNum w:abstractNumId="27">
    <w:nsid w:val="7724C67E"/>
    <w:multiLevelType w:val="hybridMultilevel"/>
    <w:lvl w:ilvl="0">
      <w:lvlJc w:val="left"/>
      <w:lvlText w:val="%1."/>
      <w:numFmt w:val="decimal"/>
      <w:start w:val="8"/>
    </w:lvl>
    <w:lvl w:ilvl="1">
      <w:lvlJc w:val="left"/>
      <w:lvlText w:val="%2"/>
      <w:numFmt w:val="decimal"/>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decimal"/>
      <w:start w:val="5"/>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2"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72" Type="http://schemas.openxmlformats.org/officeDocument/2006/relationships/hyperlink" Target="https://www.sec.gov/Archives/edgar/data/0000779152/000077915221000009/jkhy-20201231xex318restate.htm" TargetMode="External"/><Relationship Id="rId73" Type="http://schemas.openxmlformats.org/officeDocument/2006/relationships/hyperlink" Target="https://www.sec.gov/Archives/edgar/data/779152/000077915224000044/jkhy-amendedandrestatedbyl.htm" TargetMode="External"/><Relationship Id="rId74" Type="http://schemas.openxmlformats.org/officeDocument/2006/relationships/hyperlink" Target="https://www.sec.gov/Archives/edgar/data/779152/000077915214000053/jkhy-2014930xex1049.htm" TargetMode="External"/><Relationship Id="rId75" Type="http://schemas.openxmlformats.org/officeDocument/2006/relationships/hyperlink" Target="https://www.sec.gov/Archives/edgar/data/779152/000077915214000053/jkhy-2014930xex1050.htm" TargetMode="External"/><Relationship Id="rId76" Type="http://schemas.openxmlformats.org/officeDocument/2006/relationships/hyperlink" Target="https://www.sec.gov/Archives/edgar/data/779152/000077915215000077/jkhy2015equityincentivepla.htm" TargetMode="External"/><Relationship Id="rId77" Type="http://schemas.openxmlformats.org/officeDocument/2006/relationships/hyperlink" Target="https://www.sec.gov/Archives/edgar/data/779152/000077915216000128/jkhy-20160701xexhibit1058.htm" TargetMode="External"/><Relationship Id="rId78" Type="http://schemas.openxmlformats.org/officeDocument/2006/relationships/hyperlink" Target="https://www.sec.gov/Archives/edgar/data/779152/000077915217000090/exhibit1063-2017annualince.htm" TargetMode="External"/><Relationship Id="rId79" Type="http://schemas.openxmlformats.org/officeDocument/2006/relationships/hyperlink" Target="https://www.sec.gov/Archives/edgar/data/779152/000077915220000003/a1064retentionawardagr.htm" TargetMode="External"/><Relationship Id="rId80" Type="http://schemas.openxmlformats.org/officeDocument/2006/relationships/hyperlink" Target="https://www.sec.gov/Archives/edgar/data/779152/000077915221000073/jkhy-20210630xex1069.htm" TargetMode="External"/><Relationship Id="rId81" Type="http://schemas.openxmlformats.org/officeDocument/2006/relationships/hyperlink" Target="https://www.sec.gov/Archives/edgar/data/779152/000077915221000073/jkhy-20210630xex1070.htm" TargetMode="External"/><Relationship Id="rId83" Type="http://schemas.openxmlformats.org/officeDocument/2006/relationships/hyperlink" Target="https://www.sec.gov/Archives/edgar/data/779152/000077915222000020/jkhy-1071formofindemnifica.htm" TargetMode="External"/><Relationship Id="rId84" Type="http://schemas.openxmlformats.org/officeDocument/2006/relationships/hyperlink" Target="https://www.sec.gov/Archives/edgar/data/779152/000077915222000051/jkhy-executiveseverancepla.htm" TargetMode="External"/><Relationship Id="rId85" Type="http://schemas.openxmlformats.org/officeDocument/2006/relationships/hyperlink" Target="https://www.sec.gov/Archives/edgar/data/779152/000077915222000081/jackhenryamendedandrestate.htm" TargetMode="External"/><Relationship Id="rId86" Type="http://schemas.openxmlformats.org/officeDocument/2006/relationships/hyperlink" Target="https://www.sec.gov/Archives/edgar/data/779152/000077915223000028/jackhenry-amendmentno1toam.htm" TargetMode="External"/><Relationship Id="rId87" Type="http://schemas.openxmlformats.org/officeDocument/2006/relationships/hyperlink" Target="https://www.sec.gov/Archives/edgar/data/779152/000077915223000028/jackhenry-termloanagreemen.htm" TargetMode="External"/><Relationship Id="rId88" Type="http://schemas.openxmlformats.org/officeDocument/2006/relationships/hyperlink" Target="https://www.sec.gov/Archives/edgar/data/0000779152/000077915223000062/exhibit-jhapsuawardxex1076.htm" TargetMode="External"/><Relationship Id="rId89" Type="http://schemas.openxmlformats.org/officeDocument/2006/relationships/hyperlink" Target="https://www.sec.gov/Archives/edgar/data/0000779152/000077915223000062/formofaircrafttimesharinga.htm" TargetMode="External"/><Relationship Id="rId90" Type="http://schemas.openxmlformats.org/officeDocument/2006/relationships/hyperlink" Target="https://www.sec.gov/Archives/edgar/data/0000779152/000077915223000062/jha2006espp-amendedandre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2024-08-26T13:03:24Z</dcterms:created>
  <dcterms:modified xsi:type="dcterms:W3CDTF">2024-08-26T13:03:24Z</dcterms:modified>
</cp:coreProperties>
</file>