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00"/>
        <w:spacing w:after="0"/>
        <w:rPr>
          <w:sz w:val="20"/>
          <w:szCs w:val="20"/>
          <w:color w:val="auto"/>
        </w:rPr>
      </w:pPr>
      <w:r>
        <w:rPr>
          <w:rFonts w:ascii="Times New Roman" w:cs="Times New Roman" w:eastAsia="Times New Roman" w:hAnsi="Times New Roman"/>
          <w:sz w:val="22"/>
          <w:szCs w:val="22"/>
          <w:b w:val="1"/>
          <w:bCs w:val="1"/>
          <w:color w:val="auto"/>
        </w:rPr>
        <w:t>UNITED STATES</w:t>
      </w:r>
    </w:p>
    <w:p>
      <w:pPr>
        <w:spacing w:after="0" w:line="98"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spacing w:after="0" w:line="76" w:lineRule="exact"/>
        <w:rPr>
          <w:sz w:val="24"/>
          <w:szCs w:val="24"/>
          <w:color w:val="auto"/>
        </w:rPr>
      </w:pPr>
    </w:p>
    <w:p>
      <w:pPr>
        <w:ind w:left="4600"/>
        <w:spacing w:after="0"/>
        <w:rPr>
          <w:sz w:val="20"/>
          <w:szCs w:val="20"/>
          <w:color w:val="auto"/>
        </w:rPr>
      </w:pPr>
      <w:r>
        <w:rPr>
          <w:rFonts w:ascii="Times New Roman" w:cs="Times New Roman" w:eastAsia="Times New Roman" w:hAnsi="Times New Roman"/>
          <w:sz w:val="20"/>
          <w:szCs w:val="20"/>
          <w:b w:val="1"/>
          <w:bCs w:val="1"/>
          <w:color w:val="auto"/>
        </w:rPr>
        <w:t>Washington, D.C. 20549</w:t>
      </w:r>
    </w:p>
    <w:p>
      <w:pPr>
        <w:spacing w:after="0" w:line="200" w:lineRule="exact"/>
        <w:rPr>
          <w:sz w:val="24"/>
          <w:szCs w:val="24"/>
          <w:color w:val="auto"/>
        </w:rPr>
      </w:pPr>
    </w:p>
    <w:p>
      <w:pPr>
        <w:spacing w:after="0" w:line="240"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22"/>
          <w:szCs w:val="22"/>
          <w:b w:val="1"/>
          <w:bCs w:val="1"/>
          <w:color w:val="auto"/>
        </w:rPr>
        <w:t>SCHEDULE 14A</w:t>
      </w:r>
    </w:p>
    <w:p>
      <w:pPr>
        <w:spacing w:after="0" w:line="89" w:lineRule="exact"/>
        <w:rPr>
          <w:sz w:val="24"/>
          <w:szCs w:val="24"/>
          <w:color w:val="auto"/>
        </w:rPr>
      </w:pPr>
    </w:p>
    <w:p>
      <w:pPr>
        <w:ind w:left="5000"/>
        <w:spacing w:after="0"/>
        <w:rPr>
          <w:sz w:val="20"/>
          <w:szCs w:val="20"/>
          <w:color w:val="auto"/>
        </w:rPr>
      </w:pPr>
      <w:r>
        <w:rPr>
          <w:rFonts w:ascii="Times New Roman" w:cs="Times New Roman" w:eastAsia="Times New Roman" w:hAnsi="Times New Roman"/>
          <w:sz w:val="20"/>
          <w:szCs w:val="20"/>
          <w:b w:val="1"/>
          <w:bCs w:val="1"/>
          <w:color w:val="auto"/>
        </w:rPr>
        <w:t>(Rule 14a-101)</w:t>
      </w:r>
    </w:p>
    <w:p>
      <w:pPr>
        <w:spacing w:after="0" w:line="200" w:lineRule="exact"/>
        <w:rPr>
          <w:sz w:val="24"/>
          <w:szCs w:val="24"/>
          <w:color w:val="auto"/>
        </w:rPr>
      </w:pPr>
    </w:p>
    <w:p>
      <w:pPr>
        <w:spacing w:after="0" w:line="244"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22"/>
          <w:szCs w:val="22"/>
          <w:color w:val="auto"/>
        </w:rPr>
        <w:t>Proxy Statement Pursuant to Section 14(a) of</w:t>
      </w:r>
    </w:p>
    <w:p>
      <w:pPr>
        <w:spacing w:after="0" w:line="28"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22"/>
          <w:szCs w:val="22"/>
          <w:color w:val="auto"/>
        </w:rPr>
        <w:t>the Securities Exchange Act of 1934</w:t>
      </w:r>
    </w:p>
    <w:p>
      <w:pPr>
        <w:spacing w:after="0" w:line="4"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22"/>
          <w:szCs w:val="22"/>
          <w:color w:val="auto"/>
        </w:rPr>
        <w:t>(Amendment No. )</w:t>
      </w:r>
    </w:p>
    <w:p>
      <w:pPr>
        <w:spacing w:after="0" w:line="227" w:lineRule="exact"/>
        <w:rPr>
          <w:sz w:val="24"/>
          <w:szCs w:val="24"/>
          <w:color w:val="auto"/>
        </w:rPr>
      </w:pPr>
    </w:p>
    <w:p>
      <w:pPr>
        <w:spacing w:after="0"/>
        <w:rPr>
          <w:sz w:val="20"/>
          <w:szCs w:val="20"/>
          <w:color w:val="auto"/>
        </w:rPr>
      </w:pPr>
      <w:r>
        <w:rPr>
          <w:rFonts w:ascii="Times New Roman" w:cs="Times New Roman" w:eastAsia="Times New Roman" w:hAnsi="Times New Roman"/>
          <w:sz w:val="20"/>
          <w:szCs w:val="20"/>
          <w:color w:val="auto"/>
        </w:rPr>
        <w:t>Filed by the Registrant [x]</w:t>
      </w:r>
    </w:p>
    <w:p>
      <w:pPr>
        <w:spacing w:after="0" w:line="22" w:lineRule="exact"/>
        <w:rPr>
          <w:sz w:val="24"/>
          <w:szCs w:val="24"/>
          <w:color w:val="auto"/>
        </w:rPr>
      </w:pPr>
    </w:p>
    <w:p>
      <w:pPr>
        <w:spacing w:after="0"/>
        <w:rPr>
          <w:sz w:val="20"/>
          <w:szCs w:val="20"/>
          <w:color w:val="auto"/>
        </w:rPr>
      </w:pPr>
      <w:r>
        <w:rPr>
          <w:rFonts w:ascii="Times New Roman" w:cs="Times New Roman" w:eastAsia="Times New Roman" w:hAnsi="Times New Roman"/>
          <w:sz w:val="20"/>
          <w:szCs w:val="20"/>
          <w:color w:val="auto"/>
        </w:rPr>
        <w:t>Filed by a Party other than the Registrant [ ]</w:t>
      </w:r>
    </w:p>
    <w:p>
      <w:pPr>
        <w:spacing w:after="0" w:line="6" w:lineRule="exact"/>
        <w:rPr>
          <w:sz w:val="24"/>
          <w:szCs w:val="24"/>
          <w:color w:val="auto"/>
        </w:rPr>
      </w:pPr>
    </w:p>
    <w:p>
      <w:pPr>
        <w:spacing w:after="0"/>
        <w:rPr>
          <w:sz w:val="20"/>
          <w:szCs w:val="20"/>
          <w:color w:val="auto"/>
        </w:rPr>
      </w:pPr>
      <w:r>
        <w:rPr>
          <w:rFonts w:ascii="Times New Roman" w:cs="Times New Roman" w:eastAsia="Times New Roman" w:hAnsi="Times New Roman"/>
          <w:sz w:val="20"/>
          <w:szCs w:val="20"/>
          <w:color w:val="auto"/>
        </w:rPr>
        <w:t>Check the appropriate box:</w:t>
      </w:r>
    </w:p>
    <w:p>
      <w:pPr>
        <w:spacing w:after="0" w:line="227" w:lineRule="exact"/>
        <w:rPr>
          <w:sz w:val="24"/>
          <w:szCs w:val="24"/>
          <w:color w:val="auto"/>
        </w:rPr>
      </w:pPr>
    </w:p>
    <w:p>
      <w:pPr>
        <w:spacing w:after="0"/>
        <w:rPr>
          <w:sz w:val="20"/>
          <w:szCs w:val="20"/>
          <w:color w:val="auto"/>
        </w:rPr>
      </w:pPr>
      <w:r>
        <w:rPr>
          <w:rFonts w:ascii="Times New Roman" w:cs="Times New Roman" w:eastAsia="Times New Roman" w:hAnsi="Times New Roman"/>
          <w:sz w:val="20"/>
          <w:szCs w:val="20"/>
          <w:color w:val="auto"/>
        </w:rPr>
        <w:t>[ ] Preliminary Proxy Statement</w:t>
      </w:r>
    </w:p>
    <w:p>
      <w:pPr>
        <w:spacing w:after="0" w:line="28" w:lineRule="exact"/>
        <w:rPr>
          <w:sz w:val="24"/>
          <w:szCs w:val="24"/>
          <w:color w:val="auto"/>
        </w:rPr>
      </w:pPr>
    </w:p>
    <w:p>
      <w:pPr>
        <w:ind w:right="3459" w:firstLine="8"/>
        <w:spacing w:after="0" w:line="250" w:lineRule="auto"/>
        <w:tabs>
          <w:tab w:leader="none" w:pos="115" w:val="left"/>
        </w:tabs>
        <w:numPr>
          <w:ilvl w:val="0"/>
          <w:numId w:val="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Confidential, for Use of the Commission Only (as permitted by Rule 14a-6(e)(2)) [x] Definitive Proxy Statement</w:t>
      </w:r>
    </w:p>
    <w:p>
      <w:pPr>
        <w:ind w:left="120" w:hanging="112"/>
        <w:spacing w:after="0"/>
        <w:tabs>
          <w:tab w:leader="none" w:pos="120" w:val="left"/>
        </w:tabs>
        <w:numPr>
          <w:ilvl w:val="0"/>
          <w:numId w:val="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Definitive Additional Materials</w:t>
      </w:r>
    </w:p>
    <w:p>
      <w:pPr>
        <w:spacing w:after="0" w:line="6" w:lineRule="exact"/>
        <w:rPr>
          <w:rFonts w:ascii="Times New Roman" w:cs="Times New Roman" w:eastAsia="Times New Roman" w:hAnsi="Times New Roman"/>
          <w:sz w:val="20"/>
          <w:szCs w:val="20"/>
          <w:color w:val="auto"/>
        </w:rPr>
      </w:pPr>
    </w:p>
    <w:p>
      <w:pPr>
        <w:ind w:left="120" w:hanging="112"/>
        <w:spacing w:after="0"/>
        <w:tabs>
          <w:tab w:leader="none" w:pos="120" w:val="left"/>
        </w:tabs>
        <w:numPr>
          <w:ilvl w:val="0"/>
          <w:numId w:val="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Soliciting Material Pursuant to §240.14a-11(c) or §240.14a-12</w:t>
      </w:r>
    </w:p>
    <w:p>
      <w:pPr>
        <w:spacing w:after="0" w:line="340" w:lineRule="exact"/>
        <w:rPr>
          <w:sz w:val="24"/>
          <w:szCs w:val="24"/>
          <w:color w:val="auto"/>
        </w:rPr>
      </w:pPr>
    </w:p>
    <w:p>
      <w:pPr>
        <w:ind w:left="3820"/>
        <w:spacing w:after="0"/>
        <w:rPr>
          <w:sz w:val="20"/>
          <w:szCs w:val="20"/>
          <w:color w:val="auto"/>
        </w:rPr>
      </w:pPr>
      <w:r>
        <w:rPr>
          <w:rFonts w:ascii="Times New Roman" w:cs="Times New Roman" w:eastAsia="Times New Roman" w:hAnsi="Times New Roman"/>
          <w:sz w:val="22"/>
          <w:szCs w:val="22"/>
          <w:b w:val="1"/>
          <w:bCs w:val="1"/>
          <w:color w:val="auto"/>
        </w:rPr>
        <w:t>JACK HENRY &amp; ASSOCIATES, INC.</w:t>
      </w:r>
    </w:p>
    <w:p>
      <w:pPr>
        <w:spacing w:after="0" w:line="66" w:lineRule="exact"/>
        <w:rPr>
          <w:sz w:val="24"/>
          <w:szCs w:val="24"/>
          <w:color w:val="auto"/>
        </w:rPr>
      </w:pPr>
    </w:p>
    <w:p>
      <w:pPr>
        <w:ind w:left="3740"/>
        <w:spacing w:after="0"/>
        <w:rPr>
          <w:sz w:val="20"/>
          <w:szCs w:val="20"/>
          <w:color w:val="auto"/>
        </w:rPr>
      </w:pPr>
      <w:r>
        <w:rPr>
          <w:rFonts w:ascii="Times New Roman" w:cs="Times New Roman" w:eastAsia="Times New Roman" w:hAnsi="Times New Roman"/>
          <w:sz w:val="20"/>
          <w:szCs w:val="20"/>
          <w:color w:val="auto"/>
        </w:rPr>
        <w:t>(Name of Registrant as Specified in its Charter)</w:t>
      </w:r>
    </w:p>
    <w:p>
      <w:pPr>
        <w:spacing w:after="0" w:line="391" w:lineRule="exact"/>
        <w:rPr>
          <w:sz w:val="24"/>
          <w:szCs w:val="24"/>
          <w:color w:val="auto"/>
        </w:rPr>
      </w:pPr>
    </w:p>
    <w:p>
      <w:pPr>
        <w:jc w:val="right"/>
        <w:ind w:right="1659"/>
        <w:spacing w:after="0"/>
        <w:rPr>
          <w:sz w:val="20"/>
          <w:szCs w:val="20"/>
          <w:color w:val="auto"/>
        </w:rPr>
      </w:pPr>
      <w:r>
        <w:rPr>
          <w:rFonts w:ascii="Times New Roman" w:cs="Times New Roman" w:eastAsia="Times New Roman" w:hAnsi="Times New Roman"/>
          <w:sz w:val="20"/>
          <w:szCs w:val="20"/>
          <w:color w:val="auto"/>
        </w:rPr>
        <w:t>(Name of Person(s) Filing Proxy Statement, if other than the Registrant)</w:t>
      </w:r>
    </w:p>
    <w:p>
      <w:pPr>
        <w:spacing w:after="0" w:line="200" w:lineRule="exact"/>
        <w:rPr>
          <w:sz w:val="24"/>
          <w:szCs w:val="24"/>
          <w:color w:val="auto"/>
        </w:rPr>
      </w:pPr>
    </w:p>
    <w:p>
      <w:pPr>
        <w:spacing w:after="0" w:line="232" w:lineRule="exact"/>
        <w:rPr>
          <w:sz w:val="24"/>
          <w:szCs w:val="24"/>
          <w:color w:val="auto"/>
        </w:rPr>
      </w:pPr>
    </w:p>
    <w:p>
      <w:pPr>
        <w:spacing w:after="0"/>
        <w:rPr>
          <w:sz w:val="20"/>
          <w:szCs w:val="20"/>
          <w:color w:val="auto"/>
        </w:rPr>
      </w:pPr>
      <w:r>
        <w:rPr>
          <w:rFonts w:ascii="Times New Roman" w:cs="Times New Roman" w:eastAsia="Times New Roman" w:hAnsi="Times New Roman"/>
          <w:sz w:val="20"/>
          <w:szCs w:val="20"/>
          <w:color w:val="auto"/>
        </w:rPr>
        <w:t>Payment of Filing Fee (Check the appropriate box):</w:t>
      </w:r>
    </w:p>
    <w:p>
      <w:pPr>
        <w:spacing w:after="0" w:line="94" w:lineRule="exact"/>
        <w:rPr>
          <w:sz w:val="24"/>
          <w:szCs w:val="24"/>
          <w:color w:val="auto"/>
        </w:rPr>
      </w:pPr>
    </w:p>
    <w:p>
      <w:pPr>
        <w:spacing w:after="0"/>
        <w:rPr>
          <w:sz w:val="20"/>
          <w:szCs w:val="20"/>
          <w:color w:val="auto"/>
        </w:rPr>
      </w:pPr>
      <w:r>
        <w:rPr>
          <w:rFonts w:ascii="Times New Roman" w:cs="Times New Roman" w:eastAsia="Times New Roman" w:hAnsi="Times New Roman"/>
          <w:sz w:val="20"/>
          <w:szCs w:val="20"/>
          <w:color w:val="auto"/>
        </w:rPr>
        <w:t>[x] No fee required.</w:t>
      </w:r>
    </w:p>
    <w:p>
      <w:pPr>
        <w:spacing w:after="0" w:line="94" w:lineRule="exact"/>
        <w:rPr>
          <w:sz w:val="24"/>
          <w:szCs w:val="24"/>
          <w:color w:val="auto"/>
        </w:rPr>
      </w:pPr>
    </w:p>
    <w:p>
      <w:pPr>
        <w:spacing w:after="0"/>
        <w:rPr>
          <w:sz w:val="20"/>
          <w:szCs w:val="20"/>
          <w:color w:val="auto"/>
        </w:rPr>
      </w:pPr>
      <w:r>
        <w:rPr>
          <w:rFonts w:ascii="Times New Roman" w:cs="Times New Roman" w:eastAsia="Times New Roman" w:hAnsi="Times New Roman"/>
          <w:sz w:val="20"/>
          <w:szCs w:val="20"/>
          <w:color w:val="auto"/>
        </w:rPr>
        <w:t>[ ] Fee paid previously with preliminary materials.</w:t>
      </w:r>
    </w:p>
    <w:p>
      <w:pPr>
        <w:spacing w:after="0" w:line="94" w:lineRule="exact"/>
        <w:rPr>
          <w:sz w:val="24"/>
          <w:szCs w:val="24"/>
          <w:color w:val="auto"/>
        </w:rPr>
      </w:pPr>
    </w:p>
    <w:p>
      <w:pPr>
        <w:spacing w:after="0"/>
        <w:rPr>
          <w:sz w:val="20"/>
          <w:szCs w:val="20"/>
          <w:color w:val="auto"/>
        </w:rPr>
      </w:pPr>
      <w:r>
        <w:rPr>
          <w:rFonts w:ascii="Times New Roman" w:cs="Times New Roman" w:eastAsia="Times New Roman" w:hAnsi="Times New Roman"/>
          <w:sz w:val="20"/>
          <w:szCs w:val="20"/>
          <w:color w:val="auto"/>
        </w:rPr>
        <w:t>[ ] Fee computed on table below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549910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972" w:right="1440" w:bottom="1440" w:gutter="0" w:footer="0" w:header="0"/>
        </w:sectPr>
      </w:pPr>
    </w:p>
    <w:bookmarkStart w:id="1" w:name="page2"/>
    <w:bookmarkEnd w:id="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2900045</wp:posOffset>
            </wp:positionH>
            <wp:positionV relativeFrom="page">
              <wp:posOffset>766445</wp:posOffset>
            </wp:positionV>
            <wp:extent cx="1757680" cy="4032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clrChange>
                        <a:clrFrom>
                          <a:srgbClr val="FFFFFF"/>
                        </a:clrFrom>
                        <a:clrTo>
                          <a:srgbClr val="FFFFFF">
                            <a:alpha val="0"/>
                          </a:srgbClr>
                        </a:clrTo>
                      </a:clrChange>
                      <a:extLst>
                        <a:ext uri="{28A0092B-C50C-407E-A947-70E740481C1C}"/>
                      </a:extLst>
                    </a:blip>
                    <a:srcRect/>
                    <a:stretch>
                      <a:fillRect/>
                    </a:stretch>
                  </pic:blipFill>
                  <pic:spPr bwMode="auto">
                    <a:xfrm>
                      <a:off x="0" y="0"/>
                      <a:ext cx="1757680" cy="403225"/>
                    </a:xfrm>
                    <a:prstGeom prst="rect">
                      <a:avLst/>
                    </a:prstGeom>
                    <a:noFill/>
                  </pic:spPr>
                </pic:pic>
              </a:graphicData>
            </a:graphic>
          </wp:anchor>
        </w:drawing>
      </w:r>
    </w:p>
    <w:p>
      <w:pPr>
        <w:spacing w:after="0" w:line="271" w:lineRule="exact"/>
        <w:rPr>
          <w:sz w:val="20"/>
          <w:szCs w:val="20"/>
          <w:color w:val="auto"/>
        </w:rPr>
      </w:pPr>
    </w:p>
    <w:p>
      <w:pPr>
        <w:ind w:left="1880"/>
        <w:spacing w:after="0"/>
        <w:rPr>
          <w:sz w:val="20"/>
          <w:szCs w:val="20"/>
          <w:color w:val="auto"/>
        </w:rPr>
      </w:pPr>
      <w:r>
        <w:rPr>
          <w:rFonts w:ascii="Arial" w:cs="Arial" w:eastAsia="Arial" w:hAnsi="Arial"/>
          <w:sz w:val="25"/>
          <w:szCs w:val="25"/>
          <w:b w:val="1"/>
          <w:bCs w:val="1"/>
          <w:color w:val="06185F"/>
        </w:rPr>
        <w:t>NOTICE OF 2024 ANNUAL MEETING OF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4477385</wp:posOffset>
            </wp:positionH>
            <wp:positionV relativeFrom="paragraph">
              <wp:posOffset>193040</wp:posOffset>
            </wp:positionV>
            <wp:extent cx="8890" cy="8655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890" cy="865505"/>
                    </a:xfrm>
                    <a:prstGeom prst="rect">
                      <a:avLst/>
                    </a:prstGeom>
                    <a:noFill/>
                  </pic:spPr>
                </pic:pic>
              </a:graphicData>
            </a:graphic>
          </wp:anchor>
        </w:drawing>
        <w:drawing>
          <wp:anchor simplePos="0" relativeHeight="251657728" behindDoc="1" locked="0" layoutInCell="0" allowOverlap="1">
            <wp:simplePos x="0" y="0"/>
            <wp:positionH relativeFrom="column">
              <wp:posOffset>2317115</wp:posOffset>
            </wp:positionH>
            <wp:positionV relativeFrom="paragraph">
              <wp:posOffset>193040</wp:posOffset>
            </wp:positionV>
            <wp:extent cx="8890" cy="8655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8890" cy="865505"/>
                    </a:xfrm>
                    <a:prstGeom prst="rect">
                      <a:avLst/>
                    </a:prstGeom>
                    <a:noFill/>
                  </pic:spPr>
                </pic:pic>
              </a:graphicData>
            </a:graphic>
          </wp:anchor>
        </w:drawing>
        <w:drawing>
          <wp:anchor simplePos="0" relativeHeight="251657728" behindDoc="1" locked="0" layoutInCell="0" allowOverlap="1">
            <wp:simplePos x="0" y="0"/>
            <wp:positionH relativeFrom="column">
              <wp:posOffset>1031240</wp:posOffset>
            </wp:positionH>
            <wp:positionV relativeFrom="paragraph">
              <wp:posOffset>270510</wp:posOffset>
            </wp:positionV>
            <wp:extent cx="651510" cy="6515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51510" cy="651510"/>
                    </a:xfrm>
                    <a:prstGeom prst="rect">
                      <a:avLst/>
                    </a:prstGeom>
                    <a:noFill/>
                  </pic:spPr>
                </pic:pic>
              </a:graphicData>
            </a:graphic>
          </wp:anchor>
        </w:drawing>
        <w:drawing>
          <wp:anchor simplePos="0" relativeHeight="251657728" behindDoc="1" locked="0" layoutInCell="0" allowOverlap="1">
            <wp:simplePos x="0" y="0"/>
            <wp:positionH relativeFrom="column">
              <wp:posOffset>3080385</wp:posOffset>
            </wp:positionH>
            <wp:positionV relativeFrom="paragraph">
              <wp:posOffset>193040</wp:posOffset>
            </wp:positionV>
            <wp:extent cx="651510" cy="6515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51510" cy="651510"/>
                    </a:xfrm>
                    <a:prstGeom prst="rect">
                      <a:avLst/>
                    </a:prstGeom>
                    <a:noFill/>
                  </pic:spPr>
                </pic:pic>
              </a:graphicData>
            </a:graphic>
          </wp:anchor>
        </w:drawing>
        <w:drawing>
          <wp:anchor simplePos="0" relativeHeight="251657728" behindDoc="1" locked="0" layoutInCell="0" allowOverlap="1">
            <wp:simplePos x="0" y="0"/>
            <wp:positionH relativeFrom="column">
              <wp:posOffset>5128895</wp:posOffset>
            </wp:positionH>
            <wp:positionV relativeFrom="paragraph">
              <wp:posOffset>270510</wp:posOffset>
            </wp:positionV>
            <wp:extent cx="651510" cy="6515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51510" cy="651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tbl>
      <w:tblPr>
        <w:tblLayout w:type="fixed"/>
        <w:tblInd w:w="680" w:type="dxa"/>
        <w:tblCellMar>
          <w:top w:w="0" w:type="dxa"/>
          <w:left w:w="0" w:type="dxa"/>
          <w:bottom w:w="0" w:type="dxa"/>
          <w:right w:w="0" w:type="dxa"/>
        </w:tblCellMar>
      </w:tblPr>
      <w:tr>
        <w:trPr>
          <w:trHeight w:val="207"/>
        </w:trPr>
        <w:tc>
          <w:tcPr>
            <w:tcW w:w="840" w:type="dxa"/>
            <w:vAlign w:val="bottom"/>
          </w:tcPr>
          <w:p>
            <w:pPr>
              <w:spacing w:after="0"/>
              <w:rPr>
                <w:sz w:val="17"/>
                <w:szCs w:val="17"/>
                <w:color w:val="auto"/>
              </w:rPr>
            </w:pPr>
          </w:p>
        </w:tc>
        <w:tc>
          <w:tcPr>
            <w:tcW w:w="2260" w:type="dxa"/>
            <w:vAlign w:val="bottom"/>
            <w:gridSpan w:val="2"/>
          </w:tcPr>
          <w:p>
            <w:pPr>
              <w:spacing w:after="0"/>
              <w:rPr>
                <w:sz w:val="20"/>
                <w:szCs w:val="20"/>
                <w:color w:val="auto"/>
              </w:rPr>
            </w:pPr>
            <w:r>
              <w:rPr>
                <w:rFonts w:ascii="Arial" w:cs="Arial" w:eastAsia="Arial" w:hAnsi="Arial"/>
                <w:sz w:val="18"/>
                <w:szCs w:val="18"/>
                <w:b w:val="1"/>
                <w:bCs w:val="1"/>
                <w:color w:val="auto"/>
              </w:rPr>
              <w:t>Date and Time</w:t>
            </w:r>
          </w:p>
        </w:tc>
        <w:tc>
          <w:tcPr>
            <w:tcW w:w="3460" w:type="dxa"/>
            <w:vAlign w:val="bottom"/>
            <w:gridSpan w:val="3"/>
          </w:tcPr>
          <w:p>
            <w:pPr>
              <w:jc w:val="center"/>
              <w:ind w:right="320"/>
              <w:spacing w:after="0"/>
              <w:rPr>
                <w:sz w:val="20"/>
                <w:szCs w:val="20"/>
                <w:color w:val="auto"/>
              </w:rPr>
            </w:pPr>
            <w:r>
              <w:rPr>
                <w:rFonts w:ascii="Arial" w:cs="Arial" w:eastAsia="Arial" w:hAnsi="Arial"/>
                <w:sz w:val="18"/>
                <w:szCs w:val="18"/>
                <w:b w:val="1"/>
                <w:bCs w:val="1"/>
                <w:color w:val="auto"/>
                <w:w w:val="98"/>
              </w:rPr>
              <w:t>Location</w:t>
            </w:r>
          </w:p>
        </w:tc>
        <w:tc>
          <w:tcPr>
            <w:tcW w:w="2160" w:type="dxa"/>
            <w:vAlign w:val="bottom"/>
            <w:gridSpan w:val="3"/>
          </w:tcPr>
          <w:p>
            <w:pPr>
              <w:jc w:val="center"/>
              <w:ind w:left="450"/>
              <w:spacing w:after="0"/>
              <w:rPr>
                <w:sz w:val="20"/>
                <w:szCs w:val="20"/>
                <w:color w:val="auto"/>
              </w:rPr>
            </w:pPr>
            <w:r>
              <w:rPr>
                <w:rFonts w:ascii="Arial" w:cs="Arial" w:eastAsia="Arial" w:hAnsi="Arial"/>
                <w:sz w:val="18"/>
                <w:szCs w:val="18"/>
                <w:b w:val="1"/>
                <w:bCs w:val="1"/>
                <w:color w:val="auto"/>
                <w:w w:val="99"/>
              </w:rPr>
              <w:t>Record Date</w:t>
            </w:r>
          </w:p>
        </w:tc>
        <w:tc>
          <w:tcPr>
            <w:tcW w:w="0" w:type="dxa"/>
            <w:vAlign w:val="bottom"/>
          </w:tcPr>
          <w:p>
            <w:pPr>
              <w:spacing w:after="0"/>
              <w:rPr>
                <w:sz w:val="1"/>
                <w:szCs w:val="1"/>
                <w:color w:val="auto"/>
              </w:rPr>
            </w:pPr>
          </w:p>
        </w:tc>
      </w:tr>
      <w:tr>
        <w:trPr>
          <w:trHeight w:val="20"/>
        </w:trPr>
        <w:tc>
          <w:tcPr>
            <w:tcW w:w="840" w:type="dxa"/>
            <w:vAlign w:val="bottom"/>
            <w:vMerge w:val="restart"/>
          </w:tcPr>
          <w:p>
            <w:pPr>
              <w:spacing w:after="0" w:line="176" w:lineRule="exact"/>
              <w:rPr>
                <w:sz w:val="20"/>
                <w:szCs w:val="20"/>
                <w:color w:val="auto"/>
              </w:rPr>
            </w:pPr>
            <w:r>
              <w:rPr>
                <w:rFonts w:ascii="Arial" w:cs="Arial" w:eastAsia="Arial" w:hAnsi="Arial"/>
                <w:sz w:val="18"/>
                <w:szCs w:val="18"/>
                <w:color w:val="auto"/>
              </w:rPr>
              <w:t>Tuesday,</w:t>
            </w:r>
          </w:p>
        </w:tc>
        <w:tc>
          <w:tcPr>
            <w:tcW w:w="1220" w:type="dxa"/>
            <w:vAlign w:val="bottom"/>
            <w:shd w:val="clear" w:color="auto" w:fill="000000"/>
          </w:tcPr>
          <w:p>
            <w:pPr>
              <w:spacing w:after="0" w:line="20" w:lineRule="exact"/>
              <w:rPr>
                <w:sz w:val="1"/>
                <w:szCs w:val="1"/>
                <w:color w:val="auto"/>
              </w:rPr>
            </w:pPr>
          </w:p>
        </w:tc>
        <w:tc>
          <w:tcPr>
            <w:tcW w:w="1040" w:type="dxa"/>
            <w:vAlign w:val="bottom"/>
            <w:vMerge w:val="restart"/>
          </w:tcPr>
          <w:p>
            <w:pPr>
              <w:jc w:val="right"/>
              <w:ind w:right="110"/>
              <w:spacing w:after="0" w:line="176" w:lineRule="exact"/>
              <w:rPr>
                <w:sz w:val="20"/>
                <w:szCs w:val="20"/>
                <w:color w:val="auto"/>
              </w:rPr>
            </w:pPr>
            <w:r>
              <w:rPr>
                <w:rFonts w:ascii="Arial" w:cs="Arial" w:eastAsia="Arial" w:hAnsi="Arial"/>
                <w:sz w:val="18"/>
                <w:szCs w:val="18"/>
                <w:color w:val="auto"/>
                <w:w w:val="86"/>
              </w:rPr>
              <w:t>2024, 11:00</w:t>
            </w:r>
          </w:p>
        </w:tc>
        <w:tc>
          <w:tcPr>
            <w:tcW w:w="1200" w:type="dxa"/>
            <w:vAlign w:val="bottom"/>
            <w:vMerge w:val="restart"/>
          </w:tcPr>
          <w:p>
            <w:pPr>
              <w:ind w:left="220"/>
              <w:spacing w:after="0" w:line="176" w:lineRule="exact"/>
              <w:rPr>
                <w:sz w:val="20"/>
                <w:szCs w:val="20"/>
                <w:color w:val="auto"/>
              </w:rPr>
            </w:pPr>
            <w:r>
              <w:rPr>
                <w:rFonts w:ascii="Arial" w:cs="Arial" w:eastAsia="Arial" w:hAnsi="Arial"/>
                <w:sz w:val="18"/>
                <w:szCs w:val="18"/>
                <w:color w:val="auto"/>
              </w:rPr>
              <w:t>Jack Henry</w:t>
            </w:r>
          </w:p>
        </w:tc>
        <w:tc>
          <w:tcPr>
            <w:tcW w:w="740" w:type="dxa"/>
            <w:vAlign w:val="bottom"/>
            <w:shd w:val="clear" w:color="auto" w:fill="000000"/>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840" w:type="dxa"/>
            <w:vAlign w:val="bottom"/>
            <w:vMerge w:val="continue"/>
          </w:tcPr>
          <w:p>
            <w:pPr>
              <w:spacing w:after="0"/>
              <w:rPr>
                <w:sz w:val="13"/>
                <w:szCs w:val="13"/>
                <w:color w:val="auto"/>
              </w:rPr>
            </w:pPr>
          </w:p>
        </w:tc>
        <w:tc>
          <w:tcPr>
            <w:tcW w:w="1220" w:type="dxa"/>
            <w:vAlign w:val="bottom"/>
          </w:tcPr>
          <w:p>
            <w:pPr>
              <w:spacing w:after="0" w:line="156" w:lineRule="exact"/>
              <w:rPr>
                <w:sz w:val="20"/>
                <w:szCs w:val="20"/>
                <w:color w:val="auto"/>
              </w:rPr>
            </w:pPr>
            <w:r>
              <w:rPr>
                <w:rFonts w:ascii="Arial" w:cs="Arial" w:eastAsia="Arial" w:hAnsi="Arial"/>
                <w:sz w:val="18"/>
                <w:szCs w:val="18"/>
                <w:color w:val="auto"/>
              </w:rPr>
              <w:t>November 12,</w:t>
            </w:r>
          </w:p>
        </w:tc>
        <w:tc>
          <w:tcPr>
            <w:tcW w:w="1040" w:type="dxa"/>
            <w:vAlign w:val="bottom"/>
            <w:vMerge w:val="continue"/>
          </w:tcPr>
          <w:p>
            <w:pPr>
              <w:spacing w:after="0"/>
              <w:rPr>
                <w:sz w:val="13"/>
                <w:szCs w:val="13"/>
                <w:color w:val="auto"/>
              </w:rPr>
            </w:pPr>
          </w:p>
        </w:tc>
        <w:tc>
          <w:tcPr>
            <w:tcW w:w="1200" w:type="dxa"/>
            <w:vAlign w:val="bottom"/>
            <w:vMerge w:val="continue"/>
          </w:tcPr>
          <w:p>
            <w:pPr>
              <w:spacing w:after="0"/>
              <w:rPr>
                <w:sz w:val="13"/>
                <w:szCs w:val="13"/>
                <w:color w:val="auto"/>
              </w:rPr>
            </w:pPr>
          </w:p>
        </w:tc>
        <w:tc>
          <w:tcPr>
            <w:tcW w:w="2260" w:type="dxa"/>
            <w:vAlign w:val="bottom"/>
            <w:gridSpan w:val="2"/>
          </w:tcPr>
          <w:p>
            <w:pPr>
              <w:spacing w:after="0" w:line="156" w:lineRule="exact"/>
              <w:rPr>
                <w:sz w:val="20"/>
                <w:szCs w:val="20"/>
                <w:color w:val="auto"/>
              </w:rPr>
            </w:pPr>
            <w:r>
              <w:rPr>
                <w:rFonts w:ascii="Arial" w:cs="Arial" w:eastAsia="Arial" w:hAnsi="Arial"/>
                <w:sz w:val="18"/>
                <w:szCs w:val="18"/>
                <w:color w:val="auto"/>
              </w:rPr>
              <w:t>&amp; Associates, Inc. HQ</w:t>
            </w:r>
          </w:p>
        </w:tc>
        <w:tc>
          <w:tcPr>
            <w:tcW w:w="2160" w:type="dxa"/>
            <w:vAlign w:val="bottom"/>
            <w:gridSpan w:val="3"/>
          </w:tcPr>
          <w:p>
            <w:pPr>
              <w:jc w:val="center"/>
              <w:ind w:left="430"/>
              <w:spacing w:after="0" w:line="156" w:lineRule="exact"/>
              <w:rPr>
                <w:sz w:val="20"/>
                <w:szCs w:val="20"/>
                <w:color w:val="auto"/>
              </w:rPr>
            </w:pPr>
            <w:r>
              <w:rPr>
                <w:rFonts w:ascii="Arial" w:cs="Arial" w:eastAsia="Arial" w:hAnsi="Arial"/>
                <w:sz w:val="18"/>
                <w:szCs w:val="18"/>
                <w:color w:val="auto"/>
              </w:rPr>
              <w:t>September 16, 2024</w:t>
            </w:r>
          </w:p>
        </w:tc>
        <w:tc>
          <w:tcPr>
            <w:tcW w:w="0" w:type="dxa"/>
            <w:vAlign w:val="bottom"/>
          </w:tcPr>
          <w:p>
            <w:pPr>
              <w:spacing w:after="0"/>
              <w:rPr>
                <w:sz w:val="1"/>
                <w:szCs w:val="1"/>
                <w:color w:val="auto"/>
              </w:rPr>
            </w:pPr>
          </w:p>
        </w:tc>
      </w:tr>
      <w:tr>
        <w:trPr>
          <w:trHeight w:val="175"/>
        </w:trPr>
        <w:tc>
          <w:tcPr>
            <w:tcW w:w="840" w:type="dxa"/>
            <w:vAlign w:val="bottom"/>
          </w:tcPr>
          <w:p>
            <w:pPr>
              <w:spacing w:after="0"/>
              <w:rPr>
                <w:sz w:val="15"/>
                <w:szCs w:val="15"/>
                <w:color w:val="auto"/>
              </w:rPr>
            </w:pPr>
          </w:p>
        </w:tc>
        <w:tc>
          <w:tcPr>
            <w:tcW w:w="2260" w:type="dxa"/>
            <w:vAlign w:val="bottom"/>
            <w:gridSpan w:val="2"/>
          </w:tcPr>
          <w:p>
            <w:pPr>
              <w:ind w:left="180"/>
              <w:spacing w:after="0" w:line="176" w:lineRule="exact"/>
              <w:rPr>
                <w:sz w:val="20"/>
                <w:szCs w:val="20"/>
                <w:color w:val="auto"/>
              </w:rPr>
            </w:pPr>
            <w:r>
              <w:rPr>
                <w:rFonts w:ascii="Arial" w:cs="Arial" w:eastAsia="Arial" w:hAnsi="Arial"/>
                <w:sz w:val="18"/>
                <w:szCs w:val="18"/>
                <w:color w:val="auto"/>
              </w:rPr>
              <w:t>a.m. (CST)</w:t>
            </w:r>
          </w:p>
        </w:tc>
        <w:tc>
          <w:tcPr>
            <w:tcW w:w="3460" w:type="dxa"/>
            <w:vAlign w:val="bottom"/>
            <w:gridSpan w:val="3"/>
          </w:tcPr>
          <w:p>
            <w:pPr>
              <w:jc w:val="center"/>
              <w:ind w:right="320"/>
              <w:spacing w:after="0" w:line="176" w:lineRule="exact"/>
              <w:rPr>
                <w:sz w:val="20"/>
                <w:szCs w:val="20"/>
                <w:color w:val="auto"/>
              </w:rPr>
            </w:pPr>
            <w:r>
              <w:rPr>
                <w:rFonts w:ascii="Arial" w:cs="Arial" w:eastAsia="Arial" w:hAnsi="Arial"/>
                <w:sz w:val="18"/>
                <w:szCs w:val="18"/>
                <w:color w:val="auto"/>
                <w:w w:val="98"/>
              </w:rPr>
              <w:t>663 Highway 60, P.O. Box 807</w:t>
            </w:r>
          </w:p>
        </w:tc>
        <w:tc>
          <w:tcPr>
            <w:tcW w:w="8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9"/>
        </w:trPr>
        <w:tc>
          <w:tcPr>
            <w:tcW w:w="8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3460" w:type="dxa"/>
            <w:vAlign w:val="bottom"/>
            <w:gridSpan w:val="3"/>
          </w:tcPr>
          <w:p>
            <w:pPr>
              <w:jc w:val="center"/>
              <w:ind w:right="320"/>
              <w:spacing w:after="0"/>
              <w:rPr>
                <w:sz w:val="20"/>
                <w:szCs w:val="20"/>
                <w:color w:val="auto"/>
              </w:rPr>
            </w:pPr>
            <w:r>
              <w:rPr>
                <w:rFonts w:ascii="Arial" w:cs="Arial" w:eastAsia="Arial" w:hAnsi="Arial"/>
                <w:sz w:val="18"/>
                <w:szCs w:val="18"/>
                <w:color w:val="auto"/>
                <w:w w:val="99"/>
              </w:rPr>
              <w:t>Monett, Missouri 65708</w:t>
            </w:r>
          </w:p>
        </w:tc>
        <w:tc>
          <w:tcPr>
            <w:tcW w:w="8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309"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The 2024 Annual Meeting of Stockholders (the “Annual Meeting”) of Jack Henry &amp; Associates, Inc., a Delaware corporation (the “Company”), will be held at the Company’s Headquarters, 663 Highway 60, Monett, Missouri, on Tuesday, November 12, 2024, 11:00 a.m., Central Time.</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The purpose of the Annual Meeting will be the following:</w:t>
      </w:r>
    </w:p>
    <w:p>
      <w:pPr>
        <w:spacing w:after="0" w:line="265" w:lineRule="exact"/>
        <w:rPr>
          <w:sz w:val="20"/>
          <w:szCs w:val="20"/>
          <w:color w:val="auto"/>
        </w:rPr>
      </w:pPr>
    </w:p>
    <w:p>
      <w:pPr>
        <w:ind w:left="1120" w:hanging="562"/>
        <w:spacing w:after="0"/>
        <w:tabs>
          <w:tab w:leader="none" w:pos="1120" w:val="left"/>
        </w:tabs>
        <w:numPr>
          <w:ilvl w:val="0"/>
          <w:numId w:val="2"/>
        </w:numPr>
        <w:rPr>
          <w:rFonts w:ascii="Arial" w:cs="Arial" w:eastAsia="Arial" w:hAnsi="Arial"/>
          <w:sz w:val="22"/>
          <w:szCs w:val="22"/>
          <w:color w:val="06185F"/>
        </w:rPr>
      </w:pPr>
      <w:r>
        <w:rPr>
          <w:rFonts w:ascii="Arial" w:cs="Arial" w:eastAsia="Arial" w:hAnsi="Arial"/>
          <w:sz w:val="18"/>
          <w:szCs w:val="18"/>
          <w:color w:val="auto"/>
        </w:rPr>
        <w:t>To elect nine directors to serve until the 2025 Annual Meeting of Stockholders;</w:t>
      </w:r>
    </w:p>
    <w:p>
      <w:pPr>
        <w:spacing w:after="0" w:line="30" w:lineRule="exact"/>
        <w:rPr>
          <w:rFonts w:ascii="Arial" w:cs="Arial" w:eastAsia="Arial" w:hAnsi="Arial"/>
          <w:sz w:val="22"/>
          <w:szCs w:val="22"/>
          <w:color w:val="06185F"/>
        </w:rPr>
      </w:pPr>
    </w:p>
    <w:p>
      <w:pPr>
        <w:ind w:left="1060" w:hanging="502"/>
        <w:spacing w:after="0"/>
        <w:tabs>
          <w:tab w:leader="none" w:pos="1060" w:val="left"/>
        </w:tabs>
        <w:numPr>
          <w:ilvl w:val="0"/>
          <w:numId w:val="2"/>
        </w:numPr>
        <w:rPr>
          <w:rFonts w:ascii="Arial" w:cs="Arial" w:eastAsia="Arial" w:hAnsi="Arial"/>
          <w:sz w:val="22"/>
          <w:szCs w:val="22"/>
          <w:color w:val="06185F"/>
        </w:rPr>
      </w:pPr>
      <w:r>
        <w:rPr>
          <w:rFonts w:ascii="Arial" w:cs="Arial" w:eastAsia="Arial" w:hAnsi="Arial"/>
          <w:sz w:val="18"/>
          <w:szCs w:val="18"/>
          <w:color w:val="auto"/>
        </w:rPr>
        <w:t>To approve, on an advisory basis, the compensation of our named executive officers;</w:t>
      </w:r>
    </w:p>
    <w:p>
      <w:pPr>
        <w:spacing w:after="0" w:line="10" w:lineRule="exact"/>
        <w:rPr>
          <w:rFonts w:ascii="Arial" w:cs="Arial" w:eastAsia="Arial" w:hAnsi="Arial"/>
          <w:sz w:val="22"/>
          <w:szCs w:val="22"/>
          <w:color w:val="06185F"/>
        </w:rPr>
      </w:pPr>
    </w:p>
    <w:p>
      <w:pPr>
        <w:ind w:left="1040" w:hanging="482"/>
        <w:spacing w:after="0" w:line="233" w:lineRule="auto"/>
        <w:tabs>
          <w:tab w:leader="none" w:pos="1040" w:val="left"/>
        </w:tabs>
        <w:numPr>
          <w:ilvl w:val="0"/>
          <w:numId w:val="2"/>
        </w:numPr>
        <w:rPr>
          <w:rFonts w:ascii="Arial" w:cs="Arial" w:eastAsia="Arial" w:hAnsi="Arial"/>
          <w:sz w:val="22"/>
          <w:szCs w:val="22"/>
          <w:color w:val="06185F"/>
        </w:rPr>
      </w:pPr>
      <w:r>
        <w:rPr>
          <w:rFonts w:ascii="Arial" w:cs="Arial" w:eastAsia="Arial" w:hAnsi="Arial"/>
          <w:sz w:val="18"/>
          <w:szCs w:val="18"/>
          <w:color w:val="auto"/>
        </w:rPr>
        <w:t>To approve an amendment to our certificate of incorporation to reduce stockholder voting thresholds;</w:t>
      </w:r>
    </w:p>
    <w:p>
      <w:pPr>
        <w:spacing w:after="0" w:line="17" w:lineRule="exact"/>
        <w:rPr>
          <w:rFonts w:ascii="Arial" w:cs="Arial" w:eastAsia="Arial" w:hAnsi="Arial"/>
          <w:sz w:val="22"/>
          <w:szCs w:val="22"/>
          <w:color w:val="06185F"/>
        </w:rPr>
      </w:pPr>
    </w:p>
    <w:p>
      <w:pPr>
        <w:ind w:left="1040" w:hanging="482"/>
        <w:spacing w:after="0"/>
        <w:tabs>
          <w:tab w:leader="none" w:pos="1040" w:val="left"/>
        </w:tabs>
        <w:numPr>
          <w:ilvl w:val="0"/>
          <w:numId w:val="2"/>
        </w:numPr>
        <w:rPr>
          <w:rFonts w:ascii="Arial" w:cs="Arial" w:eastAsia="Arial" w:hAnsi="Arial"/>
          <w:sz w:val="22"/>
          <w:szCs w:val="22"/>
          <w:color w:val="06185F"/>
        </w:rPr>
      </w:pPr>
      <w:r>
        <w:rPr>
          <w:rFonts w:ascii="Arial" w:cs="Arial" w:eastAsia="Arial" w:hAnsi="Arial"/>
          <w:sz w:val="18"/>
          <w:szCs w:val="18"/>
          <w:color w:val="auto"/>
        </w:rPr>
        <w:t>To ratify the selection of the Company’s independent registered public accounting firm; and</w:t>
      </w:r>
    </w:p>
    <w:p>
      <w:pPr>
        <w:spacing w:after="0" w:line="30" w:lineRule="exact"/>
        <w:rPr>
          <w:rFonts w:ascii="Arial" w:cs="Arial" w:eastAsia="Arial" w:hAnsi="Arial"/>
          <w:sz w:val="22"/>
          <w:szCs w:val="22"/>
          <w:color w:val="06185F"/>
        </w:rPr>
      </w:pPr>
    </w:p>
    <w:p>
      <w:pPr>
        <w:ind w:left="1040" w:hanging="482"/>
        <w:spacing w:after="0"/>
        <w:tabs>
          <w:tab w:leader="none" w:pos="1040" w:val="left"/>
        </w:tabs>
        <w:numPr>
          <w:ilvl w:val="0"/>
          <w:numId w:val="2"/>
        </w:numPr>
        <w:rPr>
          <w:rFonts w:ascii="Arial" w:cs="Arial" w:eastAsia="Arial" w:hAnsi="Arial"/>
          <w:sz w:val="22"/>
          <w:szCs w:val="22"/>
          <w:color w:val="06185F"/>
        </w:rPr>
      </w:pPr>
      <w:r>
        <w:rPr>
          <w:rFonts w:ascii="Arial" w:cs="Arial" w:eastAsia="Arial" w:hAnsi="Arial"/>
          <w:sz w:val="18"/>
          <w:szCs w:val="18"/>
          <w:color w:val="auto"/>
        </w:rPr>
        <w:t>To transact such other business as may properly come before the Annual Meeting and any adjournments thereof.</w:t>
      </w:r>
    </w:p>
    <w:p>
      <w:pPr>
        <w:spacing w:after="0" w:line="234"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The close of business on September 16, 2024, has been fixed as the record date for the Annual Meeting. Only stockholders of record as of that date will be entitled to notice of and to vote at said meeting and any adjournment or postponement thereof.</w:t>
      </w:r>
    </w:p>
    <w:p>
      <w:pPr>
        <w:spacing w:after="0" w:line="193" w:lineRule="exact"/>
        <w:rPr>
          <w:sz w:val="20"/>
          <w:szCs w:val="20"/>
          <w:color w:val="auto"/>
        </w:rPr>
      </w:pPr>
    </w:p>
    <w:p>
      <w:pPr>
        <w:jc w:val="both"/>
        <w:spacing w:after="0" w:line="276" w:lineRule="auto"/>
        <w:rPr>
          <w:sz w:val="20"/>
          <w:szCs w:val="20"/>
          <w:color w:val="auto"/>
        </w:rPr>
      </w:pPr>
      <w:r>
        <w:rPr>
          <w:rFonts w:ascii="Arial" w:cs="Arial" w:eastAsia="Arial" w:hAnsi="Arial"/>
          <w:sz w:val="18"/>
          <w:szCs w:val="18"/>
          <w:color w:val="auto"/>
        </w:rPr>
        <w:t>Notice regarding the availability of proxy materials and this proxy statement and form of proxy are being distributed and made available on or about October 4, 2024. The accompanying form of proxy is solicited by the Board of Directors of the Company. The attached Proxy Statement contains further information with respect to the business to be transacted at the Annual Meeting.</w:t>
      </w:r>
    </w:p>
    <w:p>
      <w:pPr>
        <w:spacing w:after="0" w:line="204" w:lineRule="exact"/>
        <w:rPr>
          <w:sz w:val="20"/>
          <w:szCs w:val="20"/>
          <w:color w:val="auto"/>
        </w:rPr>
      </w:pPr>
    </w:p>
    <w:p>
      <w:pPr>
        <w:jc w:val="both"/>
        <w:ind w:right="20"/>
        <w:spacing w:after="0" w:line="281" w:lineRule="auto"/>
        <w:rPr>
          <w:sz w:val="20"/>
          <w:szCs w:val="20"/>
          <w:color w:val="auto"/>
        </w:rPr>
      </w:pPr>
      <w:r>
        <w:rPr>
          <w:rFonts w:ascii="Arial" w:cs="Arial" w:eastAsia="Arial" w:hAnsi="Arial"/>
          <w:sz w:val="18"/>
          <w:szCs w:val="18"/>
          <w:b w:val="1"/>
          <w:bCs w:val="1"/>
          <w:color w:val="231F20"/>
          <w:shd w:val="clear" w:color="auto" w:fill="E8F7F7"/>
        </w:rPr>
        <w:t>ALL STOCKHOLDERS ARE INVITED TO ATTEND THE MEETING IN PERSON. WHETHER OR NOT YOU EXPECT TO ATTEND, PLEASE DATE AND SIGN THE ENCLOSED PROXY. IF YOU DECIDE TO ATTEND THE MEETING, YOU MAY REVOKE YOUR PROXY AND VOTE YOUR SHARES IN PERSON.</w:t>
      </w:r>
    </w:p>
    <w:p>
      <w:pPr>
        <w:spacing w:after="0" w:line="231" w:lineRule="exact"/>
        <w:rPr>
          <w:sz w:val="20"/>
          <w:szCs w:val="20"/>
          <w:color w:val="auto"/>
        </w:rPr>
      </w:pPr>
    </w:p>
    <w:p>
      <w:pPr>
        <w:ind w:left="720"/>
        <w:spacing w:after="0"/>
        <w:rPr>
          <w:sz w:val="20"/>
          <w:szCs w:val="20"/>
          <w:color w:val="auto"/>
        </w:rPr>
      </w:pPr>
      <w:r>
        <w:rPr>
          <w:rFonts w:ascii="Arial" w:cs="Arial" w:eastAsia="Arial" w:hAnsi="Arial"/>
          <w:sz w:val="18"/>
          <w:szCs w:val="18"/>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457200</wp:posOffset>
            </wp:positionH>
            <wp:positionV relativeFrom="paragraph">
              <wp:posOffset>17780</wp:posOffset>
            </wp:positionV>
            <wp:extent cx="1285875" cy="55753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5875" cy="5575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720"/>
        <w:spacing w:after="0"/>
        <w:rPr>
          <w:sz w:val="20"/>
          <w:szCs w:val="20"/>
          <w:color w:val="auto"/>
        </w:rPr>
      </w:pPr>
      <w:r>
        <w:rPr>
          <w:rFonts w:ascii="Arial" w:cs="Arial" w:eastAsia="Arial" w:hAnsi="Arial"/>
          <w:sz w:val="18"/>
          <w:szCs w:val="18"/>
          <w:color w:val="auto"/>
        </w:rPr>
        <w:t>Craig K. Morgan</w:t>
      </w:r>
    </w:p>
    <w:p>
      <w:pPr>
        <w:spacing w:after="0" w:line="32" w:lineRule="exact"/>
        <w:rPr>
          <w:sz w:val="20"/>
          <w:szCs w:val="20"/>
          <w:color w:val="auto"/>
        </w:rPr>
      </w:pPr>
    </w:p>
    <w:p>
      <w:pPr>
        <w:ind w:left="720"/>
        <w:spacing w:after="0"/>
        <w:rPr>
          <w:sz w:val="20"/>
          <w:szCs w:val="20"/>
          <w:color w:val="auto"/>
        </w:rPr>
      </w:pPr>
      <w:r>
        <w:rPr>
          <w:rFonts w:ascii="Arial" w:cs="Arial" w:eastAsia="Arial" w:hAnsi="Arial"/>
          <w:sz w:val="18"/>
          <w:szCs w:val="18"/>
          <w:color w:val="auto"/>
        </w:rPr>
        <w:t>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539115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80"/>
          </w:cols>
          <w:pgMar w:left="580" w:top="1440" w:right="339" w:bottom="1440" w:gutter="0" w:footer="0" w:header="0"/>
        </w:sectPr>
      </w:pPr>
    </w:p>
    <w:bookmarkStart w:id="2" w:name="page3"/>
    <w:bookmarkEnd w:id="2"/>
    <w:p>
      <w:pPr>
        <w:jc w:val="center"/>
        <w:ind w:left="740"/>
        <w:spacing w:after="0"/>
        <w:rPr>
          <w:sz w:val="20"/>
          <w:szCs w:val="20"/>
          <w:color w:val="auto"/>
        </w:rPr>
      </w:pPr>
      <w:r>
        <w:rPr>
          <w:rFonts w:ascii="Arial" w:cs="Arial" w:eastAsia="Arial" w:hAnsi="Arial"/>
          <w:sz w:val="20"/>
          <w:szCs w:val="20"/>
          <w:b w:val="1"/>
          <w:bCs w:val="1"/>
          <w:color w:val="231F20"/>
        </w:rPr>
        <w:t>TABLE OF CONTENTS</w:t>
      </w:r>
    </w:p>
    <w:p>
      <w:pPr>
        <w:spacing w:after="0" w:line="299" w:lineRule="exact"/>
        <w:rPr>
          <w:sz w:val="20"/>
          <w:szCs w:val="20"/>
          <w:color w:val="auto"/>
        </w:rPr>
      </w:pPr>
    </w:p>
    <w:p>
      <w:pPr>
        <w:spacing w:after="0"/>
        <w:rPr>
          <w:sz w:val="20"/>
          <w:szCs w:val="20"/>
          <w:color w:val="auto"/>
        </w:rPr>
      </w:pPr>
      <w:r>
        <w:rPr>
          <w:rFonts w:ascii="Arial" w:cs="Arial" w:eastAsia="Arial" w:hAnsi="Arial"/>
          <w:sz w:val="20"/>
          <w:szCs w:val="20"/>
          <w:color w:val="auto"/>
        </w:rPr>
        <w:t>Proxy Summary</w:t>
      </w:r>
    </w:p>
    <w:p>
      <w:pPr>
        <w:spacing w:after="0" w:line="270" w:lineRule="exact"/>
        <w:rPr>
          <w:sz w:val="20"/>
          <w:szCs w:val="20"/>
          <w:color w:val="auto"/>
        </w:rPr>
      </w:pPr>
    </w:p>
    <w:p>
      <w:pPr>
        <w:spacing w:after="0"/>
        <w:rPr>
          <w:sz w:val="20"/>
          <w:szCs w:val="20"/>
          <w:color w:val="auto"/>
        </w:rPr>
      </w:pPr>
      <w:r>
        <w:rPr>
          <w:rFonts w:ascii="Arial" w:cs="Arial" w:eastAsia="Arial" w:hAnsi="Arial"/>
          <w:sz w:val="20"/>
          <w:szCs w:val="20"/>
          <w:color w:val="auto"/>
        </w:rPr>
        <w:t>Election of Directors (Proposal 1)</w:t>
      </w:r>
    </w:p>
    <w:p>
      <w:pPr>
        <w:spacing w:after="0" w:line="270" w:lineRule="exact"/>
        <w:rPr>
          <w:sz w:val="20"/>
          <w:szCs w:val="20"/>
          <w:color w:val="auto"/>
        </w:rPr>
      </w:pPr>
    </w:p>
    <w:p>
      <w:pPr>
        <w:spacing w:after="0"/>
        <w:rPr>
          <w:sz w:val="20"/>
          <w:szCs w:val="20"/>
          <w:color w:val="auto"/>
        </w:rPr>
      </w:pPr>
      <w:r>
        <w:rPr>
          <w:rFonts w:ascii="Arial" w:cs="Arial" w:eastAsia="Arial" w:hAnsi="Arial"/>
          <w:sz w:val="20"/>
          <w:szCs w:val="20"/>
          <w:color w:val="auto"/>
        </w:rPr>
        <w:t>Corporate Governance</w:t>
      </w:r>
    </w:p>
    <w:p>
      <w:pPr>
        <w:spacing w:after="0" w:line="270" w:lineRule="exact"/>
        <w:rPr>
          <w:sz w:val="20"/>
          <w:szCs w:val="20"/>
          <w:color w:val="auto"/>
        </w:rPr>
      </w:pPr>
    </w:p>
    <w:p>
      <w:pPr>
        <w:spacing w:after="0"/>
        <w:rPr>
          <w:sz w:val="20"/>
          <w:szCs w:val="20"/>
          <w:color w:val="auto"/>
        </w:rPr>
      </w:pPr>
      <w:r>
        <w:rPr>
          <w:rFonts w:ascii="Arial" w:cs="Arial" w:eastAsia="Arial" w:hAnsi="Arial"/>
          <w:sz w:val="20"/>
          <w:szCs w:val="20"/>
          <w:color w:val="auto"/>
        </w:rPr>
        <w:t>Certain Relationships and Related Transactions</w:t>
      </w:r>
    </w:p>
    <w:p>
      <w:pPr>
        <w:spacing w:after="0" w:line="270" w:lineRule="exact"/>
        <w:rPr>
          <w:sz w:val="20"/>
          <w:szCs w:val="20"/>
          <w:color w:val="auto"/>
        </w:rPr>
      </w:pPr>
    </w:p>
    <w:p>
      <w:pPr>
        <w:spacing w:after="0"/>
        <w:rPr>
          <w:sz w:val="20"/>
          <w:szCs w:val="20"/>
          <w:color w:val="auto"/>
        </w:rPr>
      </w:pPr>
      <w:r>
        <w:rPr>
          <w:rFonts w:ascii="Arial" w:cs="Arial" w:eastAsia="Arial" w:hAnsi="Arial"/>
          <w:sz w:val="20"/>
          <w:szCs w:val="20"/>
          <w:color w:val="auto"/>
        </w:rPr>
        <w:t>Delinquent Section 16(a) Reports</w:t>
      </w:r>
    </w:p>
    <w:p>
      <w:pPr>
        <w:spacing w:after="0" w:line="270" w:lineRule="exact"/>
        <w:rPr>
          <w:sz w:val="20"/>
          <w:szCs w:val="20"/>
          <w:color w:val="auto"/>
        </w:rPr>
      </w:pPr>
    </w:p>
    <w:p>
      <w:pPr>
        <w:spacing w:after="0"/>
        <w:rPr>
          <w:sz w:val="20"/>
          <w:szCs w:val="20"/>
          <w:color w:val="auto"/>
        </w:rPr>
      </w:pPr>
      <w:r>
        <w:rPr>
          <w:rFonts w:ascii="Arial" w:cs="Arial" w:eastAsia="Arial" w:hAnsi="Arial"/>
          <w:sz w:val="20"/>
          <w:szCs w:val="20"/>
          <w:color w:val="auto"/>
        </w:rPr>
        <w:t>Audit Committee Report</w:t>
      </w:r>
    </w:p>
    <w:p>
      <w:pPr>
        <w:spacing w:after="0" w:line="270" w:lineRule="exact"/>
        <w:rPr>
          <w:sz w:val="20"/>
          <w:szCs w:val="20"/>
          <w:color w:val="auto"/>
        </w:rPr>
      </w:pPr>
    </w:p>
    <w:p>
      <w:pPr>
        <w:spacing w:after="0"/>
        <w:rPr>
          <w:sz w:val="20"/>
          <w:szCs w:val="20"/>
          <w:color w:val="auto"/>
        </w:rPr>
      </w:pPr>
      <w:r>
        <w:rPr>
          <w:rFonts w:ascii="Arial" w:cs="Arial" w:eastAsia="Arial" w:hAnsi="Arial"/>
          <w:sz w:val="20"/>
          <w:szCs w:val="20"/>
          <w:color w:val="auto"/>
        </w:rPr>
        <w:t>Executive Officers</w:t>
      </w:r>
    </w:p>
    <w:p>
      <w:pPr>
        <w:spacing w:after="0" w:line="270" w:lineRule="exact"/>
        <w:rPr>
          <w:sz w:val="20"/>
          <w:szCs w:val="20"/>
          <w:color w:val="auto"/>
        </w:rPr>
      </w:pPr>
    </w:p>
    <w:p>
      <w:pPr>
        <w:spacing w:after="0"/>
        <w:rPr>
          <w:sz w:val="20"/>
          <w:szCs w:val="20"/>
          <w:color w:val="auto"/>
        </w:rPr>
      </w:pPr>
      <w:r>
        <w:rPr>
          <w:rFonts w:ascii="Arial" w:cs="Arial" w:eastAsia="Arial" w:hAnsi="Arial"/>
          <w:sz w:val="20"/>
          <w:szCs w:val="20"/>
          <w:color w:val="auto"/>
        </w:rPr>
        <w:t>Human Capital &amp; Compensation Committee Report</w:t>
      </w:r>
    </w:p>
    <w:p>
      <w:pPr>
        <w:spacing w:after="0" w:line="270" w:lineRule="exact"/>
        <w:rPr>
          <w:sz w:val="20"/>
          <w:szCs w:val="20"/>
          <w:color w:val="auto"/>
        </w:rPr>
      </w:pPr>
    </w:p>
    <w:p>
      <w:pPr>
        <w:spacing w:after="0"/>
        <w:rPr>
          <w:sz w:val="20"/>
          <w:szCs w:val="20"/>
          <w:color w:val="auto"/>
        </w:rPr>
      </w:pPr>
      <w:r>
        <w:rPr>
          <w:rFonts w:ascii="Arial" w:cs="Arial" w:eastAsia="Arial" w:hAnsi="Arial"/>
          <w:sz w:val="20"/>
          <w:szCs w:val="20"/>
          <w:color w:val="auto"/>
        </w:rPr>
        <w:t>Compensation Discussion and Analysis</w:t>
      </w:r>
    </w:p>
    <w:p>
      <w:pPr>
        <w:spacing w:after="0" w:line="270" w:lineRule="exact"/>
        <w:rPr>
          <w:sz w:val="20"/>
          <w:szCs w:val="20"/>
          <w:color w:val="auto"/>
        </w:rPr>
      </w:pPr>
    </w:p>
    <w:p>
      <w:pPr>
        <w:spacing w:after="0"/>
        <w:rPr>
          <w:sz w:val="20"/>
          <w:szCs w:val="20"/>
          <w:color w:val="auto"/>
        </w:rPr>
      </w:pPr>
      <w:r>
        <w:rPr>
          <w:rFonts w:ascii="Arial" w:cs="Arial" w:eastAsia="Arial" w:hAnsi="Arial"/>
          <w:sz w:val="20"/>
          <w:szCs w:val="20"/>
          <w:color w:val="auto"/>
        </w:rPr>
        <w:t>Compensation and Risk</w:t>
      </w:r>
    </w:p>
    <w:p>
      <w:pPr>
        <w:spacing w:after="0" w:line="270" w:lineRule="exact"/>
        <w:rPr>
          <w:sz w:val="20"/>
          <w:szCs w:val="20"/>
          <w:color w:val="auto"/>
        </w:rPr>
      </w:pPr>
    </w:p>
    <w:p>
      <w:pPr>
        <w:spacing w:after="0"/>
        <w:rPr>
          <w:sz w:val="20"/>
          <w:szCs w:val="20"/>
          <w:color w:val="auto"/>
        </w:rPr>
      </w:pPr>
      <w:r>
        <w:rPr>
          <w:rFonts w:ascii="Arial" w:cs="Arial" w:eastAsia="Arial" w:hAnsi="Arial"/>
          <w:sz w:val="20"/>
          <w:szCs w:val="20"/>
          <w:color w:val="auto"/>
        </w:rPr>
        <w:t>Executive Compensation</w:t>
      </w:r>
    </w:p>
    <w:p>
      <w:pPr>
        <w:spacing w:after="0" w:line="270" w:lineRule="exact"/>
        <w:rPr>
          <w:sz w:val="20"/>
          <w:szCs w:val="20"/>
          <w:color w:val="auto"/>
        </w:rPr>
      </w:pPr>
    </w:p>
    <w:p>
      <w:pPr>
        <w:spacing w:after="0"/>
        <w:rPr>
          <w:sz w:val="20"/>
          <w:szCs w:val="20"/>
          <w:color w:val="auto"/>
        </w:rPr>
      </w:pPr>
      <w:r>
        <w:rPr>
          <w:rFonts w:ascii="Arial" w:cs="Arial" w:eastAsia="Arial" w:hAnsi="Arial"/>
          <w:sz w:val="20"/>
          <w:szCs w:val="20"/>
          <w:color w:val="auto"/>
        </w:rPr>
        <w:t>Equity Compensation Plan Information</w:t>
      </w:r>
    </w:p>
    <w:p>
      <w:pPr>
        <w:spacing w:after="0" w:line="31" w:lineRule="exact"/>
        <w:rPr>
          <w:sz w:val="20"/>
          <w:szCs w:val="20"/>
          <w:color w:val="auto"/>
        </w:rPr>
      </w:pPr>
    </w:p>
    <w:p>
      <w:pPr>
        <w:spacing w:after="0"/>
        <w:rPr>
          <w:sz w:val="20"/>
          <w:szCs w:val="20"/>
          <w:color w:val="auto"/>
        </w:rPr>
      </w:pPr>
      <w:r>
        <w:rPr>
          <w:rFonts w:ascii="Arial" w:cs="Arial" w:eastAsia="Arial" w:hAnsi="Arial"/>
          <w:sz w:val="20"/>
          <w:szCs w:val="20"/>
          <w:color w:val="auto"/>
        </w:rPr>
        <w:t>Pay Ratio Disclosure</w:t>
      </w:r>
    </w:p>
    <w:p>
      <w:pPr>
        <w:spacing w:after="0" w:line="27" w:lineRule="exact"/>
        <w:rPr>
          <w:sz w:val="20"/>
          <w:szCs w:val="20"/>
          <w:color w:val="auto"/>
        </w:rPr>
      </w:pPr>
    </w:p>
    <w:p>
      <w:pPr>
        <w:spacing w:after="0"/>
        <w:rPr>
          <w:sz w:val="20"/>
          <w:szCs w:val="20"/>
          <w:color w:val="auto"/>
        </w:rPr>
      </w:pPr>
      <w:r>
        <w:rPr>
          <w:rFonts w:ascii="Arial" w:cs="Arial" w:eastAsia="Arial" w:hAnsi="Arial"/>
          <w:sz w:val="20"/>
          <w:szCs w:val="20"/>
          <w:color w:val="auto"/>
        </w:rPr>
        <w:t>Pay Versus Performance</w:t>
      </w:r>
    </w:p>
    <w:p>
      <w:pPr>
        <w:spacing w:after="0" w:line="265" w:lineRule="exact"/>
        <w:rPr>
          <w:sz w:val="20"/>
          <w:szCs w:val="20"/>
          <w:color w:val="auto"/>
        </w:rPr>
      </w:pPr>
    </w:p>
    <w:p>
      <w:pPr>
        <w:spacing w:after="0"/>
        <w:rPr>
          <w:sz w:val="20"/>
          <w:szCs w:val="20"/>
          <w:color w:val="auto"/>
        </w:rPr>
      </w:pPr>
      <w:r>
        <w:rPr>
          <w:rFonts w:ascii="Arial" w:cs="Arial" w:eastAsia="Arial" w:hAnsi="Arial"/>
          <w:sz w:val="20"/>
          <w:szCs w:val="20"/>
          <w:color w:val="auto"/>
        </w:rPr>
        <w:t>Advisory Vote on Executive Compensation (Proposal 2)</w:t>
      </w:r>
    </w:p>
    <w:p>
      <w:pPr>
        <w:spacing w:after="0" w:line="31" w:lineRule="exact"/>
        <w:rPr>
          <w:sz w:val="20"/>
          <w:szCs w:val="20"/>
          <w:color w:val="auto"/>
        </w:rPr>
      </w:pPr>
    </w:p>
    <w:p>
      <w:pPr>
        <w:spacing w:after="0"/>
        <w:rPr>
          <w:sz w:val="20"/>
          <w:szCs w:val="20"/>
          <w:color w:val="auto"/>
        </w:rPr>
      </w:pPr>
      <w:r>
        <w:rPr>
          <w:rFonts w:ascii="Arial" w:cs="Arial" w:eastAsia="Arial" w:hAnsi="Arial"/>
          <w:sz w:val="20"/>
          <w:szCs w:val="20"/>
          <w:color w:val="auto"/>
        </w:rPr>
        <w:t>Approval of Amendment to our Certificate of Incorporation (Proposal 3)</w:t>
      </w:r>
    </w:p>
    <w:p>
      <w:pPr>
        <w:spacing w:after="0" w:line="27" w:lineRule="exact"/>
        <w:rPr>
          <w:sz w:val="20"/>
          <w:szCs w:val="20"/>
          <w:color w:val="auto"/>
        </w:rPr>
      </w:pPr>
    </w:p>
    <w:p>
      <w:pPr>
        <w:spacing w:after="0"/>
        <w:rPr>
          <w:sz w:val="20"/>
          <w:szCs w:val="20"/>
          <w:color w:val="auto"/>
        </w:rPr>
      </w:pPr>
      <w:r>
        <w:rPr>
          <w:rFonts w:ascii="Arial" w:cs="Arial" w:eastAsia="Arial" w:hAnsi="Arial"/>
          <w:sz w:val="19"/>
          <w:szCs w:val="19"/>
          <w:color w:val="auto"/>
        </w:rPr>
        <w:t>Ratification of Selection of Independent Registered Public Accounting Firm (Proposal 4)</w:t>
      </w:r>
    </w:p>
    <w:p>
      <w:pPr>
        <w:spacing w:after="0" w:line="276" w:lineRule="exact"/>
        <w:rPr>
          <w:sz w:val="20"/>
          <w:szCs w:val="20"/>
          <w:color w:val="auto"/>
        </w:rPr>
      </w:pPr>
    </w:p>
    <w:p>
      <w:pPr>
        <w:spacing w:after="0"/>
        <w:rPr>
          <w:sz w:val="20"/>
          <w:szCs w:val="20"/>
          <w:color w:val="auto"/>
        </w:rPr>
      </w:pPr>
      <w:r>
        <w:rPr>
          <w:rFonts w:ascii="Arial" w:cs="Arial" w:eastAsia="Arial" w:hAnsi="Arial"/>
          <w:sz w:val="20"/>
          <w:szCs w:val="20"/>
          <w:color w:val="auto"/>
        </w:rPr>
        <w:t>Stock Ownership of Certain Beneficial Owners</w:t>
      </w:r>
    </w:p>
    <w:p>
      <w:pPr>
        <w:spacing w:after="0" w:line="270" w:lineRule="exact"/>
        <w:rPr>
          <w:sz w:val="20"/>
          <w:szCs w:val="20"/>
          <w:color w:val="auto"/>
        </w:rPr>
      </w:pPr>
    </w:p>
    <w:p>
      <w:pPr>
        <w:spacing w:after="0"/>
        <w:rPr>
          <w:sz w:val="20"/>
          <w:szCs w:val="20"/>
          <w:color w:val="auto"/>
        </w:rPr>
      </w:pPr>
      <w:r>
        <w:rPr>
          <w:rFonts w:ascii="Arial" w:cs="Arial" w:eastAsia="Arial" w:hAnsi="Arial"/>
          <w:sz w:val="20"/>
          <w:szCs w:val="20"/>
          <w:color w:val="auto"/>
        </w:rPr>
        <w:t>Stockholder Proposals and Nominations</w:t>
      </w:r>
    </w:p>
    <w:p>
      <w:pPr>
        <w:spacing w:after="0" w:line="270" w:lineRule="exact"/>
        <w:rPr>
          <w:sz w:val="20"/>
          <w:szCs w:val="20"/>
          <w:color w:val="auto"/>
        </w:rPr>
      </w:pPr>
    </w:p>
    <w:p>
      <w:pPr>
        <w:spacing w:after="0"/>
        <w:rPr>
          <w:sz w:val="20"/>
          <w:szCs w:val="20"/>
          <w:color w:val="auto"/>
        </w:rPr>
      </w:pPr>
      <w:r>
        <w:rPr>
          <w:rFonts w:ascii="Arial" w:cs="Arial" w:eastAsia="Arial" w:hAnsi="Arial"/>
          <w:sz w:val="20"/>
          <w:szCs w:val="20"/>
          <w:color w:val="auto"/>
        </w:rPr>
        <w:t>Financial Statements</w:t>
      </w:r>
    </w:p>
    <w:p>
      <w:pPr>
        <w:spacing w:after="0" w:line="270" w:lineRule="exact"/>
        <w:rPr>
          <w:sz w:val="20"/>
          <w:szCs w:val="20"/>
          <w:color w:val="auto"/>
        </w:rPr>
      </w:pPr>
    </w:p>
    <w:p>
      <w:pPr>
        <w:spacing w:after="0"/>
        <w:rPr>
          <w:sz w:val="20"/>
          <w:szCs w:val="20"/>
          <w:color w:val="auto"/>
        </w:rPr>
      </w:pPr>
      <w:r>
        <w:rPr>
          <w:rFonts w:ascii="Arial" w:cs="Arial" w:eastAsia="Arial" w:hAnsi="Arial"/>
          <w:sz w:val="20"/>
          <w:szCs w:val="20"/>
          <w:color w:val="auto"/>
        </w:rPr>
        <w:t>Other Matters</w:t>
      </w:r>
    </w:p>
    <w:p>
      <w:pPr>
        <w:spacing w:after="0" w:line="31" w:lineRule="exact"/>
        <w:rPr>
          <w:sz w:val="20"/>
          <w:szCs w:val="20"/>
          <w:color w:val="auto"/>
        </w:rPr>
      </w:pPr>
    </w:p>
    <w:p>
      <w:pPr>
        <w:spacing w:after="0"/>
        <w:rPr>
          <w:sz w:val="20"/>
          <w:szCs w:val="20"/>
          <w:color w:val="auto"/>
        </w:rPr>
      </w:pPr>
      <w:r>
        <w:rPr>
          <w:rFonts w:ascii="Arial" w:cs="Arial" w:eastAsia="Arial" w:hAnsi="Arial"/>
          <w:sz w:val="20"/>
          <w:szCs w:val="20"/>
          <w:color w:val="auto"/>
        </w:rPr>
        <w:t>Appendix A: Proposed Changes to the Company</w:t>
      </w:r>
      <w:r>
        <w:rPr>
          <w:rFonts w:ascii="Arial" w:cs="Arial" w:eastAsia="Arial" w:hAnsi="Arial"/>
          <w:sz w:val="20"/>
          <w:szCs w:val="20"/>
          <w:color w:val="221F1F"/>
        </w:rPr>
        <w:t>’</w:t>
      </w:r>
      <w:r>
        <w:rPr>
          <w:rFonts w:ascii="Arial" w:cs="Arial" w:eastAsia="Arial" w:hAnsi="Arial"/>
          <w:sz w:val="20"/>
          <w:szCs w:val="20"/>
          <w:color w:val="auto"/>
        </w:rPr>
        <w:t>s Certificate of Incorporation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-375285</wp:posOffset>
            </wp:positionH>
            <wp:positionV relativeFrom="paragraph">
              <wp:posOffset>897890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25" w:lineRule="exact"/>
        <w:rPr>
          <w:sz w:val="20"/>
          <w:szCs w:val="20"/>
          <w:color w:val="auto"/>
        </w:rPr>
      </w:pPr>
    </w:p>
    <w:p>
      <w:pPr>
        <w:ind w:left="100"/>
        <w:spacing w:after="0"/>
        <w:rPr>
          <w:sz w:val="20"/>
          <w:szCs w:val="20"/>
          <w:color w:val="auto"/>
        </w:rPr>
      </w:pPr>
      <w:r>
        <w:rPr>
          <w:rFonts w:ascii="Arial" w:cs="Arial" w:eastAsia="Arial" w:hAnsi="Arial"/>
          <w:sz w:val="17"/>
          <w:szCs w:val="17"/>
          <w:u w:val="single" w:color="auto"/>
          <w:color w:val="auto"/>
        </w:rPr>
        <w:t>1</w:t>
      </w:r>
    </w:p>
    <w:p>
      <w:pPr>
        <w:spacing w:after="0" w:line="183" w:lineRule="exact"/>
        <w:rPr>
          <w:sz w:val="20"/>
          <w:szCs w:val="20"/>
          <w:color w:val="auto"/>
        </w:rPr>
      </w:pPr>
    </w:p>
    <w:p>
      <w:pPr>
        <w:ind w:left="100"/>
        <w:spacing w:after="0"/>
        <w:rPr>
          <w:sz w:val="20"/>
          <w:szCs w:val="20"/>
          <w:color w:val="auto"/>
        </w:rPr>
      </w:pPr>
      <w:r>
        <w:rPr>
          <w:rFonts w:ascii="Arial" w:cs="Arial" w:eastAsia="Arial" w:hAnsi="Arial"/>
          <w:sz w:val="17"/>
          <w:szCs w:val="17"/>
          <w:u w:val="single" w:color="auto"/>
          <w:color w:val="auto"/>
        </w:rPr>
        <w:t>4</w:t>
      </w:r>
    </w:p>
    <w:p>
      <w:pPr>
        <w:spacing w:after="0" w:line="304"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14</w:t>
      </w:r>
    </w:p>
    <w:p>
      <w:pPr>
        <w:spacing w:after="0" w:line="304"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22</w:t>
      </w:r>
    </w:p>
    <w:p>
      <w:pPr>
        <w:spacing w:after="0" w:line="304"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24</w:t>
      </w:r>
    </w:p>
    <w:p>
      <w:pPr>
        <w:spacing w:after="0" w:line="304"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25</w:t>
      </w:r>
    </w:p>
    <w:p>
      <w:pPr>
        <w:spacing w:after="0" w:line="304"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26</w:t>
      </w:r>
    </w:p>
    <w:p>
      <w:pPr>
        <w:spacing w:after="0" w:line="304"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28</w:t>
      </w:r>
    </w:p>
    <w:p>
      <w:pPr>
        <w:spacing w:after="0" w:line="304"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29</w:t>
      </w:r>
    </w:p>
    <w:p>
      <w:pPr>
        <w:spacing w:after="0" w:line="304"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51</w:t>
      </w:r>
    </w:p>
    <w:p>
      <w:pPr>
        <w:spacing w:after="0" w:line="304"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52</w:t>
      </w:r>
    </w:p>
    <w:p>
      <w:pPr>
        <w:spacing w:after="0" w:line="304"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61</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63</w:t>
      </w:r>
    </w:p>
    <w:p>
      <w:pPr>
        <w:spacing w:after="0" w:line="61"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63</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68</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69</w:t>
      </w:r>
    </w:p>
    <w:p>
      <w:pPr>
        <w:spacing w:after="0" w:line="61"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71</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73</w:t>
      </w:r>
    </w:p>
    <w:p>
      <w:pPr>
        <w:spacing w:after="0" w:line="304"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75</w:t>
      </w:r>
    </w:p>
    <w:p>
      <w:pPr>
        <w:spacing w:after="0" w:line="304"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75</w:t>
      </w:r>
    </w:p>
    <w:p>
      <w:pPr>
        <w:spacing w:after="0" w:line="304"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75</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80</w:t>
      </w:r>
    </w:p>
    <w:p>
      <w:pPr>
        <w:sectPr>
          <w:pgSz w:w="11900" w:h="16838" w:orient="portrait"/>
          <w:cols w:equalWidth="0" w:num="2">
            <w:col w:w="9340" w:space="720"/>
            <w:col w:w="200"/>
          </w:cols>
          <w:pgMar w:left="900" w:top="953" w:right="739" w:bottom="1440" w:gutter="0" w:footer="0" w:header="0"/>
        </w:sectPr>
      </w:pPr>
    </w:p>
    <w:bookmarkStart w:id="3" w:name="page4"/>
    <w:bookmarkEnd w:id="3"/>
    <w:p>
      <w:pPr>
        <w:jc w:val="center"/>
        <w:ind w:right="-19"/>
        <w:spacing w:after="0"/>
        <w:rPr>
          <w:sz w:val="20"/>
          <w:szCs w:val="20"/>
          <w:color w:val="auto"/>
        </w:rPr>
      </w:pPr>
      <w:r>
        <w:rPr>
          <w:rFonts w:ascii="Arial" w:cs="Arial" w:eastAsia="Arial" w:hAnsi="Arial"/>
          <w:sz w:val="25"/>
          <w:szCs w:val="25"/>
          <w:b w:val="1"/>
          <w:bCs w:val="1"/>
          <w:color w:val="221F1F"/>
        </w:rPr>
        <w:t>PROXY SUMMARY</w:t>
      </w:r>
    </w:p>
    <w:p>
      <w:pPr>
        <w:spacing w:after="0" w:line="282" w:lineRule="exact"/>
        <w:rPr>
          <w:sz w:val="20"/>
          <w:szCs w:val="20"/>
          <w:color w:val="auto"/>
        </w:rPr>
      </w:pPr>
    </w:p>
    <w:p>
      <w:pPr>
        <w:jc w:val="both"/>
        <w:spacing w:after="0" w:line="269" w:lineRule="auto"/>
        <w:rPr>
          <w:sz w:val="20"/>
          <w:szCs w:val="20"/>
          <w:color w:val="auto"/>
        </w:rPr>
      </w:pPr>
      <w:r>
        <w:rPr>
          <w:rFonts w:ascii="Arial" w:cs="Arial" w:eastAsia="Arial" w:hAnsi="Arial"/>
          <w:sz w:val="20"/>
          <w:szCs w:val="20"/>
          <w:color w:val="221F1F"/>
        </w:rPr>
        <w:t>This summary highlights certain information for stockholders’ review in connection with the Annual Meeting. This summary does not contain all of the information that stockholders should consider, and stockholders are encouraged to read the entire Proxy Statement carefully before voting.</w:t>
      </w:r>
    </w:p>
    <w:p>
      <w:pPr>
        <w:spacing w:after="0" w:line="197" w:lineRule="exact"/>
        <w:rPr>
          <w:sz w:val="20"/>
          <w:szCs w:val="20"/>
          <w:color w:val="auto"/>
        </w:rPr>
      </w:pPr>
    </w:p>
    <w:p>
      <w:pPr>
        <w:spacing w:after="0"/>
        <w:rPr>
          <w:sz w:val="20"/>
          <w:szCs w:val="20"/>
          <w:color w:val="auto"/>
        </w:rPr>
      </w:pPr>
      <w:r>
        <w:rPr>
          <w:rFonts w:ascii="Arial" w:cs="Arial" w:eastAsia="Arial" w:hAnsi="Arial"/>
          <w:sz w:val="20"/>
          <w:szCs w:val="20"/>
          <w:b w:val="1"/>
          <w:bCs w:val="1"/>
          <w:color w:val="221F1F"/>
        </w:rPr>
        <w:t>Business highlights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7000240</wp:posOffset>
            </wp:positionH>
            <wp:positionV relativeFrom="paragraph">
              <wp:posOffset>186055</wp:posOffset>
            </wp:positionV>
            <wp:extent cx="8890" cy="25806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8890" cy="258064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186055</wp:posOffset>
            </wp:positionV>
            <wp:extent cx="8890" cy="25806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8890" cy="2580640"/>
                    </a:xfrm>
                    <a:prstGeom prst="rect">
                      <a:avLst/>
                    </a:prstGeom>
                    <a:noFill/>
                  </pic:spPr>
                </pic:pic>
              </a:graphicData>
            </a:graphic>
          </wp:anchor>
        </w:drawing>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310"/>
        </w:trPr>
        <w:tc>
          <w:tcPr>
            <w:tcW w:w="3860" w:type="dxa"/>
            <w:vAlign w:val="bottom"/>
            <w:tcBorders>
              <w:top w:val="single" w:sz="8" w:color="auto"/>
              <w:right w:val="single" w:sz="8" w:color="auto"/>
            </w:tcBorders>
            <w:vMerge w:val="restart"/>
          </w:tcPr>
          <w:p>
            <w:pPr>
              <w:ind w:left="1320"/>
              <w:spacing w:after="0"/>
              <w:rPr>
                <w:sz w:val="20"/>
                <w:szCs w:val="20"/>
                <w:color w:val="auto"/>
              </w:rPr>
            </w:pPr>
            <w:r>
              <w:rPr>
                <w:rFonts w:ascii="Arial" w:cs="Arial" w:eastAsia="Arial" w:hAnsi="Arial"/>
                <w:sz w:val="22"/>
                <w:szCs w:val="22"/>
                <w:color w:val="auto"/>
              </w:rPr>
              <w:t xml:space="preserve">Associates   </w:t>
            </w:r>
            <w:r>
              <w:rPr>
                <w:rFonts w:ascii="Arial" w:cs="Arial" w:eastAsia="Arial" w:hAnsi="Arial"/>
                <w:sz w:val="32"/>
                <w:szCs w:val="32"/>
                <w:color w:val="085CE5"/>
              </w:rPr>
              <w:t>~7,200</w:t>
            </w:r>
          </w:p>
        </w:tc>
        <w:tc>
          <w:tcPr>
            <w:tcW w:w="1820" w:type="dxa"/>
            <w:vAlign w:val="bottom"/>
            <w:tcBorders>
              <w:top w:val="single" w:sz="8" w:color="auto"/>
            </w:tcBorders>
            <w:vMerge w:val="restart"/>
          </w:tcPr>
          <w:p>
            <w:pPr>
              <w:ind w:left="380"/>
              <w:spacing w:after="0"/>
              <w:rPr>
                <w:sz w:val="20"/>
                <w:szCs w:val="20"/>
                <w:color w:val="auto"/>
              </w:rPr>
            </w:pPr>
            <w:r>
              <w:rPr>
                <w:rFonts w:ascii="Arial" w:cs="Arial" w:eastAsia="Arial" w:hAnsi="Arial"/>
                <w:sz w:val="36"/>
                <w:szCs w:val="36"/>
                <w:color w:val="221F1F"/>
              </w:rPr>
              <w:t>Clients</w:t>
            </w:r>
          </w:p>
        </w:tc>
        <w:tc>
          <w:tcPr>
            <w:tcW w:w="1700" w:type="dxa"/>
            <w:vAlign w:val="bottom"/>
            <w:tcBorders>
              <w:top w:val="single" w:sz="8" w:color="auto"/>
              <w:right w:val="single" w:sz="8" w:color="auto"/>
            </w:tcBorders>
            <w:vMerge w:val="restart"/>
          </w:tcPr>
          <w:p>
            <w:pPr>
              <w:jc w:val="right"/>
              <w:ind w:right="178"/>
              <w:spacing w:after="0"/>
              <w:rPr>
                <w:sz w:val="20"/>
                <w:szCs w:val="20"/>
                <w:color w:val="auto"/>
              </w:rPr>
            </w:pPr>
            <w:r>
              <w:rPr>
                <w:rFonts w:ascii="Arial" w:cs="Arial" w:eastAsia="Arial" w:hAnsi="Arial"/>
                <w:sz w:val="32"/>
                <w:szCs w:val="32"/>
                <w:color w:val="085CE5"/>
              </w:rPr>
              <w:t>~7,500</w:t>
            </w:r>
          </w:p>
        </w:tc>
        <w:tc>
          <w:tcPr>
            <w:tcW w:w="1900" w:type="dxa"/>
            <w:vAlign w:val="bottom"/>
            <w:tcBorders>
              <w:top w:val="single" w:sz="8" w:color="auto"/>
            </w:tcBorders>
          </w:tcPr>
          <w:p>
            <w:pPr>
              <w:jc w:val="center"/>
              <w:ind w:right="285"/>
              <w:spacing w:after="0"/>
              <w:rPr>
                <w:sz w:val="20"/>
                <w:szCs w:val="20"/>
                <w:color w:val="auto"/>
              </w:rPr>
            </w:pPr>
            <w:r>
              <w:rPr>
                <w:rFonts w:ascii="Arial" w:cs="Arial" w:eastAsia="Arial" w:hAnsi="Arial"/>
                <w:sz w:val="27"/>
                <w:szCs w:val="27"/>
                <w:color w:val="221F1F"/>
                <w:w w:val="99"/>
              </w:rPr>
              <w:t>FY 24</w:t>
            </w:r>
          </w:p>
        </w:tc>
        <w:tc>
          <w:tcPr>
            <w:tcW w:w="1760" w:type="dxa"/>
            <w:vAlign w:val="bottom"/>
            <w:tcBorders>
              <w:top w:val="single" w:sz="8" w:color="auto"/>
            </w:tcBorders>
            <w:vMerge w:val="restart"/>
          </w:tcPr>
          <w:p>
            <w:pPr>
              <w:ind w:left="620"/>
              <w:spacing w:after="0"/>
              <w:rPr>
                <w:sz w:val="20"/>
                <w:szCs w:val="20"/>
                <w:color w:val="auto"/>
              </w:rPr>
            </w:pPr>
            <w:r>
              <w:rPr>
                <w:rFonts w:ascii="Arial" w:cs="Arial" w:eastAsia="Arial" w:hAnsi="Arial"/>
                <w:sz w:val="31"/>
                <w:szCs w:val="31"/>
                <w:color w:val="085CE5"/>
              </w:rPr>
              <w:t>$2.22B</w:t>
            </w:r>
          </w:p>
        </w:tc>
        <w:tc>
          <w:tcPr>
            <w:tcW w:w="0" w:type="dxa"/>
            <w:vAlign w:val="bottom"/>
          </w:tcPr>
          <w:p>
            <w:pPr>
              <w:spacing w:after="0"/>
              <w:rPr>
                <w:sz w:val="1"/>
                <w:szCs w:val="1"/>
                <w:color w:val="auto"/>
              </w:rPr>
            </w:pPr>
          </w:p>
        </w:tc>
      </w:tr>
      <w:tr>
        <w:trPr>
          <w:trHeight w:val="427"/>
        </w:trPr>
        <w:tc>
          <w:tcPr>
            <w:tcW w:w="3860" w:type="dxa"/>
            <w:vAlign w:val="bottom"/>
            <w:tcBorders>
              <w:right w:val="single" w:sz="8" w:color="auto"/>
            </w:tcBorders>
            <w:vMerge w:val="continue"/>
          </w:tcPr>
          <w:p>
            <w:pPr>
              <w:spacing w:after="0"/>
              <w:rPr>
                <w:sz w:val="24"/>
                <w:szCs w:val="24"/>
                <w:color w:val="auto"/>
              </w:rPr>
            </w:pPr>
          </w:p>
        </w:tc>
        <w:tc>
          <w:tcPr>
            <w:tcW w:w="1820" w:type="dxa"/>
            <w:vAlign w:val="bottom"/>
            <w:vMerge w:val="continue"/>
          </w:tcPr>
          <w:p>
            <w:pPr>
              <w:spacing w:after="0"/>
              <w:rPr>
                <w:sz w:val="24"/>
                <w:szCs w:val="24"/>
                <w:color w:val="auto"/>
              </w:rPr>
            </w:pPr>
          </w:p>
        </w:tc>
        <w:tc>
          <w:tcPr>
            <w:tcW w:w="1700" w:type="dxa"/>
            <w:vAlign w:val="bottom"/>
            <w:tcBorders>
              <w:right w:val="single" w:sz="8" w:color="auto"/>
            </w:tcBorders>
            <w:vMerge w:val="continue"/>
          </w:tcPr>
          <w:p>
            <w:pPr>
              <w:spacing w:after="0"/>
              <w:rPr>
                <w:sz w:val="24"/>
                <w:szCs w:val="24"/>
                <w:color w:val="auto"/>
              </w:rPr>
            </w:pPr>
          </w:p>
        </w:tc>
        <w:tc>
          <w:tcPr>
            <w:tcW w:w="1900" w:type="dxa"/>
            <w:vAlign w:val="bottom"/>
          </w:tcPr>
          <w:p>
            <w:pPr>
              <w:jc w:val="center"/>
              <w:ind w:right="285"/>
              <w:spacing w:after="0"/>
              <w:rPr>
                <w:sz w:val="20"/>
                <w:szCs w:val="20"/>
                <w:color w:val="auto"/>
              </w:rPr>
            </w:pPr>
            <w:r>
              <w:rPr>
                <w:rFonts w:ascii="Arial" w:cs="Arial" w:eastAsia="Arial" w:hAnsi="Arial"/>
                <w:sz w:val="27"/>
                <w:szCs w:val="27"/>
                <w:color w:val="221F1F"/>
                <w:w w:val="99"/>
              </w:rPr>
              <w:t>Revenue</w:t>
            </w:r>
          </w:p>
        </w:tc>
        <w:tc>
          <w:tcPr>
            <w:tcW w:w="176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75"/>
        </w:trPr>
        <w:tc>
          <w:tcPr>
            <w:tcW w:w="3860" w:type="dxa"/>
            <w:vAlign w:val="bottom"/>
            <w:tcBorders>
              <w:bottom w:val="single" w:sz="8" w:color="auto"/>
              <w:right w:val="single" w:sz="8" w:color="auto"/>
            </w:tcBorders>
          </w:tcPr>
          <w:p>
            <w:pPr>
              <w:spacing w:after="0"/>
              <w:rPr>
                <w:sz w:val="23"/>
                <w:szCs w:val="23"/>
                <w:color w:val="auto"/>
              </w:rPr>
            </w:pPr>
          </w:p>
        </w:tc>
        <w:tc>
          <w:tcPr>
            <w:tcW w:w="1820" w:type="dxa"/>
            <w:vAlign w:val="bottom"/>
            <w:tcBorders>
              <w:bottom w:val="single" w:sz="8" w:color="auto"/>
            </w:tcBorders>
          </w:tcPr>
          <w:p>
            <w:pPr>
              <w:spacing w:after="0"/>
              <w:rPr>
                <w:sz w:val="23"/>
                <w:szCs w:val="23"/>
                <w:color w:val="auto"/>
              </w:rPr>
            </w:pPr>
          </w:p>
        </w:tc>
        <w:tc>
          <w:tcPr>
            <w:tcW w:w="1700" w:type="dxa"/>
            <w:vAlign w:val="bottom"/>
            <w:tcBorders>
              <w:bottom w:val="single" w:sz="8" w:color="auto"/>
              <w:right w:val="single" w:sz="8" w:color="auto"/>
            </w:tcBorders>
          </w:tcPr>
          <w:p>
            <w:pPr>
              <w:spacing w:after="0"/>
              <w:rPr>
                <w:sz w:val="23"/>
                <w:szCs w:val="23"/>
                <w:color w:val="auto"/>
              </w:rPr>
            </w:pPr>
          </w:p>
        </w:tc>
        <w:tc>
          <w:tcPr>
            <w:tcW w:w="1900" w:type="dxa"/>
            <w:vAlign w:val="bottom"/>
            <w:tcBorders>
              <w:bottom w:val="single" w:sz="8" w:color="auto"/>
            </w:tcBorders>
          </w:tcPr>
          <w:p>
            <w:pPr>
              <w:spacing w:after="0"/>
              <w:rPr>
                <w:sz w:val="23"/>
                <w:szCs w:val="23"/>
                <w:color w:val="auto"/>
              </w:rPr>
            </w:pPr>
          </w:p>
        </w:tc>
        <w:tc>
          <w:tcPr>
            <w:tcW w:w="176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4128135</wp:posOffset>
            </wp:positionH>
            <wp:positionV relativeFrom="paragraph">
              <wp:posOffset>-8255</wp:posOffset>
            </wp:positionV>
            <wp:extent cx="8890" cy="6686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8890" cy="668655"/>
                    </a:xfrm>
                    <a:prstGeom prst="rect">
                      <a:avLst/>
                    </a:prstGeom>
                    <a:noFill/>
                  </pic:spPr>
                </pic:pic>
              </a:graphicData>
            </a:graphic>
          </wp:anchor>
        </w:drawing>
        <w:drawing>
          <wp:anchor simplePos="0" relativeHeight="251657728" behindDoc="1" locked="0" layoutInCell="0" allowOverlap="1">
            <wp:simplePos x="0" y="0"/>
            <wp:positionH relativeFrom="column">
              <wp:posOffset>1891030</wp:posOffset>
            </wp:positionH>
            <wp:positionV relativeFrom="paragraph">
              <wp:posOffset>-8255</wp:posOffset>
            </wp:positionV>
            <wp:extent cx="8890" cy="6686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8890" cy="6686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-642620</wp:posOffset>
            </wp:positionV>
            <wp:extent cx="574040" cy="5740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74040" cy="574040"/>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-556895</wp:posOffset>
            </wp:positionV>
            <wp:extent cx="411480" cy="40322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411480" cy="403225"/>
                    </a:xfrm>
                    <a:prstGeom prst="rect">
                      <a:avLst/>
                    </a:prstGeom>
                    <a:noFill/>
                  </pic:spPr>
                </pic:pic>
              </a:graphicData>
            </a:graphic>
          </wp:anchor>
        </w:drawing>
      </w:r>
    </w:p>
    <w:p>
      <w:pPr>
        <w:sectPr>
          <w:pgSz w:w="11900" w:h="16838" w:orient="portrait"/>
          <w:cols w:equalWidth="0" w:num="1">
            <w:col w:w="11240"/>
          </w:cols>
          <w:pgMar w:left="320" w:top="777" w:right="339" w:bottom="1108" w:gutter="0" w:footer="0" w:header="0"/>
        </w:sectPr>
      </w:pPr>
    </w:p>
    <w:p>
      <w:pPr>
        <w:spacing w:after="0" w:line="146" w:lineRule="exact"/>
        <w:rPr>
          <w:sz w:val="20"/>
          <w:szCs w:val="20"/>
          <w:color w:val="auto"/>
        </w:rPr>
      </w:pPr>
    </w:p>
    <w:tbl>
      <w:tblPr>
        <w:tblLayout w:type="fixed"/>
        <w:tblInd w:w="320" w:type="dxa"/>
        <w:tblCellMar>
          <w:top w:w="0" w:type="dxa"/>
          <w:left w:w="0" w:type="dxa"/>
          <w:bottom w:w="0" w:type="dxa"/>
          <w:right w:w="0" w:type="dxa"/>
        </w:tblCellMar>
      </w:tblPr>
      <w:tr>
        <w:trPr>
          <w:trHeight w:val="218"/>
        </w:trPr>
        <w:tc>
          <w:tcPr>
            <w:tcW w:w="640" w:type="dxa"/>
            <w:vAlign w:val="bottom"/>
            <w:vMerge w:val="restart"/>
          </w:tcPr>
          <w:p>
            <w:pPr>
              <w:jc w:val="right"/>
              <w:spacing w:after="0"/>
              <w:rPr>
                <w:sz w:val="20"/>
                <w:szCs w:val="20"/>
                <w:color w:val="auto"/>
              </w:rPr>
            </w:pPr>
            <w:r>
              <w:rPr>
                <w:rFonts w:ascii="Arial" w:cs="Arial" w:eastAsia="Arial" w:hAnsi="Arial"/>
                <w:sz w:val="43"/>
                <w:szCs w:val="43"/>
                <w:b w:val="1"/>
                <w:bCs w:val="1"/>
                <w:color w:val="085CE5"/>
                <w:w w:val="96"/>
              </w:rPr>
              <w:t>20</w:t>
            </w:r>
          </w:p>
        </w:tc>
        <w:tc>
          <w:tcPr>
            <w:tcW w:w="2000" w:type="dxa"/>
            <w:vAlign w:val="bottom"/>
          </w:tcPr>
          <w:p>
            <w:pPr>
              <w:jc w:val="center"/>
              <w:ind w:left="66"/>
              <w:spacing w:after="0"/>
              <w:rPr>
                <w:sz w:val="20"/>
                <w:szCs w:val="20"/>
                <w:color w:val="auto"/>
              </w:rPr>
            </w:pPr>
            <w:r>
              <w:rPr>
                <w:rFonts w:ascii="Arial" w:cs="Arial" w:eastAsia="Arial" w:hAnsi="Arial"/>
                <w:sz w:val="19"/>
                <w:szCs w:val="19"/>
                <w:b w:val="1"/>
                <w:bCs w:val="1"/>
                <w:color w:val="221F1F"/>
                <w:w w:val="99"/>
              </w:rPr>
              <w:t>Consecutive</w:t>
            </w:r>
          </w:p>
        </w:tc>
        <w:tc>
          <w:tcPr>
            <w:tcW w:w="0" w:type="dxa"/>
            <w:vAlign w:val="bottom"/>
          </w:tcPr>
          <w:p>
            <w:pPr>
              <w:spacing w:after="0"/>
              <w:rPr>
                <w:sz w:val="1"/>
                <w:szCs w:val="1"/>
                <w:color w:val="auto"/>
              </w:rPr>
            </w:pPr>
          </w:p>
        </w:tc>
      </w:tr>
      <w:tr>
        <w:trPr>
          <w:trHeight w:val="216"/>
        </w:trPr>
        <w:tc>
          <w:tcPr>
            <w:tcW w:w="640" w:type="dxa"/>
            <w:vAlign w:val="bottom"/>
            <w:vMerge w:val="continue"/>
          </w:tcPr>
          <w:p>
            <w:pPr>
              <w:spacing w:after="0"/>
              <w:rPr>
                <w:sz w:val="18"/>
                <w:szCs w:val="18"/>
                <w:color w:val="auto"/>
              </w:rPr>
            </w:pPr>
          </w:p>
        </w:tc>
        <w:tc>
          <w:tcPr>
            <w:tcW w:w="2000" w:type="dxa"/>
            <w:vAlign w:val="bottom"/>
          </w:tcPr>
          <w:p>
            <w:pPr>
              <w:jc w:val="center"/>
              <w:ind w:left="66"/>
              <w:spacing w:after="0" w:line="216" w:lineRule="exact"/>
              <w:rPr>
                <w:sz w:val="20"/>
                <w:szCs w:val="20"/>
                <w:color w:val="auto"/>
              </w:rPr>
            </w:pPr>
            <w:r>
              <w:rPr>
                <w:rFonts w:ascii="Arial" w:cs="Arial" w:eastAsia="Arial" w:hAnsi="Arial"/>
                <w:sz w:val="19"/>
                <w:szCs w:val="19"/>
                <w:b w:val="1"/>
                <w:bCs w:val="1"/>
                <w:color w:val="221F1F"/>
                <w:w w:val="99"/>
              </w:rPr>
              <w:t>Calendar Years of</w:t>
            </w:r>
          </w:p>
        </w:tc>
        <w:tc>
          <w:tcPr>
            <w:tcW w:w="0" w:type="dxa"/>
            <w:vAlign w:val="bottom"/>
          </w:tcPr>
          <w:p>
            <w:pPr>
              <w:spacing w:after="0"/>
              <w:rPr>
                <w:sz w:val="1"/>
                <w:szCs w:val="1"/>
                <w:color w:val="auto"/>
              </w:rPr>
            </w:pPr>
          </w:p>
        </w:tc>
      </w:tr>
      <w:tr>
        <w:trPr>
          <w:trHeight w:val="259"/>
        </w:trPr>
        <w:tc>
          <w:tcPr>
            <w:tcW w:w="640" w:type="dxa"/>
            <w:vAlign w:val="bottom"/>
            <w:vMerge w:val="continue"/>
          </w:tcPr>
          <w:p>
            <w:pPr>
              <w:spacing w:after="0"/>
              <w:rPr>
                <w:sz w:val="22"/>
                <w:szCs w:val="22"/>
                <w:color w:val="auto"/>
              </w:rPr>
            </w:pPr>
          </w:p>
        </w:tc>
        <w:tc>
          <w:tcPr>
            <w:tcW w:w="2000" w:type="dxa"/>
            <w:vAlign w:val="bottom"/>
          </w:tcPr>
          <w:p>
            <w:pPr>
              <w:jc w:val="center"/>
              <w:ind w:left="66"/>
              <w:spacing w:after="0"/>
              <w:rPr>
                <w:sz w:val="20"/>
                <w:szCs w:val="20"/>
                <w:color w:val="auto"/>
              </w:rPr>
            </w:pPr>
            <w:r>
              <w:rPr>
                <w:rFonts w:ascii="Arial" w:cs="Arial" w:eastAsia="Arial" w:hAnsi="Arial"/>
                <w:sz w:val="19"/>
                <w:szCs w:val="19"/>
                <w:b w:val="1"/>
                <w:bCs w:val="1"/>
                <w:color w:val="221F1F"/>
                <w:w w:val="99"/>
              </w:rPr>
              <w:t>Increased Dividends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84" w:lineRule="auto"/>
        <w:rPr>
          <w:sz w:val="20"/>
          <w:szCs w:val="20"/>
          <w:color w:val="auto"/>
        </w:rPr>
      </w:pPr>
      <w:r>
        <w:rPr>
          <w:rFonts w:ascii="Arial" w:cs="Arial" w:eastAsia="Arial" w:hAnsi="Arial"/>
          <w:sz w:val="27"/>
          <w:szCs w:val="27"/>
          <w:color w:val="221F1F"/>
        </w:rPr>
        <w:t>FY 24 Total</w:t>
      </w:r>
    </w:p>
    <w:p>
      <w:pPr>
        <w:ind w:left="440"/>
        <w:spacing w:after="0" w:line="184" w:lineRule="auto"/>
        <w:tabs>
          <w:tab w:leader="none" w:pos="1860" w:val="left"/>
          <w:tab w:leader="none" w:pos="3840" w:val="left"/>
        </w:tabs>
        <w:rPr>
          <w:sz w:val="20"/>
          <w:szCs w:val="20"/>
          <w:color w:val="auto"/>
        </w:rPr>
      </w:pPr>
      <w:r>
        <w:rPr>
          <w:rFonts w:ascii="Arial" w:cs="Arial" w:eastAsia="Arial" w:hAnsi="Arial"/>
          <w:sz w:val="29"/>
          <w:szCs w:val="29"/>
          <w:color w:val="221F1F"/>
        </w:rPr>
        <w:t>Paid</w:t>
      </w:r>
      <w:r>
        <w:rPr>
          <w:sz w:val="20"/>
          <w:szCs w:val="20"/>
          <w:color w:val="auto"/>
        </w:rPr>
        <w:tab/>
      </w:r>
      <w:r>
        <w:rPr>
          <w:rFonts w:ascii="Arial" w:cs="Arial" w:eastAsia="Arial" w:hAnsi="Arial"/>
          <w:sz w:val="40"/>
          <w:szCs w:val="40"/>
          <w:color w:val="085CE5"/>
        </w:rPr>
        <w:t>$156M</w:t>
      </w:r>
      <w:r>
        <w:rPr>
          <w:sz w:val="20"/>
          <w:szCs w:val="20"/>
          <w:color w:val="auto"/>
        </w:rPr>
        <w:tab/>
      </w:r>
      <w:r>
        <w:rPr>
          <w:rFonts w:ascii="Arial" w:cs="Arial" w:eastAsia="Arial" w:hAnsi="Arial"/>
          <w:sz w:val="46"/>
          <w:szCs w:val="46"/>
          <w:color w:val="221F1F"/>
        </w:rPr>
        <w:t xml:space="preserve">NASDAQ: </w:t>
      </w:r>
      <w:r>
        <w:rPr>
          <w:rFonts w:ascii="Arial" w:cs="Arial" w:eastAsia="Arial" w:hAnsi="Arial"/>
          <w:sz w:val="46"/>
          <w:szCs w:val="46"/>
          <w:b w:val="1"/>
          <w:bCs w:val="1"/>
          <w:color w:val="085CE5"/>
        </w:rPr>
        <w:t>JKHY</w:t>
      </w:r>
    </w:p>
    <w:p>
      <w:pPr>
        <w:ind w:left="100"/>
        <w:spacing w:after="0"/>
        <w:rPr>
          <w:sz w:val="20"/>
          <w:szCs w:val="20"/>
          <w:color w:val="auto"/>
        </w:rPr>
      </w:pPr>
      <w:r>
        <w:rPr>
          <w:rFonts w:ascii="Arial" w:cs="Arial" w:eastAsia="Arial" w:hAnsi="Arial"/>
          <w:sz w:val="29"/>
          <w:szCs w:val="29"/>
          <w:color w:val="221F1F"/>
        </w:rPr>
        <w:t>Dividends</w:t>
      </w:r>
    </w:p>
    <w:p>
      <w:pPr>
        <w:spacing w:after="0" w:line="29" w:lineRule="exact"/>
        <w:rPr>
          <w:sz w:val="20"/>
          <w:szCs w:val="20"/>
          <w:color w:val="auto"/>
        </w:rPr>
      </w:pPr>
    </w:p>
    <w:p>
      <w:pPr>
        <w:sectPr>
          <w:pgSz w:w="11900" w:h="16838" w:orient="portrait"/>
          <w:cols w:equalWidth="0" w:num="2">
            <w:col w:w="2960" w:space="200"/>
            <w:col w:w="8080"/>
          </w:cols>
          <w:pgMar w:left="320" w:top="777" w:right="339" w:bottom="1108" w:gutter="0" w:footer="0" w:header="0"/>
          <w:type w:val="continuous"/>
        </w:sectPr>
      </w:pPr>
    </w:p>
    <w:tbl>
      <w:tblPr>
        <w:tblLayout w:type="fixed"/>
        <w:tblInd w:w="0" w:type="dxa"/>
        <w:tblCellMar>
          <w:top w:w="0" w:type="dxa"/>
          <w:left w:w="0" w:type="dxa"/>
          <w:bottom w:w="0" w:type="dxa"/>
          <w:right w:w="0" w:type="dxa"/>
        </w:tblCellMar>
      </w:tblPr>
      <w:tr>
        <w:trPr>
          <w:trHeight w:val="275"/>
        </w:trPr>
        <w:tc>
          <w:tcPr>
            <w:tcW w:w="2660" w:type="dxa"/>
            <w:vAlign w:val="bottom"/>
            <w:tcBorders>
              <w:top w:val="single" w:sz="8" w:color="auto"/>
            </w:tcBorders>
          </w:tcPr>
          <w:p>
            <w:pPr>
              <w:spacing w:after="0"/>
              <w:rPr>
                <w:sz w:val="23"/>
                <w:szCs w:val="23"/>
                <w:color w:val="auto"/>
              </w:rPr>
            </w:pPr>
          </w:p>
        </w:tc>
        <w:tc>
          <w:tcPr>
            <w:tcW w:w="4720" w:type="dxa"/>
            <w:vAlign w:val="bottom"/>
            <w:tcBorders>
              <w:top w:val="single" w:sz="8" w:color="auto"/>
              <w:right w:val="single" w:sz="8" w:color="auto"/>
            </w:tcBorders>
          </w:tcPr>
          <w:p>
            <w:pPr>
              <w:ind w:left="880"/>
              <w:spacing w:after="0" w:line="275" w:lineRule="exact"/>
              <w:rPr>
                <w:sz w:val="20"/>
                <w:szCs w:val="20"/>
                <w:color w:val="auto"/>
              </w:rPr>
            </w:pPr>
            <w:r>
              <w:rPr>
                <w:rFonts w:ascii="Arial" w:cs="Arial" w:eastAsia="Arial" w:hAnsi="Arial"/>
                <w:sz w:val="25"/>
                <w:szCs w:val="25"/>
                <w:color w:val="085CE5"/>
              </w:rPr>
              <w:t>•  US News: Best Companies to</w:t>
            </w:r>
          </w:p>
        </w:tc>
        <w:tc>
          <w:tcPr>
            <w:tcW w:w="3660" w:type="dxa"/>
            <w:vAlign w:val="bottom"/>
            <w:tcBorders>
              <w:top w:val="single" w:sz="8" w:color="auto"/>
            </w:tcBorders>
            <w:vMerge w:val="restart"/>
          </w:tcPr>
          <w:p>
            <w:pPr>
              <w:ind w:left="440"/>
              <w:spacing w:after="0"/>
              <w:rPr>
                <w:sz w:val="20"/>
                <w:szCs w:val="20"/>
                <w:color w:val="auto"/>
              </w:rPr>
            </w:pPr>
            <w:r>
              <w:rPr>
                <w:rFonts w:ascii="Arial" w:cs="Arial" w:eastAsia="Arial" w:hAnsi="Arial"/>
                <w:sz w:val="40"/>
                <w:szCs w:val="40"/>
                <w:color w:val="085CE5"/>
              </w:rPr>
              <w:t>Formed in 1976</w:t>
            </w:r>
          </w:p>
        </w:tc>
        <w:tc>
          <w:tcPr>
            <w:tcW w:w="0" w:type="dxa"/>
            <w:vAlign w:val="bottom"/>
          </w:tcPr>
          <w:p>
            <w:pPr>
              <w:spacing w:after="0"/>
              <w:rPr>
                <w:sz w:val="1"/>
                <w:szCs w:val="1"/>
                <w:color w:val="auto"/>
              </w:rPr>
            </w:pPr>
          </w:p>
        </w:tc>
      </w:tr>
      <w:tr>
        <w:trPr>
          <w:trHeight w:val="474"/>
        </w:trPr>
        <w:tc>
          <w:tcPr>
            <w:tcW w:w="2660" w:type="dxa"/>
            <w:vAlign w:val="bottom"/>
            <w:vMerge w:val="restart"/>
          </w:tcPr>
          <w:p>
            <w:pPr>
              <w:jc w:val="center"/>
              <w:ind w:right="416"/>
              <w:spacing w:after="0"/>
              <w:rPr>
                <w:sz w:val="20"/>
                <w:szCs w:val="20"/>
                <w:color w:val="auto"/>
              </w:rPr>
            </w:pPr>
            <w:r>
              <w:rPr>
                <w:rFonts w:ascii="Arial" w:cs="Arial" w:eastAsia="Arial" w:hAnsi="Arial"/>
                <w:sz w:val="29"/>
                <w:szCs w:val="29"/>
                <w:b w:val="1"/>
                <w:bCs w:val="1"/>
                <w:color w:val="221F1F"/>
                <w:w w:val="99"/>
              </w:rPr>
              <w:t>Workplace</w:t>
            </w:r>
          </w:p>
        </w:tc>
        <w:tc>
          <w:tcPr>
            <w:tcW w:w="4720" w:type="dxa"/>
            <w:vAlign w:val="bottom"/>
            <w:tcBorders>
              <w:right w:val="single" w:sz="8" w:color="auto"/>
            </w:tcBorders>
          </w:tcPr>
          <w:p>
            <w:pPr>
              <w:ind w:left="1220"/>
              <w:spacing w:after="0"/>
              <w:rPr>
                <w:sz w:val="20"/>
                <w:szCs w:val="20"/>
                <w:color w:val="auto"/>
              </w:rPr>
            </w:pPr>
            <w:r>
              <w:rPr>
                <w:rFonts w:ascii="Arial" w:cs="Arial" w:eastAsia="Arial" w:hAnsi="Arial"/>
                <w:sz w:val="25"/>
                <w:szCs w:val="25"/>
                <w:color w:val="085CE5"/>
              </w:rPr>
              <w:t>Work for 2024-2025</w:t>
            </w:r>
          </w:p>
        </w:tc>
        <w:tc>
          <w:tcPr>
            <w:tcW w:w="366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2660" w:type="dxa"/>
            <w:vAlign w:val="bottom"/>
            <w:vMerge w:val="continue"/>
          </w:tcPr>
          <w:p>
            <w:pPr>
              <w:spacing w:after="0"/>
              <w:rPr>
                <w:sz w:val="16"/>
                <w:szCs w:val="16"/>
                <w:color w:val="auto"/>
              </w:rPr>
            </w:pPr>
          </w:p>
        </w:tc>
        <w:tc>
          <w:tcPr>
            <w:tcW w:w="4720" w:type="dxa"/>
            <w:vAlign w:val="bottom"/>
            <w:tcBorders>
              <w:right w:val="single" w:sz="8" w:color="auto"/>
            </w:tcBorders>
          </w:tcPr>
          <w:p>
            <w:pPr>
              <w:spacing w:after="0"/>
              <w:rPr>
                <w:sz w:val="16"/>
                <w:szCs w:val="16"/>
                <w:color w:val="auto"/>
              </w:rPr>
            </w:pPr>
          </w:p>
        </w:tc>
        <w:tc>
          <w:tcPr>
            <w:tcW w:w="3660" w:type="dxa"/>
            <w:vAlign w:val="bottom"/>
            <w:vMerge w:val="restart"/>
          </w:tcPr>
          <w:p>
            <w:pPr>
              <w:jc w:val="center"/>
              <w:ind w:left="1558"/>
              <w:spacing w:after="0"/>
              <w:rPr>
                <w:sz w:val="20"/>
                <w:szCs w:val="20"/>
                <w:color w:val="auto"/>
              </w:rPr>
            </w:pPr>
            <w:r>
              <w:rPr>
                <w:rFonts w:ascii="Arial" w:cs="Arial" w:eastAsia="Arial" w:hAnsi="Arial"/>
                <w:sz w:val="36"/>
                <w:szCs w:val="36"/>
                <w:color w:val="221F1F"/>
                <w:w w:val="99"/>
              </w:rPr>
              <w:t>HQ</w:t>
            </w:r>
          </w:p>
        </w:tc>
        <w:tc>
          <w:tcPr>
            <w:tcW w:w="0" w:type="dxa"/>
            <w:vAlign w:val="bottom"/>
          </w:tcPr>
          <w:p>
            <w:pPr>
              <w:spacing w:after="0"/>
              <w:rPr>
                <w:sz w:val="1"/>
                <w:szCs w:val="1"/>
                <w:color w:val="auto"/>
              </w:rPr>
            </w:pPr>
          </w:p>
        </w:tc>
      </w:tr>
      <w:tr>
        <w:trPr>
          <w:trHeight w:val="319"/>
        </w:trPr>
        <w:tc>
          <w:tcPr>
            <w:tcW w:w="2660" w:type="dxa"/>
            <w:vAlign w:val="bottom"/>
          </w:tcPr>
          <w:p>
            <w:pPr>
              <w:jc w:val="center"/>
              <w:ind w:right="396"/>
              <w:spacing w:after="0" w:line="319" w:lineRule="exact"/>
              <w:rPr>
                <w:sz w:val="20"/>
                <w:szCs w:val="20"/>
                <w:color w:val="auto"/>
              </w:rPr>
            </w:pPr>
            <w:r>
              <w:rPr>
                <w:rFonts w:ascii="Arial" w:cs="Arial" w:eastAsia="Arial" w:hAnsi="Arial"/>
                <w:sz w:val="29"/>
                <w:szCs w:val="29"/>
                <w:b w:val="1"/>
                <w:bCs w:val="1"/>
                <w:color w:val="221F1F"/>
                <w:w w:val="99"/>
              </w:rPr>
              <w:t>Awards</w:t>
            </w:r>
          </w:p>
        </w:tc>
        <w:tc>
          <w:tcPr>
            <w:tcW w:w="4720" w:type="dxa"/>
            <w:vAlign w:val="bottom"/>
            <w:tcBorders>
              <w:right w:val="single" w:sz="8" w:color="auto"/>
            </w:tcBorders>
          </w:tcPr>
          <w:p>
            <w:pPr>
              <w:ind w:left="880"/>
              <w:spacing w:after="0"/>
              <w:rPr>
                <w:sz w:val="20"/>
                <w:szCs w:val="20"/>
                <w:color w:val="auto"/>
              </w:rPr>
            </w:pPr>
            <w:r>
              <w:rPr>
                <w:rFonts w:ascii="Arial" w:cs="Arial" w:eastAsia="Arial" w:hAnsi="Arial"/>
                <w:sz w:val="25"/>
                <w:szCs w:val="25"/>
                <w:color w:val="085CE5"/>
              </w:rPr>
              <w:t>•  Newsweek: America’s</w:t>
            </w:r>
          </w:p>
        </w:tc>
        <w:tc>
          <w:tcPr>
            <w:tcW w:w="366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322"/>
        </w:trPr>
        <w:tc>
          <w:tcPr>
            <w:tcW w:w="2660" w:type="dxa"/>
            <w:vAlign w:val="bottom"/>
          </w:tcPr>
          <w:p>
            <w:pPr>
              <w:spacing w:after="0"/>
              <w:rPr>
                <w:sz w:val="24"/>
                <w:szCs w:val="24"/>
                <w:color w:val="auto"/>
              </w:rPr>
            </w:pPr>
          </w:p>
        </w:tc>
        <w:tc>
          <w:tcPr>
            <w:tcW w:w="4720" w:type="dxa"/>
            <w:vAlign w:val="bottom"/>
            <w:tcBorders>
              <w:right w:val="single" w:sz="8" w:color="auto"/>
            </w:tcBorders>
          </w:tcPr>
          <w:p>
            <w:pPr>
              <w:ind w:left="1220"/>
              <w:spacing w:after="0"/>
              <w:rPr>
                <w:sz w:val="20"/>
                <w:szCs w:val="20"/>
                <w:color w:val="auto"/>
              </w:rPr>
            </w:pPr>
            <w:r>
              <w:rPr>
                <w:rFonts w:ascii="Arial" w:cs="Arial" w:eastAsia="Arial" w:hAnsi="Arial"/>
                <w:sz w:val="25"/>
                <w:szCs w:val="25"/>
                <w:color w:val="085CE5"/>
              </w:rPr>
              <w:t>Greatest Workplaces 2024</w:t>
            </w:r>
          </w:p>
        </w:tc>
        <w:tc>
          <w:tcPr>
            <w:tcW w:w="3660" w:type="dxa"/>
            <w:vAlign w:val="bottom"/>
            <w:vMerge w:val="restart"/>
          </w:tcPr>
          <w:p>
            <w:pPr>
              <w:jc w:val="center"/>
              <w:ind w:left="1578"/>
              <w:spacing w:after="0"/>
              <w:rPr>
                <w:sz w:val="20"/>
                <w:szCs w:val="20"/>
                <w:color w:val="auto"/>
              </w:rPr>
            </w:pPr>
            <w:r>
              <w:rPr>
                <w:rFonts w:ascii="Arial" w:cs="Arial" w:eastAsia="Arial" w:hAnsi="Arial"/>
                <w:sz w:val="22"/>
                <w:szCs w:val="22"/>
                <w:color w:val="221F1F"/>
                <w:w w:val="99"/>
              </w:rPr>
              <w:t>Monett, Missouri</w:t>
            </w:r>
          </w:p>
        </w:tc>
        <w:tc>
          <w:tcPr>
            <w:tcW w:w="0" w:type="dxa"/>
            <w:vAlign w:val="bottom"/>
          </w:tcPr>
          <w:p>
            <w:pPr>
              <w:spacing w:after="0"/>
              <w:rPr>
                <w:sz w:val="1"/>
                <w:szCs w:val="1"/>
                <w:color w:val="auto"/>
              </w:rPr>
            </w:pPr>
          </w:p>
        </w:tc>
      </w:tr>
      <w:tr>
        <w:trPr>
          <w:trHeight w:val="68"/>
        </w:trPr>
        <w:tc>
          <w:tcPr>
            <w:tcW w:w="2660" w:type="dxa"/>
            <w:vAlign w:val="bottom"/>
          </w:tcPr>
          <w:p>
            <w:pPr>
              <w:spacing w:after="0"/>
              <w:rPr>
                <w:sz w:val="5"/>
                <w:szCs w:val="5"/>
                <w:color w:val="auto"/>
              </w:rPr>
            </w:pPr>
          </w:p>
        </w:tc>
        <w:tc>
          <w:tcPr>
            <w:tcW w:w="4720" w:type="dxa"/>
            <w:vAlign w:val="bottom"/>
            <w:tcBorders>
              <w:right w:val="single" w:sz="8" w:color="auto"/>
            </w:tcBorders>
          </w:tcPr>
          <w:p>
            <w:pPr>
              <w:spacing w:after="0"/>
              <w:rPr>
                <w:sz w:val="5"/>
                <w:szCs w:val="5"/>
                <w:color w:val="auto"/>
              </w:rPr>
            </w:pPr>
          </w:p>
        </w:tc>
        <w:tc>
          <w:tcPr>
            <w:tcW w:w="36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350"/>
        </w:trPr>
        <w:tc>
          <w:tcPr>
            <w:tcW w:w="2660" w:type="dxa"/>
            <w:vAlign w:val="bottom"/>
            <w:tcBorders>
              <w:bottom w:val="single" w:sz="8" w:color="auto"/>
            </w:tcBorders>
          </w:tcPr>
          <w:p>
            <w:pPr>
              <w:spacing w:after="0"/>
              <w:rPr>
                <w:sz w:val="24"/>
                <w:szCs w:val="24"/>
                <w:color w:val="auto"/>
              </w:rPr>
            </w:pPr>
          </w:p>
        </w:tc>
        <w:tc>
          <w:tcPr>
            <w:tcW w:w="4720" w:type="dxa"/>
            <w:vAlign w:val="bottom"/>
            <w:tcBorders>
              <w:bottom w:val="single" w:sz="8" w:color="auto"/>
              <w:right w:val="single" w:sz="8" w:color="auto"/>
            </w:tcBorders>
          </w:tcPr>
          <w:p>
            <w:pPr>
              <w:spacing w:after="0"/>
              <w:rPr>
                <w:sz w:val="24"/>
                <w:szCs w:val="24"/>
                <w:color w:val="auto"/>
              </w:rPr>
            </w:pPr>
          </w:p>
        </w:tc>
        <w:tc>
          <w:tcPr>
            <w:tcW w:w="36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1410970</wp:posOffset>
            </wp:positionH>
            <wp:positionV relativeFrom="paragraph">
              <wp:posOffset>-993775</wp:posOffset>
            </wp:positionV>
            <wp:extent cx="651510" cy="6515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51510" cy="651510"/>
                    </a:xfrm>
                    <a:prstGeom prst="rect">
                      <a:avLst/>
                    </a:prstGeom>
                    <a:noFill/>
                  </pic:spPr>
                </pic:pic>
              </a:graphicData>
            </a:graphic>
          </wp:anchor>
        </w:drawing>
        <w:drawing>
          <wp:anchor simplePos="0" relativeHeight="251657728" behindDoc="1" locked="0" layoutInCell="0" allowOverlap="1">
            <wp:simplePos x="0" y="0"/>
            <wp:positionH relativeFrom="column">
              <wp:posOffset>4959985</wp:posOffset>
            </wp:positionH>
            <wp:positionV relativeFrom="paragraph">
              <wp:posOffset>-650875</wp:posOffset>
            </wp:positionV>
            <wp:extent cx="574040" cy="57467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74040" cy="574675"/>
                    </a:xfrm>
                    <a:prstGeom prst="rect">
                      <a:avLst/>
                    </a:prstGeom>
                    <a:noFill/>
                  </pic:spPr>
                </pic:pic>
              </a:graphicData>
            </a:graphic>
          </wp:anchor>
        </w:drawing>
      </w: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Arial" w:cs="Arial" w:eastAsia="Arial" w:hAnsi="Arial"/>
          <w:sz w:val="20"/>
          <w:szCs w:val="20"/>
          <w:b w:val="1"/>
          <w:bCs w:val="1"/>
          <w:color w:val="221F1F"/>
        </w:rPr>
        <w:t>Summary of Proposals</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140" w:type="dxa"/>
            <w:vAlign w:val="bottom"/>
          </w:tcPr>
          <w:p>
            <w:pPr>
              <w:spacing w:after="0"/>
              <w:rPr>
                <w:sz w:val="16"/>
                <w:szCs w:val="16"/>
                <w:color w:val="auto"/>
              </w:rPr>
            </w:pPr>
          </w:p>
        </w:tc>
        <w:tc>
          <w:tcPr>
            <w:tcW w:w="7320" w:type="dxa"/>
            <w:vAlign w:val="bottom"/>
            <w:vMerge w:val="restart"/>
          </w:tcPr>
          <w:p>
            <w:pPr>
              <w:ind w:left="2540"/>
              <w:spacing w:after="0"/>
              <w:rPr>
                <w:sz w:val="20"/>
                <w:szCs w:val="20"/>
                <w:color w:val="auto"/>
              </w:rPr>
            </w:pPr>
            <w:r>
              <w:rPr>
                <w:rFonts w:ascii="Arial" w:cs="Arial" w:eastAsia="Arial" w:hAnsi="Arial"/>
                <w:sz w:val="18"/>
                <w:szCs w:val="18"/>
                <w:b w:val="1"/>
                <w:bCs w:val="1"/>
                <w:color w:val="085CE5"/>
              </w:rPr>
              <w:t>2024 Proposals</w:t>
            </w:r>
          </w:p>
        </w:tc>
        <w:tc>
          <w:tcPr>
            <w:tcW w:w="1580" w:type="dxa"/>
            <w:vAlign w:val="bottom"/>
          </w:tcPr>
          <w:p>
            <w:pPr>
              <w:jc w:val="center"/>
              <w:ind w:left="59"/>
              <w:spacing w:after="0"/>
              <w:rPr>
                <w:sz w:val="20"/>
                <w:szCs w:val="20"/>
                <w:color w:val="auto"/>
              </w:rPr>
            </w:pPr>
            <w:r>
              <w:rPr>
                <w:rFonts w:ascii="Arial" w:cs="Arial" w:eastAsia="Arial" w:hAnsi="Arial"/>
                <w:sz w:val="16"/>
                <w:szCs w:val="16"/>
                <w:color w:val="085CE5"/>
              </w:rPr>
              <w:t>Board</w:t>
            </w:r>
          </w:p>
        </w:tc>
        <w:tc>
          <w:tcPr>
            <w:tcW w:w="1200" w:type="dxa"/>
            <w:vAlign w:val="bottom"/>
            <w:vMerge w:val="restart"/>
          </w:tcPr>
          <w:p>
            <w:pPr>
              <w:ind w:left="240"/>
              <w:spacing w:after="0"/>
              <w:rPr>
                <w:sz w:val="20"/>
                <w:szCs w:val="20"/>
                <w:color w:val="auto"/>
              </w:rPr>
            </w:pPr>
            <w:r>
              <w:rPr>
                <w:rFonts w:ascii="Arial" w:cs="Arial" w:eastAsia="Arial" w:hAnsi="Arial"/>
                <w:sz w:val="16"/>
                <w:szCs w:val="16"/>
                <w:color w:val="085CE5"/>
              </w:rPr>
              <w:t>See Page</w:t>
            </w:r>
          </w:p>
        </w:tc>
        <w:tc>
          <w:tcPr>
            <w:tcW w:w="0" w:type="dxa"/>
            <w:vAlign w:val="bottom"/>
          </w:tcPr>
          <w:p>
            <w:pPr>
              <w:spacing w:after="0"/>
              <w:rPr>
                <w:sz w:val="1"/>
                <w:szCs w:val="1"/>
                <w:color w:val="auto"/>
              </w:rPr>
            </w:pPr>
          </w:p>
        </w:tc>
      </w:tr>
      <w:tr>
        <w:trPr>
          <w:trHeight w:val="147"/>
        </w:trPr>
        <w:tc>
          <w:tcPr>
            <w:tcW w:w="1140" w:type="dxa"/>
            <w:vAlign w:val="bottom"/>
          </w:tcPr>
          <w:p>
            <w:pPr>
              <w:spacing w:after="0"/>
              <w:rPr>
                <w:sz w:val="12"/>
                <w:szCs w:val="12"/>
                <w:color w:val="auto"/>
              </w:rPr>
            </w:pPr>
          </w:p>
        </w:tc>
        <w:tc>
          <w:tcPr>
            <w:tcW w:w="7320" w:type="dxa"/>
            <w:vAlign w:val="bottom"/>
            <w:vMerge w:val="continue"/>
          </w:tcPr>
          <w:p>
            <w:pPr>
              <w:spacing w:after="0"/>
              <w:rPr>
                <w:sz w:val="12"/>
                <w:szCs w:val="12"/>
                <w:color w:val="auto"/>
              </w:rPr>
            </w:pPr>
          </w:p>
        </w:tc>
        <w:tc>
          <w:tcPr>
            <w:tcW w:w="1580" w:type="dxa"/>
            <w:vAlign w:val="bottom"/>
            <w:vMerge w:val="restart"/>
          </w:tcPr>
          <w:p>
            <w:pPr>
              <w:jc w:val="center"/>
              <w:ind w:left="59"/>
              <w:spacing w:after="0"/>
              <w:rPr>
                <w:sz w:val="20"/>
                <w:szCs w:val="20"/>
                <w:color w:val="auto"/>
              </w:rPr>
            </w:pPr>
            <w:r>
              <w:rPr>
                <w:rFonts w:ascii="Arial" w:cs="Arial" w:eastAsia="Arial" w:hAnsi="Arial"/>
                <w:sz w:val="16"/>
                <w:szCs w:val="16"/>
                <w:color w:val="085CE5"/>
              </w:rPr>
              <w:t>Recommends</w:t>
            </w:r>
          </w:p>
        </w:tc>
        <w:tc>
          <w:tcPr>
            <w:tcW w:w="12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68"/>
        </w:trPr>
        <w:tc>
          <w:tcPr>
            <w:tcW w:w="1140" w:type="dxa"/>
            <w:vAlign w:val="bottom"/>
            <w:tcBorders>
              <w:bottom w:val="single" w:sz="8" w:color="auto"/>
            </w:tcBorders>
          </w:tcPr>
          <w:p>
            <w:pPr>
              <w:spacing w:after="0"/>
              <w:rPr>
                <w:sz w:val="5"/>
                <w:szCs w:val="5"/>
                <w:color w:val="auto"/>
              </w:rPr>
            </w:pPr>
          </w:p>
        </w:tc>
        <w:tc>
          <w:tcPr>
            <w:tcW w:w="7320" w:type="dxa"/>
            <w:vAlign w:val="bottom"/>
            <w:tcBorders>
              <w:bottom w:val="single" w:sz="8" w:color="auto"/>
            </w:tcBorders>
          </w:tcPr>
          <w:p>
            <w:pPr>
              <w:spacing w:after="0"/>
              <w:rPr>
                <w:sz w:val="5"/>
                <w:szCs w:val="5"/>
                <w:color w:val="auto"/>
              </w:rPr>
            </w:pPr>
          </w:p>
        </w:tc>
        <w:tc>
          <w:tcPr>
            <w:tcW w:w="1580" w:type="dxa"/>
            <w:vAlign w:val="bottom"/>
            <w:tcBorders>
              <w:bottom w:val="single" w:sz="8" w:color="auto"/>
            </w:tcBorders>
            <w:vMerge w:val="continue"/>
          </w:tcPr>
          <w:p>
            <w:pPr>
              <w:spacing w:after="0"/>
              <w:rPr>
                <w:sz w:val="5"/>
                <w:szCs w:val="5"/>
                <w:color w:val="auto"/>
              </w:rPr>
            </w:pPr>
          </w:p>
        </w:tc>
        <w:tc>
          <w:tcPr>
            <w:tcW w:w="12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1"/>
        </w:trPr>
        <w:tc>
          <w:tcPr>
            <w:tcW w:w="1140" w:type="dxa"/>
            <w:vAlign w:val="bottom"/>
            <w:tcBorders>
              <w:bottom w:val="single" w:sz="8" w:color="auto"/>
            </w:tcBorders>
          </w:tcPr>
          <w:p>
            <w:pPr>
              <w:spacing w:after="0" w:line="20" w:lineRule="exact"/>
              <w:rPr>
                <w:sz w:val="1"/>
                <w:szCs w:val="1"/>
                <w:color w:val="auto"/>
              </w:rPr>
            </w:pPr>
          </w:p>
        </w:tc>
        <w:tc>
          <w:tcPr>
            <w:tcW w:w="732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2"/>
        </w:trPr>
        <w:tc>
          <w:tcPr>
            <w:tcW w:w="1140" w:type="dxa"/>
            <w:vAlign w:val="bottom"/>
          </w:tcPr>
          <w:p>
            <w:pPr>
              <w:ind w:left="20"/>
              <w:spacing w:after="0"/>
              <w:rPr>
                <w:sz w:val="20"/>
                <w:szCs w:val="20"/>
                <w:color w:val="auto"/>
              </w:rPr>
            </w:pPr>
            <w:r>
              <w:rPr>
                <w:rFonts w:ascii="Arial" w:cs="Arial" w:eastAsia="Arial" w:hAnsi="Arial"/>
                <w:sz w:val="18"/>
                <w:szCs w:val="18"/>
                <w:color w:val="auto"/>
              </w:rPr>
              <w:t>Proposal 1:</w:t>
            </w:r>
          </w:p>
        </w:tc>
        <w:tc>
          <w:tcPr>
            <w:tcW w:w="7320" w:type="dxa"/>
            <w:vAlign w:val="bottom"/>
          </w:tcPr>
          <w:p>
            <w:pPr>
              <w:ind w:left="200"/>
              <w:spacing w:after="0"/>
              <w:rPr>
                <w:sz w:val="20"/>
                <w:szCs w:val="20"/>
                <w:color w:val="auto"/>
              </w:rPr>
            </w:pPr>
            <w:r>
              <w:rPr>
                <w:rFonts w:ascii="Arial" w:cs="Arial" w:eastAsia="Arial" w:hAnsi="Arial"/>
                <w:sz w:val="18"/>
                <w:szCs w:val="18"/>
                <w:color w:val="auto"/>
              </w:rPr>
              <w:t>Election of Directors.</w:t>
            </w:r>
          </w:p>
        </w:tc>
        <w:tc>
          <w:tcPr>
            <w:tcW w:w="1580" w:type="dxa"/>
            <w:vAlign w:val="bottom"/>
          </w:tcPr>
          <w:p>
            <w:pPr>
              <w:spacing w:after="0"/>
              <w:rPr>
                <w:sz w:val="20"/>
                <w:szCs w:val="20"/>
                <w:color w:val="auto"/>
              </w:rPr>
            </w:pPr>
          </w:p>
        </w:tc>
        <w:tc>
          <w:tcPr>
            <w:tcW w:w="1200" w:type="dxa"/>
            <w:vAlign w:val="bottom"/>
            <w:vMerge w:val="restart"/>
          </w:tcPr>
          <w:p>
            <w:pPr>
              <w:jc w:val="center"/>
              <w:spacing w:after="0"/>
              <w:rPr>
                <w:sz w:val="20"/>
                <w:szCs w:val="20"/>
                <w:color w:val="auto"/>
              </w:rPr>
            </w:pPr>
            <w:r>
              <w:rPr>
                <w:rFonts w:ascii="Arial" w:cs="Arial" w:eastAsia="Arial" w:hAnsi="Arial"/>
                <w:sz w:val="18"/>
                <w:szCs w:val="18"/>
                <w:color w:val="auto"/>
                <w:w w:val="99"/>
              </w:rPr>
              <w:t>4</w:t>
            </w:r>
          </w:p>
        </w:tc>
        <w:tc>
          <w:tcPr>
            <w:tcW w:w="0" w:type="dxa"/>
            <w:vAlign w:val="bottom"/>
          </w:tcPr>
          <w:p>
            <w:pPr>
              <w:spacing w:after="0"/>
              <w:rPr>
                <w:sz w:val="1"/>
                <w:szCs w:val="1"/>
                <w:color w:val="auto"/>
              </w:rPr>
            </w:pPr>
          </w:p>
        </w:tc>
      </w:tr>
      <w:tr>
        <w:trPr>
          <w:trHeight w:val="184"/>
        </w:trPr>
        <w:tc>
          <w:tcPr>
            <w:tcW w:w="1140" w:type="dxa"/>
            <w:vAlign w:val="bottom"/>
          </w:tcPr>
          <w:p>
            <w:pPr>
              <w:spacing w:after="0"/>
              <w:rPr>
                <w:sz w:val="15"/>
                <w:szCs w:val="15"/>
                <w:color w:val="auto"/>
              </w:rPr>
            </w:pPr>
          </w:p>
        </w:tc>
        <w:tc>
          <w:tcPr>
            <w:tcW w:w="732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12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1140" w:type="dxa"/>
            <w:vAlign w:val="bottom"/>
            <w:tcBorders>
              <w:bottom w:val="single" w:sz="8" w:color="DBDBDB"/>
            </w:tcBorders>
          </w:tcPr>
          <w:p>
            <w:pPr>
              <w:spacing w:after="0"/>
              <w:rPr>
                <w:sz w:val="16"/>
                <w:szCs w:val="16"/>
                <w:color w:val="auto"/>
              </w:rPr>
            </w:pPr>
          </w:p>
        </w:tc>
        <w:tc>
          <w:tcPr>
            <w:tcW w:w="7320" w:type="dxa"/>
            <w:vAlign w:val="bottom"/>
            <w:tcBorders>
              <w:bottom w:val="single" w:sz="8" w:color="DBDBDB"/>
            </w:tcBorders>
          </w:tcPr>
          <w:p>
            <w:pPr>
              <w:spacing w:after="0"/>
              <w:rPr>
                <w:sz w:val="16"/>
                <w:szCs w:val="16"/>
                <w:color w:val="auto"/>
              </w:rPr>
            </w:pPr>
          </w:p>
        </w:tc>
        <w:tc>
          <w:tcPr>
            <w:tcW w:w="1580" w:type="dxa"/>
            <w:vAlign w:val="bottom"/>
            <w:tcBorders>
              <w:bottom w:val="single" w:sz="8" w:color="DBDBDB"/>
            </w:tcBorders>
          </w:tcPr>
          <w:p>
            <w:pPr>
              <w:spacing w:after="0"/>
              <w:rPr>
                <w:sz w:val="16"/>
                <w:szCs w:val="16"/>
                <w:color w:val="auto"/>
              </w:rPr>
            </w:pPr>
          </w:p>
        </w:tc>
        <w:tc>
          <w:tcPr>
            <w:tcW w:w="1200" w:type="dxa"/>
            <w:vAlign w:val="bottom"/>
            <w:tcBorders>
              <w:bottom w:val="single" w:sz="8" w:color="DBDBDB"/>
            </w:tcBorders>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1140" w:type="dxa"/>
            <w:vAlign w:val="bottom"/>
          </w:tcPr>
          <w:p>
            <w:pPr>
              <w:ind w:left="20"/>
              <w:spacing w:after="0" w:line="169" w:lineRule="exact"/>
              <w:rPr>
                <w:sz w:val="20"/>
                <w:szCs w:val="20"/>
                <w:color w:val="auto"/>
              </w:rPr>
            </w:pPr>
            <w:r>
              <w:rPr>
                <w:rFonts w:ascii="Arial" w:cs="Arial" w:eastAsia="Arial" w:hAnsi="Arial"/>
                <w:sz w:val="18"/>
                <w:szCs w:val="18"/>
                <w:color w:val="auto"/>
              </w:rPr>
              <w:t>Proposal 2:</w:t>
            </w:r>
          </w:p>
        </w:tc>
        <w:tc>
          <w:tcPr>
            <w:tcW w:w="7320" w:type="dxa"/>
            <w:vAlign w:val="bottom"/>
          </w:tcPr>
          <w:p>
            <w:pPr>
              <w:ind w:left="200"/>
              <w:spacing w:after="0" w:line="169" w:lineRule="exact"/>
              <w:rPr>
                <w:sz w:val="20"/>
                <w:szCs w:val="20"/>
                <w:color w:val="auto"/>
              </w:rPr>
            </w:pPr>
            <w:r>
              <w:rPr>
                <w:rFonts w:ascii="Arial" w:cs="Arial" w:eastAsia="Arial" w:hAnsi="Arial"/>
                <w:sz w:val="18"/>
                <w:szCs w:val="18"/>
                <w:color w:val="auto"/>
              </w:rPr>
              <w:t>Advisory Vote to Approve the Company’s Named Executive Officer Compensation for</w:t>
            </w:r>
          </w:p>
        </w:tc>
        <w:tc>
          <w:tcPr>
            <w:tcW w:w="1580" w:type="dxa"/>
            <w:vAlign w:val="bottom"/>
          </w:tcPr>
          <w:p>
            <w:pPr>
              <w:spacing w:after="0"/>
              <w:rPr>
                <w:sz w:val="14"/>
                <w:szCs w:val="14"/>
                <w:color w:val="auto"/>
              </w:rPr>
            </w:pPr>
          </w:p>
        </w:tc>
        <w:tc>
          <w:tcPr>
            <w:tcW w:w="1200" w:type="dxa"/>
            <w:vAlign w:val="bottom"/>
            <w:vMerge w:val="restart"/>
          </w:tcPr>
          <w:p>
            <w:pPr>
              <w:jc w:val="center"/>
              <w:spacing w:after="0"/>
              <w:rPr>
                <w:sz w:val="20"/>
                <w:szCs w:val="20"/>
                <w:color w:val="auto"/>
              </w:rPr>
            </w:pPr>
            <w:r>
              <w:rPr>
                <w:rFonts w:ascii="Arial" w:cs="Arial" w:eastAsia="Arial" w:hAnsi="Arial"/>
                <w:sz w:val="18"/>
                <w:szCs w:val="18"/>
                <w:color w:val="auto"/>
                <w:w w:val="99"/>
              </w:rPr>
              <w:t>68</w:t>
            </w:r>
          </w:p>
        </w:tc>
        <w:tc>
          <w:tcPr>
            <w:tcW w:w="0" w:type="dxa"/>
            <w:vAlign w:val="bottom"/>
          </w:tcPr>
          <w:p>
            <w:pPr>
              <w:spacing w:after="0"/>
              <w:rPr>
                <w:sz w:val="1"/>
                <w:szCs w:val="1"/>
                <w:color w:val="auto"/>
              </w:rPr>
            </w:pPr>
          </w:p>
        </w:tc>
      </w:tr>
      <w:tr>
        <w:trPr>
          <w:trHeight w:val="247"/>
        </w:trPr>
        <w:tc>
          <w:tcPr>
            <w:tcW w:w="1140" w:type="dxa"/>
            <w:vAlign w:val="bottom"/>
          </w:tcPr>
          <w:p>
            <w:pPr>
              <w:spacing w:after="0"/>
              <w:rPr>
                <w:sz w:val="21"/>
                <w:szCs w:val="21"/>
                <w:color w:val="auto"/>
              </w:rPr>
            </w:pPr>
          </w:p>
        </w:tc>
        <w:tc>
          <w:tcPr>
            <w:tcW w:w="7320" w:type="dxa"/>
            <w:vAlign w:val="bottom"/>
          </w:tcPr>
          <w:p>
            <w:pPr>
              <w:ind w:left="200"/>
              <w:spacing w:after="0"/>
              <w:rPr>
                <w:sz w:val="20"/>
                <w:szCs w:val="20"/>
                <w:color w:val="auto"/>
              </w:rPr>
            </w:pPr>
            <w:r>
              <w:rPr>
                <w:rFonts w:ascii="Arial" w:cs="Arial" w:eastAsia="Arial" w:hAnsi="Arial"/>
                <w:sz w:val="18"/>
                <w:szCs w:val="18"/>
                <w:color w:val="auto"/>
              </w:rPr>
              <w:t>Fiscal 2024.</w:t>
            </w:r>
          </w:p>
        </w:tc>
        <w:tc>
          <w:tcPr>
            <w:tcW w:w="1580" w:type="dxa"/>
            <w:vAlign w:val="bottom"/>
          </w:tcPr>
          <w:p>
            <w:pPr>
              <w:spacing w:after="0"/>
              <w:rPr>
                <w:sz w:val="21"/>
                <w:szCs w:val="21"/>
                <w:color w:val="auto"/>
              </w:rPr>
            </w:pPr>
          </w:p>
        </w:tc>
        <w:tc>
          <w:tcPr>
            <w:tcW w:w="12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85"/>
        </w:trPr>
        <w:tc>
          <w:tcPr>
            <w:tcW w:w="1140" w:type="dxa"/>
            <w:vAlign w:val="bottom"/>
            <w:tcBorders>
              <w:bottom w:val="single" w:sz="8" w:color="DBDBDB"/>
            </w:tcBorders>
          </w:tcPr>
          <w:p>
            <w:pPr>
              <w:spacing w:after="0"/>
              <w:rPr>
                <w:sz w:val="16"/>
                <w:szCs w:val="16"/>
                <w:color w:val="auto"/>
              </w:rPr>
            </w:pPr>
          </w:p>
        </w:tc>
        <w:tc>
          <w:tcPr>
            <w:tcW w:w="7320" w:type="dxa"/>
            <w:vAlign w:val="bottom"/>
            <w:tcBorders>
              <w:bottom w:val="single" w:sz="8" w:color="DBDBDB"/>
            </w:tcBorders>
          </w:tcPr>
          <w:p>
            <w:pPr>
              <w:spacing w:after="0"/>
              <w:rPr>
                <w:sz w:val="16"/>
                <w:szCs w:val="16"/>
                <w:color w:val="auto"/>
              </w:rPr>
            </w:pPr>
          </w:p>
        </w:tc>
        <w:tc>
          <w:tcPr>
            <w:tcW w:w="1580" w:type="dxa"/>
            <w:vAlign w:val="bottom"/>
            <w:tcBorders>
              <w:bottom w:val="single" w:sz="8" w:color="DBDBDB"/>
            </w:tcBorders>
          </w:tcPr>
          <w:p>
            <w:pPr>
              <w:spacing w:after="0"/>
              <w:rPr>
                <w:sz w:val="16"/>
                <w:szCs w:val="16"/>
                <w:color w:val="auto"/>
              </w:rPr>
            </w:pPr>
          </w:p>
        </w:tc>
        <w:tc>
          <w:tcPr>
            <w:tcW w:w="1200" w:type="dxa"/>
            <w:vAlign w:val="bottom"/>
            <w:tcBorders>
              <w:bottom w:val="single" w:sz="8" w:color="DBDBDB"/>
            </w:tcBorders>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1140" w:type="dxa"/>
            <w:vAlign w:val="bottom"/>
          </w:tcPr>
          <w:p>
            <w:pPr>
              <w:ind w:left="20"/>
              <w:spacing w:after="0" w:line="169" w:lineRule="exact"/>
              <w:rPr>
                <w:sz w:val="20"/>
                <w:szCs w:val="20"/>
                <w:color w:val="auto"/>
              </w:rPr>
            </w:pPr>
            <w:r>
              <w:rPr>
                <w:rFonts w:ascii="Arial" w:cs="Arial" w:eastAsia="Arial" w:hAnsi="Arial"/>
                <w:sz w:val="18"/>
                <w:szCs w:val="18"/>
                <w:color w:val="auto"/>
              </w:rPr>
              <w:t>Proposal 3:</w:t>
            </w:r>
          </w:p>
        </w:tc>
        <w:tc>
          <w:tcPr>
            <w:tcW w:w="7320" w:type="dxa"/>
            <w:vAlign w:val="bottom"/>
          </w:tcPr>
          <w:p>
            <w:pPr>
              <w:ind w:left="200"/>
              <w:spacing w:after="0" w:line="169" w:lineRule="exact"/>
              <w:rPr>
                <w:sz w:val="20"/>
                <w:szCs w:val="20"/>
                <w:color w:val="auto"/>
              </w:rPr>
            </w:pPr>
            <w:r>
              <w:rPr>
                <w:rFonts w:ascii="Arial" w:cs="Arial" w:eastAsia="Arial" w:hAnsi="Arial"/>
                <w:sz w:val="18"/>
                <w:szCs w:val="18"/>
                <w:color w:val="auto"/>
              </w:rPr>
              <w:t>Approval of an Amendment to the Company's Certificate of Incorporation to Reduce</w:t>
            </w:r>
          </w:p>
        </w:tc>
        <w:tc>
          <w:tcPr>
            <w:tcW w:w="1580" w:type="dxa"/>
            <w:vAlign w:val="bottom"/>
          </w:tcPr>
          <w:p>
            <w:pPr>
              <w:spacing w:after="0"/>
              <w:rPr>
                <w:sz w:val="14"/>
                <w:szCs w:val="14"/>
                <w:color w:val="auto"/>
              </w:rPr>
            </w:pPr>
          </w:p>
        </w:tc>
        <w:tc>
          <w:tcPr>
            <w:tcW w:w="1200" w:type="dxa"/>
            <w:vAlign w:val="bottom"/>
            <w:vMerge w:val="restart"/>
          </w:tcPr>
          <w:p>
            <w:pPr>
              <w:jc w:val="center"/>
              <w:spacing w:after="0"/>
              <w:rPr>
                <w:sz w:val="20"/>
                <w:szCs w:val="20"/>
                <w:color w:val="auto"/>
              </w:rPr>
            </w:pPr>
            <w:r>
              <w:rPr>
                <w:rFonts w:ascii="Arial" w:cs="Arial" w:eastAsia="Arial" w:hAnsi="Arial"/>
                <w:sz w:val="18"/>
                <w:szCs w:val="18"/>
                <w:color w:val="auto"/>
                <w:w w:val="99"/>
              </w:rPr>
              <w:t>69</w:t>
            </w:r>
          </w:p>
        </w:tc>
        <w:tc>
          <w:tcPr>
            <w:tcW w:w="0" w:type="dxa"/>
            <w:vAlign w:val="bottom"/>
          </w:tcPr>
          <w:p>
            <w:pPr>
              <w:spacing w:after="0"/>
              <w:rPr>
                <w:sz w:val="1"/>
                <w:szCs w:val="1"/>
                <w:color w:val="auto"/>
              </w:rPr>
            </w:pPr>
          </w:p>
        </w:tc>
      </w:tr>
      <w:tr>
        <w:trPr>
          <w:trHeight w:val="247"/>
        </w:trPr>
        <w:tc>
          <w:tcPr>
            <w:tcW w:w="1140" w:type="dxa"/>
            <w:vAlign w:val="bottom"/>
          </w:tcPr>
          <w:p>
            <w:pPr>
              <w:spacing w:after="0"/>
              <w:rPr>
                <w:sz w:val="21"/>
                <w:szCs w:val="21"/>
                <w:color w:val="auto"/>
              </w:rPr>
            </w:pPr>
          </w:p>
        </w:tc>
        <w:tc>
          <w:tcPr>
            <w:tcW w:w="7320" w:type="dxa"/>
            <w:vAlign w:val="bottom"/>
          </w:tcPr>
          <w:p>
            <w:pPr>
              <w:ind w:left="200"/>
              <w:spacing w:after="0"/>
              <w:rPr>
                <w:sz w:val="20"/>
                <w:szCs w:val="20"/>
                <w:color w:val="auto"/>
              </w:rPr>
            </w:pPr>
            <w:r>
              <w:rPr>
                <w:rFonts w:ascii="Arial" w:cs="Arial" w:eastAsia="Arial" w:hAnsi="Arial"/>
                <w:sz w:val="18"/>
                <w:szCs w:val="18"/>
                <w:color w:val="auto"/>
              </w:rPr>
              <w:t>Stockholder Voting Thresholds.</w:t>
            </w:r>
          </w:p>
        </w:tc>
        <w:tc>
          <w:tcPr>
            <w:tcW w:w="1580" w:type="dxa"/>
            <w:vAlign w:val="bottom"/>
          </w:tcPr>
          <w:p>
            <w:pPr>
              <w:spacing w:after="0"/>
              <w:rPr>
                <w:sz w:val="21"/>
                <w:szCs w:val="21"/>
                <w:color w:val="auto"/>
              </w:rPr>
            </w:pPr>
          </w:p>
        </w:tc>
        <w:tc>
          <w:tcPr>
            <w:tcW w:w="12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85"/>
        </w:trPr>
        <w:tc>
          <w:tcPr>
            <w:tcW w:w="1140" w:type="dxa"/>
            <w:vAlign w:val="bottom"/>
            <w:tcBorders>
              <w:bottom w:val="single" w:sz="8" w:color="DBDBDB"/>
            </w:tcBorders>
          </w:tcPr>
          <w:p>
            <w:pPr>
              <w:spacing w:after="0"/>
              <w:rPr>
                <w:sz w:val="16"/>
                <w:szCs w:val="16"/>
                <w:color w:val="auto"/>
              </w:rPr>
            </w:pPr>
          </w:p>
        </w:tc>
        <w:tc>
          <w:tcPr>
            <w:tcW w:w="7320" w:type="dxa"/>
            <w:vAlign w:val="bottom"/>
            <w:tcBorders>
              <w:bottom w:val="single" w:sz="8" w:color="DBDBDB"/>
            </w:tcBorders>
          </w:tcPr>
          <w:p>
            <w:pPr>
              <w:spacing w:after="0"/>
              <w:rPr>
                <w:sz w:val="16"/>
                <w:szCs w:val="16"/>
                <w:color w:val="auto"/>
              </w:rPr>
            </w:pPr>
          </w:p>
        </w:tc>
        <w:tc>
          <w:tcPr>
            <w:tcW w:w="1580" w:type="dxa"/>
            <w:vAlign w:val="bottom"/>
            <w:tcBorders>
              <w:bottom w:val="single" w:sz="8" w:color="DBDBDB"/>
            </w:tcBorders>
          </w:tcPr>
          <w:p>
            <w:pPr>
              <w:spacing w:after="0"/>
              <w:rPr>
                <w:sz w:val="16"/>
                <w:szCs w:val="16"/>
                <w:color w:val="auto"/>
              </w:rPr>
            </w:pPr>
          </w:p>
        </w:tc>
        <w:tc>
          <w:tcPr>
            <w:tcW w:w="1200" w:type="dxa"/>
            <w:vAlign w:val="bottom"/>
            <w:tcBorders>
              <w:bottom w:val="single" w:sz="8" w:color="DBDBDB"/>
            </w:tcBorders>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1140" w:type="dxa"/>
            <w:vAlign w:val="bottom"/>
          </w:tcPr>
          <w:p>
            <w:pPr>
              <w:ind w:left="20"/>
              <w:spacing w:after="0" w:line="169" w:lineRule="exact"/>
              <w:rPr>
                <w:sz w:val="20"/>
                <w:szCs w:val="20"/>
                <w:color w:val="auto"/>
              </w:rPr>
            </w:pPr>
            <w:r>
              <w:rPr>
                <w:rFonts w:ascii="Arial" w:cs="Arial" w:eastAsia="Arial" w:hAnsi="Arial"/>
                <w:sz w:val="18"/>
                <w:szCs w:val="18"/>
                <w:color w:val="auto"/>
              </w:rPr>
              <w:t>Proposal 4:</w:t>
            </w:r>
          </w:p>
        </w:tc>
        <w:tc>
          <w:tcPr>
            <w:tcW w:w="7320" w:type="dxa"/>
            <w:vAlign w:val="bottom"/>
          </w:tcPr>
          <w:p>
            <w:pPr>
              <w:ind w:left="200"/>
              <w:spacing w:after="0" w:line="169" w:lineRule="exact"/>
              <w:rPr>
                <w:sz w:val="20"/>
                <w:szCs w:val="20"/>
                <w:color w:val="auto"/>
              </w:rPr>
            </w:pPr>
            <w:r>
              <w:rPr>
                <w:rFonts w:ascii="Arial" w:cs="Arial" w:eastAsia="Arial" w:hAnsi="Arial"/>
                <w:sz w:val="18"/>
                <w:szCs w:val="18"/>
                <w:color w:val="auto"/>
              </w:rPr>
              <w:t>Ratification of the Appointment of PricewaterhouseCoopers LLP as the Company’s</w:t>
            </w:r>
          </w:p>
        </w:tc>
        <w:tc>
          <w:tcPr>
            <w:tcW w:w="1580" w:type="dxa"/>
            <w:vAlign w:val="bottom"/>
          </w:tcPr>
          <w:p>
            <w:pPr>
              <w:spacing w:after="0"/>
              <w:rPr>
                <w:sz w:val="14"/>
                <w:szCs w:val="14"/>
                <w:color w:val="auto"/>
              </w:rPr>
            </w:pPr>
          </w:p>
        </w:tc>
        <w:tc>
          <w:tcPr>
            <w:tcW w:w="1200" w:type="dxa"/>
            <w:vAlign w:val="bottom"/>
            <w:vMerge w:val="restart"/>
          </w:tcPr>
          <w:p>
            <w:pPr>
              <w:jc w:val="center"/>
              <w:spacing w:after="0"/>
              <w:rPr>
                <w:sz w:val="20"/>
                <w:szCs w:val="20"/>
                <w:color w:val="auto"/>
              </w:rPr>
            </w:pPr>
            <w:r>
              <w:rPr>
                <w:rFonts w:ascii="Arial" w:cs="Arial" w:eastAsia="Arial" w:hAnsi="Arial"/>
                <w:sz w:val="18"/>
                <w:szCs w:val="18"/>
                <w:color w:val="auto"/>
                <w:w w:val="99"/>
              </w:rPr>
              <w:t>71</w:t>
            </w:r>
          </w:p>
        </w:tc>
        <w:tc>
          <w:tcPr>
            <w:tcW w:w="0" w:type="dxa"/>
            <w:vAlign w:val="bottom"/>
          </w:tcPr>
          <w:p>
            <w:pPr>
              <w:spacing w:after="0"/>
              <w:rPr>
                <w:sz w:val="1"/>
                <w:szCs w:val="1"/>
                <w:color w:val="auto"/>
              </w:rPr>
            </w:pPr>
          </w:p>
        </w:tc>
      </w:tr>
      <w:tr>
        <w:trPr>
          <w:trHeight w:val="247"/>
        </w:trPr>
        <w:tc>
          <w:tcPr>
            <w:tcW w:w="1140" w:type="dxa"/>
            <w:vAlign w:val="bottom"/>
          </w:tcPr>
          <w:p>
            <w:pPr>
              <w:spacing w:after="0"/>
              <w:rPr>
                <w:sz w:val="21"/>
                <w:szCs w:val="21"/>
                <w:color w:val="auto"/>
              </w:rPr>
            </w:pPr>
          </w:p>
        </w:tc>
        <w:tc>
          <w:tcPr>
            <w:tcW w:w="7320" w:type="dxa"/>
            <w:vAlign w:val="bottom"/>
          </w:tcPr>
          <w:p>
            <w:pPr>
              <w:ind w:left="200"/>
              <w:spacing w:after="0"/>
              <w:rPr>
                <w:sz w:val="20"/>
                <w:szCs w:val="20"/>
                <w:color w:val="auto"/>
              </w:rPr>
            </w:pPr>
            <w:r>
              <w:rPr>
                <w:rFonts w:ascii="Arial" w:cs="Arial" w:eastAsia="Arial" w:hAnsi="Arial"/>
                <w:sz w:val="18"/>
                <w:szCs w:val="18"/>
                <w:color w:val="auto"/>
              </w:rPr>
              <w:t>Independent Registered Public Accounting Firm for Fiscal 2025.</w:t>
            </w:r>
          </w:p>
        </w:tc>
        <w:tc>
          <w:tcPr>
            <w:tcW w:w="1580" w:type="dxa"/>
            <w:vAlign w:val="bottom"/>
          </w:tcPr>
          <w:p>
            <w:pPr>
              <w:spacing w:after="0"/>
              <w:rPr>
                <w:sz w:val="21"/>
                <w:szCs w:val="21"/>
                <w:color w:val="auto"/>
              </w:rPr>
            </w:pPr>
          </w:p>
        </w:tc>
        <w:tc>
          <w:tcPr>
            <w:tcW w:w="12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85"/>
        </w:trPr>
        <w:tc>
          <w:tcPr>
            <w:tcW w:w="1140" w:type="dxa"/>
            <w:vAlign w:val="bottom"/>
            <w:tcBorders>
              <w:bottom w:val="single" w:sz="8" w:color="DBDBDB"/>
            </w:tcBorders>
          </w:tcPr>
          <w:p>
            <w:pPr>
              <w:spacing w:after="0"/>
              <w:rPr>
                <w:sz w:val="16"/>
                <w:szCs w:val="16"/>
                <w:color w:val="auto"/>
              </w:rPr>
            </w:pPr>
          </w:p>
        </w:tc>
        <w:tc>
          <w:tcPr>
            <w:tcW w:w="7320" w:type="dxa"/>
            <w:vAlign w:val="bottom"/>
            <w:tcBorders>
              <w:bottom w:val="single" w:sz="8" w:color="DBDBDB"/>
            </w:tcBorders>
          </w:tcPr>
          <w:p>
            <w:pPr>
              <w:spacing w:after="0"/>
              <w:rPr>
                <w:sz w:val="16"/>
                <w:szCs w:val="16"/>
                <w:color w:val="auto"/>
              </w:rPr>
            </w:pPr>
          </w:p>
        </w:tc>
        <w:tc>
          <w:tcPr>
            <w:tcW w:w="1580" w:type="dxa"/>
            <w:vAlign w:val="bottom"/>
            <w:tcBorders>
              <w:bottom w:val="single" w:sz="8" w:color="DBDBDB"/>
            </w:tcBorders>
          </w:tcPr>
          <w:p>
            <w:pPr>
              <w:spacing w:after="0"/>
              <w:rPr>
                <w:sz w:val="16"/>
                <w:szCs w:val="16"/>
                <w:color w:val="auto"/>
              </w:rPr>
            </w:pPr>
          </w:p>
        </w:tc>
        <w:tc>
          <w:tcPr>
            <w:tcW w:w="1200" w:type="dxa"/>
            <w:vAlign w:val="bottom"/>
            <w:tcBorders>
              <w:bottom w:val="single" w:sz="8" w:color="DBDBDB"/>
            </w:tcBorders>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5756910</wp:posOffset>
            </wp:positionH>
            <wp:positionV relativeFrom="paragraph">
              <wp:posOffset>-1576705</wp:posOffset>
            </wp:positionV>
            <wp:extent cx="325755" cy="3257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25755" cy="325755"/>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-1182370</wp:posOffset>
            </wp:positionV>
            <wp:extent cx="325755" cy="3257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25755" cy="325755"/>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-788035</wp:posOffset>
            </wp:positionV>
            <wp:extent cx="325755" cy="3257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25755" cy="325755"/>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-393700</wp:posOffset>
            </wp:positionV>
            <wp:extent cx="325755" cy="3257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25755" cy="3257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2314575</wp:posOffset>
            </wp:positionV>
            <wp:extent cx="7132320" cy="3511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3511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10940" w:type="dxa"/>
            <w:vAlign w:val="bottom"/>
          </w:tcPr>
          <w:p>
            <w:pPr>
              <w:ind w:left="9000"/>
              <w:spacing w:after="0"/>
              <w:rPr>
                <w:sz w:val="20"/>
                <w:szCs w:val="20"/>
                <w:color w:val="auto"/>
              </w:rPr>
            </w:pPr>
            <w:r>
              <w:rPr>
                <w:rFonts w:ascii="Arial" w:cs="Arial" w:eastAsia="Arial" w:hAnsi="Arial"/>
                <w:sz w:val="18"/>
                <w:szCs w:val="18"/>
                <w:color w:val="auto"/>
              </w:rPr>
              <w:t>2024 Proxy Statement</w:t>
            </w:r>
          </w:p>
        </w:tc>
        <w:tc>
          <w:tcPr>
            <w:tcW w:w="300" w:type="dxa"/>
            <w:vAlign w:val="bottom"/>
          </w:tcPr>
          <w:p>
            <w:pPr>
              <w:jc w:val="right"/>
              <w:spacing w:after="0"/>
              <w:rPr>
                <w:sz w:val="20"/>
                <w:szCs w:val="20"/>
                <w:color w:val="auto"/>
              </w:rPr>
            </w:pPr>
            <w:r>
              <w:rPr>
                <w:rFonts w:ascii="Arial" w:cs="Arial" w:eastAsia="Arial" w:hAnsi="Arial"/>
                <w:sz w:val="18"/>
                <w:szCs w:val="18"/>
                <w:color w:val="1E3767"/>
              </w:rPr>
              <w:t>1</w:t>
            </w:r>
          </w:p>
        </w:tc>
      </w:tr>
      <w:tr>
        <w:trPr>
          <w:trHeight w:val="408"/>
        </w:trPr>
        <w:tc>
          <w:tcPr>
            <w:tcW w:w="1094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77" w:right="339" w:bottom="1108" w:gutter="0" w:footer="0" w:header="0"/>
          <w:type w:val="continuous"/>
        </w:sectPr>
      </w:pPr>
    </w:p>
    <w:bookmarkStart w:id="4" w:name="page5"/>
    <w:bookmarkEnd w:id="4"/>
    <w:p>
      <w:pPr>
        <w:spacing w:after="0"/>
        <w:rPr>
          <w:sz w:val="20"/>
          <w:szCs w:val="20"/>
          <w:color w:val="auto"/>
        </w:rPr>
      </w:pPr>
      <w:r>
        <w:rPr>
          <w:rFonts w:ascii="Arial" w:cs="Arial" w:eastAsia="Arial" w:hAnsi="Arial"/>
          <w:sz w:val="20"/>
          <w:szCs w:val="20"/>
          <w:b w:val="1"/>
          <w:bCs w:val="1"/>
          <w:color w:val="221F1F"/>
        </w:rPr>
        <w:t>Fiscal 2025 Director Nominees</w:t>
      </w:r>
    </w:p>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521"/>
        </w:trPr>
        <w:tc>
          <w:tcPr>
            <w:tcW w:w="2840" w:type="dxa"/>
            <w:vAlign w:val="bottom"/>
            <w:tcBorders>
              <w:top w:val="single" w:sz="8" w:color="auto"/>
              <w:right w:val="single" w:sz="8" w:color="auto"/>
            </w:tcBorders>
          </w:tcPr>
          <w:p>
            <w:pPr>
              <w:jc w:val="center"/>
              <w:spacing w:after="0" w:line="521" w:lineRule="exact"/>
              <w:rPr>
                <w:sz w:val="20"/>
                <w:szCs w:val="20"/>
                <w:color w:val="auto"/>
              </w:rPr>
            </w:pPr>
            <w:r>
              <w:rPr>
                <w:rFonts w:ascii="Arial" w:cs="Arial" w:eastAsia="Arial" w:hAnsi="Arial"/>
                <w:sz w:val="47"/>
                <w:szCs w:val="47"/>
                <w:b w:val="1"/>
                <w:bCs w:val="1"/>
                <w:color w:val="085CE5"/>
                <w:w w:val="99"/>
              </w:rPr>
              <w:t>8 of 9</w:t>
            </w:r>
          </w:p>
        </w:tc>
        <w:tc>
          <w:tcPr>
            <w:tcW w:w="2800" w:type="dxa"/>
            <w:vAlign w:val="bottom"/>
            <w:tcBorders>
              <w:top w:val="single" w:sz="8" w:color="auto"/>
              <w:right w:val="single" w:sz="8" w:color="auto"/>
            </w:tcBorders>
          </w:tcPr>
          <w:p>
            <w:pPr>
              <w:jc w:val="center"/>
              <w:spacing w:after="0" w:line="521" w:lineRule="exact"/>
              <w:rPr>
                <w:sz w:val="20"/>
                <w:szCs w:val="20"/>
                <w:color w:val="auto"/>
              </w:rPr>
            </w:pPr>
            <w:r>
              <w:rPr>
                <w:rFonts w:ascii="Arial" w:cs="Arial" w:eastAsia="Arial" w:hAnsi="Arial"/>
                <w:sz w:val="47"/>
                <w:szCs w:val="47"/>
                <w:b w:val="1"/>
                <w:bCs w:val="1"/>
                <w:color w:val="085CE5"/>
                <w:w w:val="99"/>
              </w:rPr>
              <w:t>3 of 9</w:t>
            </w:r>
          </w:p>
        </w:tc>
        <w:tc>
          <w:tcPr>
            <w:tcW w:w="2820" w:type="dxa"/>
            <w:vAlign w:val="bottom"/>
            <w:tcBorders>
              <w:top w:val="single" w:sz="8" w:color="auto"/>
              <w:right w:val="single" w:sz="8" w:color="auto"/>
            </w:tcBorders>
          </w:tcPr>
          <w:p>
            <w:pPr>
              <w:jc w:val="center"/>
              <w:spacing w:after="0" w:line="521" w:lineRule="exact"/>
              <w:rPr>
                <w:sz w:val="20"/>
                <w:szCs w:val="20"/>
                <w:color w:val="auto"/>
              </w:rPr>
            </w:pPr>
            <w:r>
              <w:rPr>
                <w:rFonts w:ascii="Arial" w:cs="Arial" w:eastAsia="Arial" w:hAnsi="Arial"/>
                <w:sz w:val="47"/>
                <w:szCs w:val="47"/>
                <w:b w:val="1"/>
                <w:bCs w:val="1"/>
                <w:color w:val="085CE5"/>
                <w:w w:val="99"/>
              </w:rPr>
              <w:t>60 years</w:t>
            </w:r>
          </w:p>
        </w:tc>
        <w:tc>
          <w:tcPr>
            <w:tcW w:w="2800" w:type="dxa"/>
            <w:vAlign w:val="bottom"/>
            <w:tcBorders>
              <w:top w:val="single" w:sz="8" w:color="auto"/>
            </w:tcBorders>
          </w:tcPr>
          <w:p>
            <w:pPr>
              <w:jc w:val="center"/>
              <w:spacing w:after="0" w:line="521" w:lineRule="exact"/>
              <w:rPr>
                <w:sz w:val="20"/>
                <w:szCs w:val="20"/>
                <w:color w:val="auto"/>
              </w:rPr>
            </w:pPr>
            <w:r>
              <w:rPr>
                <w:rFonts w:ascii="Arial" w:cs="Arial" w:eastAsia="Arial" w:hAnsi="Arial"/>
                <w:sz w:val="47"/>
                <w:szCs w:val="47"/>
                <w:b w:val="1"/>
                <w:bCs w:val="1"/>
                <w:color w:val="085CE5"/>
                <w:w w:val="98"/>
              </w:rPr>
              <w:t>8 years</w:t>
            </w:r>
          </w:p>
        </w:tc>
      </w:tr>
      <w:tr>
        <w:trPr>
          <w:trHeight w:val="322"/>
        </w:trPr>
        <w:tc>
          <w:tcPr>
            <w:tcW w:w="2840" w:type="dxa"/>
            <w:vAlign w:val="bottom"/>
            <w:tcBorders>
              <w:right w:val="single" w:sz="8" w:color="auto"/>
            </w:tcBorders>
          </w:tcPr>
          <w:p>
            <w:pPr>
              <w:jc w:val="center"/>
              <w:spacing w:after="0" w:line="321" w:lineRule="exact"/>
              <w:rPr>
                <w:sz w:val="20"/>
                <w:szCs w:val="20"/>
                <w:color w:val="auto"/>
              </w:rPr>
            </w:pPr>
            <w:r>
              <w:rPr>
                <w:rFonts w:ascii="Arial" w:cs="Arial" w:eastAsia="Arial" w:hAnsi="Arial"/>
                <w:sz w:val="29"/>
                <w:szCs w:val="29"/>
                <w:color w:val="auto"/>
              </w:rPr>
              <w:t>nominees are</w:t>
            </w:r>
          </w:p>
        </w:tc>
        <w:tc>
          <w:tcPr>
            <w:tcW w:w="2800" w:type="dxa"/>
            <w:vAlign w:val="bottom"/>
            <w:tcBorders>
              <w:right w:val="single" w:sz="8" w:color="auto"/>
            </w:tcBorders>
          </w:tcPr>
          <w:p>
            <w:pPr>
              <w:jc w:val="center"/>
              <w:spacing w:after="0" w:line="321" w:lineRule="exact"/>
              <w:rPr>
                <w:sz w:val="20"/>
                <w:szCs w:val="20"/>
                <w:color w:val="auto"/>
              </w:rPr>
            </w:pPr>
            <w:r>
              <w:rPr>
                <w:rFonts w:ascii="Arial" w:cs="Arial" w:eastAsia="Arial" w:hAnsi="Arial"/>
                <w:sz w:val="29"/>
                <w:szCs w:val="29"/>
                <w:color w:val="auto"/>
                <w:w w:val="99"/>
              </w:rPr>
              <w:t>nominees are</w:t>
            </w:r>
          </w:p>
        </w:tc>
        <w:tc>
          <w:tcPr>
            <w:tcW w:w="2820" w:type="dxa"/>
            <w:vAlign w:val="bottom"/>
            <w:tcBorders>
              <w:right w:val="single" w:sz="8" w:color="auto"/>
            </w:tcBorders>
          </w:tcPr>
          <w:p>
            <w:pPr>
              <w:jc w:val="center"/>
              <w:spacing w:after="0" w:line="321" w:lineRule="exact"/>
              <w:rPr>
                <w:sz w:val="20"/>
                <w:szCs w:val="20"/>
                <w:color w:val="auto"/>
              </w:rPr>
            </w:pPr>
            <w:r>
              <w:rPr>
                <w:rFonts w:ascii="Arial" w:cs="Arial" w:eastAsia="Arial" w:hAnsi="Arial"/>
                <w:sz w:val="29"/>
                <w:szCs w:val="29"/>
                <w:color w:val="auto"/>
                <w:w w:val="99"/>
              </w:rPr>
              <w:t>average</w:t>
            </w:r>
          </w:p>
        </w:tc>
        <w:tc>
          <w:tcPr>
            <w:tcW w:w="2800" w:type="dxa"/>
            <w:vAlign w:val="bottom"/>
          </w:tcPr>
          <w:p>
            <w:pPr>
              <w:jc w:val="center"/>
              <w:spacing w:after="0" w:line="321" w:lineRule="exact"/>
              <w:rPr>
                <w:sz w:val="20"/>
                <w:szCs w:val="20"/>
                <w:color w:val="auto"/>
              </w:rPr>
            </w:pPr>
            <w:r>
              <w:rPr>
                <w:rFonts w:ascii="Arial" w:cs="Arial" w:eastAsia="Arial" w:hAnsi="Arial"/>
                <w:sz w:val="29"/>
                <w:szCs w:val="29"/>
                <w:color w:val="auto"/>
                <w:w w:val="99"/>
              </w:rPr>
              <w:t>average</w:t>
            </w:r>
          </w:p>
        </w:tc>
      </w:tr>
      <w:tr>
        <w:trPr>
          <w:trHeight w:val="397"/>
        </w:trPr>
        <w:tc>
          <w:tcPr>
            <w:tcW w:w="2840" w:type="dxa"/>
            <w:vAlign w:val="bottom"/>
            <w:tcBorders>
              <w:right w:val="single" w:sz="8" w:color="auto"/>
            </w:tcBorders>
          </w:tcPr>
          <w:p>
            <w:pPr>
              <w:jc w:val="center"/>
              <w:spacing w:after="0"/>
              <w:rPr>
                <w:sz w:val="20"/>
                <w:szCs w:val="20"/>
                <w:color w:val="auto"/>
              </w:rPr>
            </w:pPr>
            <w:r>
              <w:rPr>
                <w:rFonts w:ascii="Arial" w:cs="Arial" w:eastAsia="Arial" w:hAnsi="Arial"/>
                <w:sz w:val="29"/>
                <w:szCs w:val="29"/>
                <w:b w:val="1"/>
                <w:bCs w:val="1"/>
                <w:color w:val="06185F"/>
                <w:w w:val="99"/>
              </w:rPr>
              <w:t>independent</w:t>
            </w:r>
          </w:p>
        </w:tc>
        <w:tc>
          <w:tcPr>
            <w:tcW w:w="2800" w:type="dxa"/>
            <w:vAlign w:val="bottom"/>
            <w:tcBorders>
              <w:right w:val="single" w:sz="8" w:color="auto"/>
            </w:tcBorders>
          </w:tcPr>
          <w:p>
            <w:pPr>
              <w:jc w:val="center"/>
              <w:spacing w:after="0"/>
              <w:rPr>
                <w:sz w:val="20"/>
                <w:szCs w:val="20"/>
                <w:color w:val="auto"/>
              </w:rPr>
            </w:pPr>
            <w:r>
              <w:rPr>
                <w:rFonts w:ascii="Arial" w:cs="Arial" w:eastAsia="Arial" w:hAnsi="Arial"/>
                <w:sz w:val="29"/>
                <w:szCs w:val="29"/>
                <w:b w:val="1"/>
                <w:bCs w:val="1"/>
                <w:color w:val="06185F"/>
                <w:w w:val="98"/>
              </w:rPr>
              <w:t>women</w:t>
            </w:r>
          </w:p>
        </w:tc>
        <w:tc>
          <w:tcPr>
            <w:tcW w:w="2820" w:type="dxa"/>
            <w:vAlign w:val="bottom"/>
            <w:tcBorders>
              <w:right w:val="single" w:sz="8" w:color="auto"/>
            </w:tcBorders>
          </w:tcPr>
          <w:p>
            <w:pPr>
              <w:jc w:val="center"/>
              <w:spacing w:after="0"/>
              <w:rPr>
                <w:sz w:val="20"/>
                <w:szCs w:val="20"/>
                <w:color w:val="auto"/>
              </w:rPr>
            </w:pPr>
            <w:r>
              <w:rPr>
                <w:rFonts w:ascii="Arial" w:cs="Arial" w:eastAsia="Arial" w:hAnsi="Arial"/>
                <w:sz w:val="29"/>
                <w:szCs w:val="29"/>
                <w:b w:val="1"/>
                <w:bCs w:val="1"/>
                <w:color w:val="06185F"/>
                <w:w w:val="99"/>
              </w:rPr>
              <w:t>age</w:t>
            </w:r>
          </w:p>
        </w:tc>
        <w:tc>
          <w:tcPr>
            <w:tcW w:w="2800" w:type="dxa"/>
            <w:vAlign w:val="bottom"/>
          </w:tcPr>
          <w:p>
            <w:pPr>
              <w:jc w:val="center"/>
              <w:spacing w:after="0"/>
              <w:rPr>
                <w:sz w:val="20"/>
                <w:szCs w:val="20"/>
                <w:color w:val="auto"/>
              </w:rPr>
            </w:pPr>
            <w:r>
              <w:rPr>
                <w:rFonts w:ascii="Arial" w:cs="Arial" w:eastAsia="Arial" w:hAnsi="Arial"/>
                <w:sz w:val="29"/>
                <w:szCs w:val="29"/>
                <w:b w:val="1"/>
                <w:bCs w:val="1"/>
                <w:color w:val="1F497D"/>
                <w:w w:val="99"/>
              </w:rPr>
              <w:t>tenure</w:t>
            </w:r>
          </w:p>
        </w:tc>
      </w:tr>
      <w:tr>
        <w:trPr>
          <w:trHeight w:val="245"/>
        </w:trPr>
        <w:tc>
          <w:tcPr>
            <w:tcW w:w="2840" w:type="dxa"/>
            <w:vAlign w:val="bottom"/>
            <w:tcBorders>
              <w:right w:val="single" w:sz="8" w:color="auto"/>
            </w:tcBorders>
          </w:tcPr>
          <w:p>
            <w:pPr>
              <w:spacing w:after="0"/>
              <w:rPr>
                <w:sz w:val="21"/>
                <w:szCs w:val="21"/>
                <w:color w:val="auto"/>
              </w:rPr>
            </w:pPr>
          </w:p>
        </w:tc>
        <w:tc>
          <w:tcPr>
            <w:tcW w:w="2800" w:type="dxa"/>
            <w:vAlign w:val="bottom"/>
            <w:tcBorders>
              <w:right w:val="single" w:sz="8" w:color="auto"/>
            </w:tcBorders>
          </w:tcPr>
          <w:p>
            <w:pPr>
              <w:spacing w:after="0"/>
              <w:rPr>
                <w:sz w:val="21"/>
                <w:szCs w:val="21"/>
                <w:color w:val="auto"/>
              </w:rPr>
            </w:pPr>
          </w:p>
        </w:tc>
        <w:tc>
          <w:tcPr>
            <w:tcW w:w="2820" w:type="dxa"/>
            <w:vAlign w:val="bottom"/>
            <w:tcBorders>
              <w:right w:val="single" w:sz="8" w:color="auto"/>
            </w:tcBorders>
          </w:tcPr>
          <w:p>
            <w:pPr>
              <w:spacing w:after="0"/>
              <w:rPr>
                <w:sz w:val="21"/>
                <w:szCs w:val="21"/>
                <w:color w:val="auto"/>
              </w:rPr>
            </w:pPr>
          </w:p>
        </w:tc>
        <w:tc>
          <w:tcPr>
            <w:tcW w:w="2800" w:type="dxa"/>
            <w:vAlign w:val="bottom"/>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7137400</wp:posOffset>
            </wp:positionH>
            <wp:positionV relativeFrom="paragraph">
              <wp:posOffset>-942340</wp:posOffset>
            </wp:positionV>
            <wp:extent cx="8255" cy="94297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8255" cy="94297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-942340</wp:posOffset>
            </wp:positionV>
            <wp:extent cx="8890" cy="94297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8890" cy="942975"/>
                    </a:xfrm>
                    <a:prstGeom prst="rect">
                      <a:avLst/>
                    </a:prstGeom>
                    <a:noFill/>
                  </pic:spPr>
                </pic:pic>
              </a:graphicData>
            </a:graphic>
          </wp:anchor>
        </w:drawing>
      </w:r>
    </w:p>
    <w:p>
      <w:pPr>
        <w:spacing w:after="0" w:line="200" w:lineRule="exact"/>
        <w:rPr>
          <w:sz w:val="20"/>
          <w:szCs w:val="20"/>
          <w:color w:val="auto"/>
        </w:rPr>
      </w:pP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760" w:type="dxa"/>
            <w:vAlign w:val="bottom"/>
            <w:shd w:val="clear" w:color="auto" w:fill="E8F7F7"/>
          </w:tcPr>
          <w:p>
            <w:pPr>
              <w:ind w:left="680"/>
              <w:spacing w:after="0"/>
              <w:rPr>
                <w:sz w:val="20"/>
                <w:szCs w:val="20"/>
                <w:color w:val="auto"/>
              </w:rPr>
            </w:pPr>
            <w:r>
              <w:rPr>
                <w:rFonts w:ascii="Arial" w:cs="Arial" w:eastAsia="Arial" w:hAnsi="Arial"/>
                <w:sz w:val="20"/>
                <w:szCs w:val="20"/>
                <w:b w:val="1"/>
                <w:bCs w:val="1"/>
                <w:color w:val="auto"/>
              </w:rPr>
              <w:t>Name</w:t>
            </w:r>
          </w:p>
        </w:tc>
        <w:tc>
          <w:tcPr>
            <w:tcW w:w="2500" w:type="dxa"/>
            <w:vAlign w:val="bottom"/>
            <w:shd w:val="clear" w:color="auto" w:fill="E8F7F7"/>
          </w:tcPr>
          <w:p>
            <w:pPr>
              <w:ind w:left="1180"/>
              <w:spacing w:after="0"/>
              <w:rPr>
                <w:sz w:val="20"/>
                <w:szCs w:val="20"/>
                <w:color w:val="auto"/>
              </w:rPr>
            </w:pPr>
            <w:r>
              <w:rPr>
                <w:rFonts w:ascii="Arial" w:cs="Arial" w:eastAsia="Arial" w:hAnsi="Arial"/>
                <w:sz w:val="20"/>
                <w:szCs w:val="20"/>
                <w:b w:val="1"/>
                <w:bCs w:val="1"/>
                <w:color w:val="auto"/>
              </w:rPr>
              <w:t>Title</w:t>
            </w:r>
          </w:p>
        </w:tc>
        <w:tc>
          <w:tcPr>
            <w:tcW w:w="1420" w:type="dxa"/>
            <w:vAlign w:val="bottom"/>
            <w:shd w:val="clear" w:color="auto" w:fill="E8F7F7"/>
          </w:tcPr>
          <w:p>
            <w:pPr>
              <w:jc w:val="center"/>
              <w:ind w:left="1"/>
              <w:spacing w:after="0"/>
              <w:rPr>
                <w:sz w:val="20"/>
                <w:szCs w:val="20"/>
                <w:color w:val="auto"/>
              </w:rPr>
            </w:pPr>
            <w:r>
              <w:rPr>
                <w:rFonts w:ascii="Arial" w:cs="Arial" w:eastAsia="Arial" w:hAnsi="Arial"/>
                <w:sz w:val="20"/>
                <w:szCs w:val="20"/>
                <w:b w:val="1"/>
                <w:bCs w:val="1"/>
                <w:color w:val="auto"/>
                <w:w w:val="99"/>
              </w:rPr>
              <w:t>Director</w:t>
            </w:r>
          </w:p>
        </w:tc>
        <w:tc>
          <w:tcPr>
            <w:tcW w:w="1660" w:type="dxa"/>
            <w:vAlign w:val="bottom"/>
            <w:shd w:val="clear" w:color="auto" w:fill="E8F7F7"/>
          </w:tcPr>
          <w:p>
            <w:pPr>
              <w:jc w:val="center"/>
              <w:ind w:left="24"/>
              <w:spacing w:after="0"/>
              <w:rPr>
                <w:sz w:val="20"/>
                <w:szCs w:val="20"/>
                <w:color w:val="auto"/>
              </w:rPr>
            </w:pPr>
            <w:r>
              <w:rPr>
                <w:rFonts w:ascii="Arial" w:cs="Arial" w:eastAsia="Arial" w:hAnsi="Arial"/>
                <w:sz w:val="20"/>
                <w:szCs w:val="20"/>
                <w:b w:val="1"/>
                <w:bCs w:val="1"/>
                <w:color w:val="auto"/>
                <w:w w:val="99"/>
              </w:rPr>
              <w:t>Independent</w:t>
            </w:r>
          </w:p>
        </w:tc>
        <w:tc>
          <w:tcPr>
            <w:tcW w:w="3900" w:type="dxa"/>
            <w:vAlign w:val="bottom"/>
            <w:shd w:val="clear" w:color="auto" w:fill="E8F7F7"/>
          </w:tcPr>
          <w:p>
            <w:pPr>
              <w:ind w:left="1060"/>
              <w:spacing w:after="0"/>
              <w:rPr>
                <w:sz w:val="20"/>
                <w:szCs w:val="20"/>
                <w:color w:val="auto"/>
              </w:rPr>
            </w:pPr>
            <w:r>
              <w:rPr>
                <w:rFonts w:ascii="Arial" w:cs="Arial" w:eastAsia="Arial" w:hAnsi="Arial"/>
                <w:sz w:val="20"/>
                <w:szCs w:val="20"/>
                <w:b w:val="1"/>
                <w:bCs w:val="1"/>
                <w:color w:val="auto"/>
              </w:rPr>
              <w:t>Committees &amp; Roles</w:t>
            </w:r>
          </w:p>
        </w:tc>
      </w:tr>
      <w:tr>
        <w:trPr>
          <w:trHeight w:val="277"/>
        </w:trPr>
        <w:tc>
          <w:tcPr>
            <w:tcW w:w="1760" w:type="dxa"/>
            <w:vAlign w:val="bottom"/>
            <w:tcBorders>
              <w:bottom w:val="single" w:sz="8" w:color="242424"/>
            </w:tcBorders>
            <w:shd w:val="clear" w:color="auto" w:fill="E8F7F7"/>
          </w:tcPr>
          <w:p>
            <w:pPr>
              <w:spacing w:after="0"/>
              <w:rPr>
                <w:sz w:val="24"/>
                <w:szCs w:val="24"/>
                <w:color w:val="auto"/>
              </w:rPr>
            </w:pPr>
          </w:p>
        </w:tc>
        <w:tc>
          <w:tcPr>
            <w:tcW w:w="2500" w:type="dxa"/>
            <w:vAlign w:val="bottom"/>
            <w:tcBorders>
              <w:bottom w:val="single" w:sz="8" w:color="242424"/>
            </w:tcBorders>
            <w:shd w:val="clear" w:color="auto" w:fill="E8F7F7"/>
          </w:tcPr>
          <w:p>
            <w:pPr>
              <w:spacing w:after="0"/>
              <w:rPr>
                <w:sz w:val="24"/>
                <w:szCs w:val="24"/>
                <w:color w:val="auto"/>
              </w:rPr>
            </w:pPr>
          </w:p>
        </w:tc>
        <w:tc>
          <w:tcPr>
            <w:tcW w:w="1420" w:type="dxa"/>
            <w:vAlign w:val="bottom"/>
            <w:tcBorders>
              <w:bottom w:val="single" w:sz="8" w:color="242424"/>
            </w:tcBorders>
            <w:shd w:val="clear" w:color="auto" w:fill="E8F7F7"/>
          </w:tcPr>
          <w:p>
            <w:pPr>
              <w:jc w:val="center"/>
              <w:ind w:left="1"/>
              <w:spacing w:after="0"/>
              <w:rPr>
                <w:sz w:val="20"/>
                <w:szCs w:val="20"/>
                <w:color w:val="auto"/>
              </w:rPr>
            </w:pPr>
            <w:r>
              <w:rPr>
                <w:rFonts w:ascii="Arial" w:cs="Arial" w:eastAsia="Arial" w:hAnsi="Arial"/>
                <w:sz w:val="20"/>
                <w:szCs w:val="20"/>
                <w:b w:val="1"/>
                <w:bCs w:val="1"/>
                <w:color w:val="auto"/>
                <w:w w:val="97"/>
              </w:rPr>
              <w:t>Since</w:t>
            </w:r>
          </w:p>
        </w:tc>
        <w:tc>
          <w:tcPr>
            <w:tcW w:w="1660" w:type="dxa"/>
            <w:vAlign w:val="bottom"/>
            <w:tcBorders>
              <w:bottom w:val="single" w:sz="8" w:color="242424"/>
            </w:tcBorders>
            <w:shd w:val="clear" w:color="auto" w:fill="E8F7F7"/>
          </w:tcPr>
          <w:p>
            <w:pPr>
              <w:spacing w:after="0"/>
              <w:rPr>
                <w:sz w:val="24"/>
                <w:szCs w:val="24"/>
                <w:color w:val="auto"/>
              </w:rPr>
            </w:pPr>
          </w:p>
        </w:tc>
        <w:tc>
          <w:tcPr>
            <w:tcW w:w="3900" w:type="dxa"/>
            <w:vAlign w:val="bottom"/>
            <w:tcBorders>
              <w:bottom w:val="single" w:sz="8" w:color="242424"/>
            </w:tcBorders>
            <w:shd w:val="clear" w:color="auto" w:fill="E8F7F7"/>
          </w:tcPr>
          <w:p>
            <w:pPr>
              <w:spacing w:after="0"/>
              <w:rPr>
                <w:sz w:val="24"/>
                <w:szCs w:val="24"/>
                <w:color w:val="auto"/>
              </w:rPr>
            </w:pPr>
          </w:p>
        </w:tc>
      </w:tr>
      <w:tr>
        <w:trPr>
          <w:trHeight w:val="267"/>
        </w:trPr>
        <w:tc>
          <w:tcPr>
            <w:tcW w:w="1760" w:type="dxa"/>
            <w:vAlign w:val="bottom"/>
            <w:tcBorders>
              <w:bottom w:val="single" w:sz="8" w:color="DBDBDB"/>
            </w:tcBorders>
          </w:tcPr>
          <w:p>
            <w:pPr>
              <w:ind w:left="20"/>
              <w:spacing w:after="0"/>
              <w:rPr>
                <w:sz w:val="20"/>
                <w:szCs w:val="20"/>
                <w:color w:val="auto"/>
              </w:rPr>
            </w:pPr>
            <w:r>
              <w:rPr>
                <w:rFonts w:ascii="Arial" w:cs="Arial" w:eastAsia="Arial" w:hAnsi="Arial"/>
                <w:sz w:val="20"/>
                <w:szCs w:val="20"/>
                <w:b w:val="1"/>
                <w:bCs w:val="1"/>
                <w:color w:val="auto"/>
              </w:rPr>
              <w:t>David B. Foss</w:t>
            </w:r>
          </w:p>
        </w:tc>
        <w:tc>
          <w:tcPr>
            <w:tcW w:w="2500" w:type="dxa"/>
            <w:vAlign w:val="bottom"/>
            <w:tcBorders>
              <w:bottom w:val="single" w:sz="8" w:color="DBDBDB"/>
            </w:tcBorders>
          </w:tcPr>
          <w:p>
            <w:pPr>
              <w:ind w:left="120"/>
              <w:spacing w:after="0"/>
              <w:rPr>
                <w:sz w:val="20"/>
                <w:szCs w:val="20"/>
                <w:color w:val="auto"/>
              </w:rPr>
            </w:pPr>
            <w:r>
              <w:rPr>
                <w:rFonts w:ascii="Arial" w:cs="Arial" w:eastAsia="Arial" w:hAnsi="Arial"/>
                <w:sz w:val="20"/>
                <w:szCs w:val="20"/>
                <w:color w:val="auto"/>
              </w:rPr>
              <w:t>Executive Board Chair</w:t>
            </w:r>
          </w:p>
        </w:tc>
        <w:tc>
          <w:tcPr>
            <w:tcW w:w="1420" w:type="dxa"/>
            <w:vAlign w:val="bottom"/>
            <w:tcBorders>
              <w:bottom w:val="single" w:sz="8" w:color="DBDBDB"/>
            </w:tcBorders>
          </w:tcPr>
          <w:p>
            <w:pPr>
              <w:jc w:val="center"/>
              <w:ind w:left="1"/>
              <w:spacing w:after="0"/>
              <w:rPr>
                <w:sz w:val="20"/>
                <w:szCs w:val="20"/>
                <w:color w:val="auto"/>
              </w:rPr>
            </w:pPr>
            <w:r>
              <w:rPr>
                <w:rFonts w:ascii="Arial" w:cs="Arial" w:eastAsia="Arial" w:hAnsi="Arial"/>
                <w:sz w:val="20"/>
                <w:szCs w:val="20"/>
                <w:color w:val="auto"/>
                <w:w w:val="98"/>
              </w:rPr>
              <w:t>2017</w:t>
            </w:r>
          </w:p>
        </w:tc>
        <w:tc>
          <w:tcPr>
            <w:tcW w:w="1660" w:type="dxa"/>
            <w:vAlign w:val="bottom"/>
            <w:tcBorders>
              <w:bottom w:val="single" w:sz="8" w:color="DBDBDB"/>
            </w:tcBorders>
          </w:tcPr>
          <w:p>
            <w:pPr>
              <w:jc w:val="center"/>
              <w:ind w:left="4"/>
              <w:spacing w:after="0"/>
              <w:rPr>
                <w:sz w:val="20"/>
                <w:szCs w:val="20"/>
                <w:color w:val="auto"/>
              </w:rPr>
            </w:pPr>
            <w:r>
              <w:rPr>
                <w:rFonts w:ascii="Arial" w:cs="Arial" w:eastAsia="Arial" w:hAnsi="Arial"/>
                <w:sz w:val="14"/>
                <w:szCs w:val="14"/>
                <w:b w:val="1"/>
                <w:bCs w:val="1"/>
                <w:color w:val="auto"/>
                <w:highlight w:val="black"/>
              </w:rPr>
              <w:t>O</w:t>
            </w:r>
          </w:p>
        </w:tc>
        <w:tc>
          <w:tcPr>
            <w:tcW w:w="3900" w:type="dxa"/>
            <w:vAlign w:val="bottom"/>
            <w:tcBorders>
              <w:bottom w:val="single" w:sz="8" w:color="DBDBDB"/>
            </w:tcBorders>
          </w:tcPr>
          <w:p>
            <w:pPr>
              <w:spacing w:after="0"/>
              <w:rPr>
                <w:sz w:val="23"/>
                <w:szCs w:val="23"/>
                <w:color w:val="auto"/>
              </w:rPr>
            </w:pPr>
          </w:p>
        </w:tc>
      </w:tr>
      <w:tr>
        <w:trPr>
          <w:trHeight w:val="213"/>
        </w:trPr>
        <w:tc>
          <w:tcPr>
            <w:tcW w:w="1760" w:type="dxa"/>
            <w:vAlign w:val="bottom"/>
            <w:shd w:val="clear" w:color="auto" w:fill="E7ECF0"/>
          </w:tcPr>
          <w:p>
            <w:pPr>
              <w:ind w:left="20"/>
              <w:spacing w:after="0" w:line="213" w:lineRule="exact"/>
              <w:rPr>
                <w:sz w:val="20"/>
                <w:szCs w:val="20"/>
                <w:color w:val="auto"/>
              </w:rPr>
            </w:pPr>
            <w:r>
              <w:rPr>
                <w:rFonts w:ascii="Arial" w:cs="Arial" w:eastAsia="Arial" w:hAnsi="Arial"/>
                <w:sz w:val="20"/>
                <w:szCs w:val="20"/>
                <w:b w:val="1"/>
                <w:bCs w:val="1"/>
                <w:color w:val="auto"/>
              </w:rPr>
              <w:t>Matthew C.</w:t>
            </w:r>
          </w:p>
        </w:tc>
        <w:tc>
          <w:tcPr>
            <w:tcW w:w="2500" w:type="dxa"/>
            <w:vAlign w:val="bottom"/>
            <w:shd w:val="clear" w:color="auto" w:fill="E7ECF0"/>
          </w:tcPr>
          <w:p>
            <w:pPr>
              <w:ind w:left="120"/>
              <w:spacing w:after="0" w:line="213" w:lineRule="exact"/>
              <w:rPr>
                <w:sz w:val="20"/>
                <w:szCs w:val="20"/>
                <w:color w:val="auto"/>
              </w:rPr>
            </w:pPr>
            <w:r>
              <w:rPr>
                <w:rFonts w:ascii="Arial" w:cs="Arial" w:eastAsia="Arial" w:hAnsi="Arial"/>
                <w:sz w:val="20"/>
                <w:szCs w:val="20"/>
                <w:color w:val="auto"/>
              </w:rPr>
              <w:t>Vice Chair and Lead</w:t>
            </w:r>
          </w:p>
        </w:tc>
        <w:tc>
          <w:tcPr>
            <w:tcW w:w="1420" w:type="dxa"/>
            <w:vAlign w:val="bottom"/>
            <w:shd w:val="clear" w:color="auto" w:fill="E7ECF0"/>
          </w:tcPr>
          <w:p>
            <w:pPr>
              <w:jc w:val="center"/>
              <w:ind w:left="1"/>
              <w:spacing w:after="0" w:line="213" w:lineRule="exact"/>
              <w:rPr>
                <w:sz w:val="20"/>
                <w:szCs w:val="20"/>
                <w:color w:val="auto"/>
              </w:rPr>
            </w:pPr>
            <w:r>
              <w:rPr>
                <w:rFonts w:ascii="Arial" w:cs="Arial" w:eastAsia="Arial" w:hAnsi="Arial"/>
                <w:sz w:val="20"/>
                <w:szCs w:val="20"/>
                <w:color w:val="auto"/>
                <w:w w:val="98"/>
              </w:rPr>
              <w:t>2007</w:t>
            </w:r>
          </w:p>
        </w:tc>
        <w:tc>
          <w:tcPr>
            <w:tcW w:w="1660" w:type="dxa"/>
            <w:vAlign w:val="bottom"/>
            <w:shd w:val="clear" w:color="auto" w:fill="E7ECF0"/>
          </w:tcPr>
          <w:p>
            <w:pPr>
              <w:jc w:val="center"/>
              <w:ind w:left="4"/>
              <w:spacing w:after="0" w:line="213" w:lineRule="exact"/>
              <w:rPr>
                <w:sz w:val="20"/>
                <w:szCs w:val="20"/>
                <w:color w:val="auto"/>
              </w:rPr>
            </w:pPr>
            <w:r>
              <w:rPr>
                <w:rFonts w:ascii="Wingdings" w:cs="Wingdings" w:eastAsia="Wingdings" w:hAnsi="Wingdings"/>
                <w:sz w:val="20"/>
                <w:szCs w:val="20"/>
                <w:b w:val="1"/>
                <w:bCs w:val="1"/>
                <w:color w:val="auto"/>
                <w:highlight w:val="black"/>
              </w:rPr>
              <w:t>ü</w:t>
            </w:r>
          </w:p>
        </w:tc>
        <w:tc>
          <w:tcPr>
            <w:tcW w:w="3900" w:type="dxa"/>
            <w:vAlign w:val="bottom"/>
            <w:shd w:val="clear" w:color="auto" w:fill="E7ECF0"/>
          </w:tcPr>
          <w:p>
            <w:pPr>
              <w:ind w:left="180"/>
              <w:spacing w:after="0" w:line="213" w:lineRule="exact"/>
              <w:rPr>
                <w:sz w:val="20"/>
                <w:szCs w:val="20"/>
                <w:color w:val="auto"/>
              </w:rPr>
            </w:pPr>
            <w:r>
              <w:rPr>
                <w:rFonts w:ascii="Arial" w:cs="Arial" w:eastAsia="Arial" w:hAnsi="Arial"/>
                <w:sz w:val="20"/>
                <w:szCs w:val="20"/>
                <w:color w:val="auto"/>
              </w:rPr>
              <w:t>Audit, Human Capital &amp; Compensation</w:t>
            </w:r>
          </w:p>
        </w:tc>
      </w:tr>
      <w:tr>
        <w:trPr>
          <w:trHeight w:val="277"/>
        </w:trPr>
        <w:tc>
          <w:tcPr>
            <w:tcW w:w="1760" w:type="dxa"/>
            <w:vAlign w:val="bottom"/>
            <w:tcBorders>
              <w:bottom w:val="single" w:sz="8" w:color="DBDBDB"/>
            </w:tcBorders>
            <w:shd w:val="clear" w:color="auto" w:fill="E7ECF0"/>
          </w:tcPr>
          <w:p>
            <w:pPr>
              <w:ind w:left="20"/>
              <w:spacing w:after="0"/>
              <w:rPr>
                <w:sz w:val="20"/>
                <w:szCs w:val="20"/>
                <w:color w:val="auto"/>
              </w:rPr>
            </w:pPr>
            <w:r>
              <w:rPr>
                <w:rFonts w:ascii="Arial" w:cs="Arial" w:eastAsia="Arial" w:hAnsi="Arial"/>
                <w:sz w:val="20"/>
                <w:szCs w:val="20"/>
                <w:b w:val="1"/>
                <w:bCs w:val="1"/>
                <w:color w:val="auto"/>
              </w:rPr>
              <w:t>Flanigan</w:t>
            </w:r>
          </w:p>
        </w:tc>
        <w:tc>
          <w:tcPr>
            <w:tcW w:w="2500" w:type="dxa"/>
            <w:vAlign w:val="bottom"/>
            <w:tcBorders>
              <w:bottom w:val="single" w:sz="8" w:color="DBDBDB"/>
            </w:tcBorders>
            <w:shd w:val="clear" w:color="auto" w:fill="E7ECF0"/>
          </w:tcPr>
          <w:p>
            <w:pPr>
              <w:ind w:left="120"/>
              <w:spacing w:after="0"/>
              <w:rPr>
                <w:sz w:val="20"/>
                <w:szCs w:val="20"/>
                <w:color w:val="auto"/>
              </w:rPr>
            </w:pPr>
            <w:r>
              <w:rPr>
                <w:rFonts w:ascii="Arial" w:cs="Arial" w:eastAsia="Arial" w:hAnsi="Arial"/>
                <w:sz w:val="20"/>
                <w:szCs w:val="20"/>
                <w:color w:val="auto"/>
              </w:rPr>
              <w:t>Director</w:t>
            </w:r>
          </w:p>
        </w:tc>
        <w:tc>
          <w:tcPr>
            <w:tcW w:w="1420" w:type="dxa"/>
            <w:vAlign w:val="bottom"/>
            <w:tcBorders>
              <w:bottom w:val="single" w:sz="8" w:color="DBDBDB"/>
            </w:tcBorders>
            <w:shd w:val="clear" w:color="auto" w:fill="E7ECF0"/>
          </w:tcPr>
          <w:p>
            <w:pPr>
              <w:spacing w:after="0"/>
              <w:rPr>
                <w:sz w:val="24"/>
                <w:szCs w:val="24"/>
                <w:color w:val="auto"/>
              </w:rPr>
            </w:pPr>
          </w:p>
        </w:tc>
        <w:tc>
          <w:tcPr>
            <w:tcW w:w="1660" w:type="dxa"/>
            <w:vAlign w:val="bottom"/>
            <w:tcBorders>
              <w:bottom w:val="single" w:sz="8" w:color="DBDBDB"/>
            </w:tcBorders>
            <w:shd w:val="clear" w:color="auto" w:fill="E7ECF0"/>
          </w:tcPr>
          <w:p>
            <w:pPr>
              <w:spacing w:after="0"/>
              <w:rPr>
                <w:sz w:val="24"/>
                <w:szCs w:val="24"/>
                <w:color w:val="auto"/>
              </w:rPr>
            </w:pPr>
          </w:p>
        </w:tc>
        <w:tc>
          <w:tcPr>
            <w:tcW w:w="3900" w:type="dxa"/>
            <w:vAlign w:val="bottom"/>
            <w:tcBorders>
              <w:bottom w:val="single" w:sz="8" w:color="DBDBDB"/>
            </w:tcBorders>
            <w:shd w:val="clear" w:color="auto" w:fill="E7ECF0"/>
          </w:tcPr>
          <w:p>
            <w:pPr>
              <w:spacing w:after="0"/>
              <w:rPr>
                <w:sz w:val="24"/>
                <w:szCs w:val="24"/>
                <w:color w:val="auto"/>
              </w:rPr>
            </w:pPr>
          </w:p>
        </w:tc>
      </w:tr>
      <w:tr>
        <w:trPr>
          <w:trHeight w:val="216"/>
        </w:trPr>
        <w:tc>
          <w:tcPr>
            <w:tcW w:w="4260" w:type="dxa"/>
            <w:vAlign w:val="bottom"/>
            <w:gridSpan w:val="2"/>
          </w:tcPr>
          <w:p>
            <w:pPr>
              <w:ind w:left="20"/>
              <w:spacing w:after="0" w:line="216" w:lineRule="exact"/>
              <w:rPr>
                <w:sz w:val="20"/>
                <w:szCs w:val="20"/>
                <w:color w:val="auto"/>
              </w:rPr>
            </w:pPr>
            <w:r>
              <w:rPr>
                <w:rFonts w:ascii="Arial" w:cs="Arial" w:eastAsia="Arial" w:hAnsi="Arial"/>
                <w:sz w:val="20"/>
                <w:szCs w:val="20"/>
                <w:b w:val="1"/>
                <w:bCs w:val="1"/>
                <w:color w:val="auto"/>
              </w:rPr>
              <w:t xml:space="preserve">Thomas H. Wilson, </w:t>
            </w:r>
            <w:r>
              <w:rPr>
                <w:rFonts w:ascii="Arial" w:cs="Arial" w:eastAsia="Arial" w:hAnsi="Arial"/>
                <w:sz w:val="20"/>
                <w:szCs w:val="20"/>
                <w:color w:val="auto"/>
              </w:rPr>
              <w:t>Director</w:t>
            </w:r>
          </w:p>
        </w:tc>
        <w:tc>
          <w:tcPr>
            <w:tcW w:w="1420" w:type="dxa"/>
            <w:vAlign w:val="bottom"/>
          </w:tcPr>
          <w:p>
            <w:pPr>
              <w:jc w:val="center"/>
              <w:ind w:left="1"/>
              <w:spacing w:after="0" w:line="216" w:lineRule="exact"/>
              <w:rPr>
                <w:sz w:val="20"/>
                <w:szCs w:val="20"/>
                <w:color w:val="auto"/>
              </w:rPr>
            </w:pPr>
            <w:r>
              <w:rPr>
                <w:rFonts w:ascii="Arial" w:cs="Arial" w:eastAsia="Arial" w:hAnsi="Arial"/>
                <w:sz w:val="20"/>
                <w:szCs w:val="20"/>
                <w:color w:val="auto"/>
                <w:w w:val="98"/>
              </w:rPr>
              <w:t>2012</w:t>
            </w:r>
          </w:p>
        </w:tc>
        <w:tc>
          <w:tcPr>
            <w:tcW w:w="1660" w:type="dxa"/>
            <w:vAlign w:val="bottom"/>
          </w:tcPr>
          <w:p>
            <w:pPr>
              <w:jc w:val="center"/>
              <w:ind w:left="4"/>
              <w:spacing w:after="0" w:line="216" w:lineRule="exact"/>
              <w:rPr>
                <w:sz w:val="20"/>
                <w:szCs w:val="20"/>
                <w:color w:val="auto"/>
              </w:rPr>
            </w:pPr>
            <w:r>
              <w:rPr>
                <w:rFonts w:ascii="Wingdings" w:cs="Wingdings" w:eastAsia="Wingdings" w:hAnsi="Wingdings"/>
                <w:sz w:val="20"/>
                <w:szCs w:val="20"/>
                <w:b w:val="1"/>
                <w:bCs w:val="1"/>
                <w:color w:val="auto"/>
                <w:highlight w:val="black"/>
              </w:rPr>
              <w:t>ü</w:t>
            </w:r>
          </w:p>
        </w:tc>
        <w:tc>
          <w:tcPr>
            <w:tcW w:w="3900" w:type="dxa"/>
            <w:vAlign w:val="bottom"/>
          </w:tcPr>
          <w:p>
            <w:pPr>
              <w:ind w:left="180"/>
              <w:spacing w:after="0" w:line="216" w:lineRule="exact"/>
              <w:rPr>
                <w:sz w:val="20"/>
                <w:szCs w:val="20"/>
                <w:color w:val="auto"/>
              </w:rPr>
            </w:pPr>
            <w:r>
              <w:rPr>
                <w:rFonts w:ascii="Arial" w:cs="Arial" w:eastAsia="Arial" w:hAnsi="Arial"/>
                <w:sz w:val="20"/>
                <w:szCs w:val="20"/>
                <w:color w:val="auto"/>
              </w:rPr>
              <w:t>Audit (Chair), Governance</w:t>
            </w:r>
          </w:p>
        </w:tc>
      </w:tr>
      <w:tr>
        <w:trPr>
          <w:trHeight w:val="277"/>
        </w:trPr>
        <w:tc>
          <w:tcPr>
            <w:tcW w:w="1760" w:type="dxa"/>
            <w:vAlign w:val="bottom"/>
            <w:tcBorders>
              <w:bottom w:val="single" w:sz="8" w:color="DBDBDB"/>
            </w:tcBorders>
          </w:tcPr>
          <w:p>
            <w:pPr>
              <w:ind w:left="20"/>
              <w:spacing w:after="0"/>
              <w:rPr>
                <w:sz w:val="20"/>
                <w:szCs w:val="20"/>
                <w:color w:val="auto"/>
              </w:rPr>
            </w:pPr>
            <w:r>
              <w:rPr>
                <w:rFonts w:ascii="Arial" w:cs="Arial" w:eastAsia="Arial" w:hAnsi="Arial"/>
                <w:sz w:val="20"/>
                <w:szCs w:val="20"/>
                <w:b w:val="1"/>
                <w:bCs w:val="1"/>
                <w:color w:val="auto"/>
              </w:rPr>
              <w:t>Jr.</w:t>
            </w:r>
          </w:p>
        </w:tc>
        <w:tc>
          <w:tcPr>
            <w:tcW w:w="2500" w:type="dxa"/>
            <w:vAlign w:val="bottom"/>
            <w:tcBorders>
              <w:bottom w:val="single" w:sz="8" w:color="DBDBDB"/>
            </w:tcBorders>
          </w:tcPr>
          <w:p>
            <w:pPr>
              <w:spacing w:after="0"/>
              <w:rPr>
                <w:sz w:val="24"/>
                <w:szCs w:val="24"/>
                <w:color w:val="auto"/>
              </w:rPr>
            </w:pPr>
          </w:p>
        </w:tc>
        <w:tc>
          <w:tcPr>
            <w:tcW w:w="1420" w:type="dxa"/>
            <w:vAlign w:val="bottom"/>
            <w:tcBorders>
              <w:bottom w:val="single" w:sz="8" w:color="DBDBDB"/>
            </w:tcBorders>
          </w:tcPr>
          <w:p>
            <w:pPr>
              <w:spacing w:after="0"/>
              <w:rPr>
                <w:sz w:val="24"/>
                <w:szCs w:val="24"/>
                <w:color w:val="auto"/>
              </w:rPr>
            </w:pPr>
          </w:p>
        </w:tc>
        <w:tc>
          <w:tcPr>
            <w:tcW w:w="1660" w:type="dxa"/>
            <w:vAlign w:val="bottom"/>
            <w:tcBorders>
              <w:bottom w:val="single" w:sz="8" w:color="DBDBDB"/>
            </w:tcBorders>
          </w:tcPr>
          <w:p>
            <w:pPr>
              <w:spacing w:after="0"/>
              <w:rPr>
                <w:sz w:val="24"/>
                <w:szCs w:val="24"/>
                <w:color w:val="auto"/>
              </w:rPr>
            </w:pPr>
          </w:p>
        </w:tc>
        <w:tc>
          <w:tcPr>
            <w:tcW w:w="3900" w:type="dxa"/>
            <w:vAlign w:val="bottom"/>
            <w:tcBorders>
              <w:bottom w:val="single" w:sz="8" w:color="DBDBDB"/>
            </w:tcBorders>
          </w:tcPr>
          <w:p>
            <w:pPr>
              <w:spacing w:after="0"/>
              <w:rPr>
                <w:sz w:val="24"/>
                <w:szCs w:val="24"/>
                <w:color w:val="auto"/>
              </w:rPr>
            </w:pPr>
          </w:p>
        </w:tc>
      </w:tr>
      <w:tr>
        <w:trPr>
          <w:trHeight w:val="216"/>
        </w:trPr>
        <w:tc>
          <w:tcPr>
            <w:tcW w:w="1760" w:type="dxa"/>
            <w:vAlign w:val="bottom"/>
            <w:shd w:val="clear" w:color="auto" w:fill="E7ECF0"/>
          </w:tcPr>
          <w:p>
            <w:pPr>
              <w:ind w:left="20"/>
              <w:spacing w:after="0" w:line="216" w:lineRule="exact"/>
              <w:rPr>
                <w:sz w:val="20"/>
                <w:szCs w:val="20"/>
                <w:color w:val="auto"/>
              </w:rPr>
            </w:pPr>
            <w:r>
              <w:rPr>
                <w:rFonts w:ascii="Arial" w:cs="Arial" w:eastAsia="Arial" w:hAnsi="Arial"/>
                <w:sz w:val="20"/>
                <w:szCs w:val="20"/>
                <w:b w:val="1"/>
                <w:bCs w:val="1"/>
                <w:color w:val="auto"/>
              </w:rPr>
              <w:t>Thomas A.</w:t>
            </w:r>
          </w:p>
        </w:tc>
        <w:tc>
          <w:tcPr>
            <w:tcW w:w="2500" w:type="dxa"/>
            <w:vAlign w:val="bottom"/>
            <w:shd w:val="clear" w:color="auto" w:fill="E7ECF0"/>
          </w:tcPr>
          <w:p>
            <w:pPr>
              <w:ind w:left="120"/>
              <w:spacing w:after="0" w:line="216" w:lineRule="exact"/>
              <w:rPr>
                <w:sz w:val="20"/>
                <w:szCs w:val="20"/>
                <w:color w:val="auto"/>
              </w:rPr>
            </w:pPr>
            <w:r>
              <w:rPr>
                <w:rFonts w:ascii="Arial" w:cs="Arial" w:eastAsia="Arial" w:hAnsi="Arial"/>
                <w:sz w:val="20"/>
                <w:szCs w:val="20"/>
                <w:color w:val="auto"/>
              </w:rPr>
              <w:t>Director</w:t>
            </w:r>
          </w:p>
        </w:tc>
        <w:tc>
          <w:tcPr>
            <w:tcW w:w="1420" w:type="dxa"/>
            <w:vAlign w:val="bottom"/>
            <w:shd w:val="clear" w:color="auto" w:fill="E7ECF0"/>
          </w:tcPr>
          <w:p>
            <w:pPr>
              <w:jc w:val="center"/>
              <w:ind w:left="1"/>
              <w:spacing w:after="0" w:line="216" w:lineRule="exact"/>
              <w:rPr>
                <w:sz w:val="20"/>
                <w:szCs w:val="20"/>
                <w:color w:val="auto"/>
              </w:rPr>
            </w:pPr>
            <w:r>
              <w:rPr>
                <w:rFonts w:ascii="Arial" w:cs="Arial" w:eastAsia="Arial" w:hAnsi="Arial"/>
                <w:sz w:val="20"/>
                <w:szCs w:val="20"/>
                <w:color w:val="auto"/>
                <w:w w:val="98"/>
              </w:rPr>
              <w:t>2012</w:t>
            </w:r>
          </w:p>
        </w:tc>
        <w:tc>
          <w:tcPr>
            <w:tcW w:w="1660" w:type="dxa"/>
            <w:vAlign w:val="bottom"/>
            <w:shd w:val="clear" w:color="auto" w:fill="E7ECF0"/>
          </w:tcPr>
          <w:p>
            <w:pPr>
              <w:jc w:val="center"/>
              <w:ind w:left="4"/>
              <w:spacing w:after="0" w:line="216" w:lineRule="exact"/>
              <w:rPr>
                <w:sz w:val="20"/>
                <w:szCs w:val="20"/>
                <w:color w:val="auto"/>
              </w:rPr>
            </w:pPr>
            <w:r>
              <w:rPr>
                <w:rFonts w:ascii="Wingdings" w:cs="Wingdings" w:eastAsia="Wingdings" w:hAnsi="Wingdings"/>
                <w:sz w:val="20"/>
                <w:szCs w:val="20"/>
                <w:b w:val="1"/>
                <w:bCs w:val="1"/>
                <w:color w:val="auto"/>
                <w:highlight w:val="black"/>
              </w:rPr>
              <w:t>ü</w:t>
            </w:r>
          </w:p>
        </w:tc>
        <w:tc>
          <w:tcPr>
            <w:tcW w:w="3900" w:type="dxa"/>
            <w:vAlign w:val="bottom"/>
            <w:shd w:val="clear" w:color="auto" w:fill="E7ECF0"/>
          </w:tcPr>
          <w:p>
            <w:pPr>
              <w:ind w:left="180"/>
              <w:spacing w:after="0" w:line="216" w:lineRule="exact"/>
              <w:rPr>
                <w:sz w:val="20"/>
                <w:szCs w:val="20"/>
                <w:color w:val="auto"/>
              </w:rPr>
            </w:pPr>
            <w:r>
              <w:rPr>
                <w:rFonts w:ascii="Arial" w:cs="Arial" w:eastAsia="Arial" w:hAnsi="Arial"/>
                <w:sz w:val="20"/>
                <w:szCs w:val="20"/>
                <w:color w:val="auto"/>
              </w:rPr>
              <w:t>Audit, Risk and Compliance (Chair)</w:t>
            </w:r>
          </w:p>
        </w:tc>
      </w:tr>
      <w:tr>
        <w:trPr>
          <w:trHeight w:val="277"/>
        </w:trPr>
        <w:tc>
          <w:tcPr>
            <w:tcW w:w="1760" w:type="dxa"/>
            <w:vAlign w:val="bottom"/>
            <w:tcBorders>
              <w:bottom w:val="single" w:sz="8" w:color="DBDBDB"/>
            </w:tcBorders>
            <w:shd w:val="clear" w:color="auto" w:fill="E7ECF0"/>
          </w:tcPr>
          <w:p>
            <w:pPr>
              <w:ind w:left="20"/>
              <w:spacing w:after="0"/>
              <w:rPr>
                <w:sz w:val="20"/>
                <w:szCs w:val="20"/>
                <w:color w:val="auto"/>
              </w:rPr>
            </w:pPr>
            <w:r>
              <w:rPr>
                <w:rFonts w:ascii="Arial" w:cs="Arial" w:eastAsia="Arial" w:hAnsi="Arial"/>
                <w:sz w:val="20"/>
                <w:szCs w:val="20"/>
                <w:b w:val="1"/>
                <w:bCs w:val="1"/>
                <w:color w:val="auto"/>
              </w:rPr>
              <w:t>Wimsett</w:t>
            </w:r>
          </w:p>
        </w:tc>
        <w:tc>
          <w:tcPr>
            <w:tcW w:w="2500" w:type="dxa"/>
            <w:vAlign w:val="bottom"/>
            <w:tcBorders>
              <w:bottom w:val="single" w:sz="8" w:color="DBDBDB"/>
            </w:tcBorders>
            <w:shd w:val="clear" w:color="auto" w:fill="E7ECF0"/>
          </w:tcPr>
          <w:p>
            <w:pPr>
              <w:spacing w:after="0"/>
              <w:rPr>
                <w:sz w:val="24"/>
                <w:szCs w:val="24"/>
                <w:color w:val="auto"/>
              </w:rPr>
            </w:pPr>
          </w:p>
        </w:tc>
        <w:tc>
          <w:tcPr>
            <w:tcW w:w="1420" w:type="dxa"/>
            <w:vAlign w:val="bottom"/>
            <w:tcBorders>
              <w:bottom w:val="single" w:sz="8" w:color="DBDBDB"/>
            </w:tcBorders>
            <w:shd w:val="clear" w:color="auto" w:fill="E7ECF0"/>
          </w:tcPr>
          <w:p>
            <w:pPr>
              <w:spacing w:after="0"/>
              <w:rPr>
                <w:sz w:val="24"/>
                <w:szCs w:val="24"/>
                <w:color w:val="auto"/>
              </w:rPr>
            </w:pPr>
          </w:p>
        </w:tc>
        <w:tc>
          <w:tcPr>
            <w:tcW w:w="1660" w:type="dxa"/>
            <w:vAlign w:val="bottom"/>
            <w:tcBorders>
              <w:bottom w:val="single" w:sz="8" w:color="DBDBDB"/>
            </w:tcBorders>
            <w:shd w:val="clear" w:color="auto" w:fill="E7ECF0"/>
          </w:tcPr>
          <w:p>
            <w:pPr>
              <w:spacing w:after="0"/>
              <w:rPr>
                <w:sz w:val="24"/>
                <w:szCs w:val="24"/>
                <w:color w:val="auto"/>
              </w:rPr>
            </w:pPr>
          </w:p>
        </w:tc>
        <w:tc>
          <w:tcPr>
            <w:tcW w:w="3900" w:type="dxa"/>
            <w:vAlign w:val="bottom"/>
            <w:tcBorders>
              <w:bottom w:val="single" w:sz="8" w:color="DBDBDB"/>
            </w:tcBorders>
            <w:shd w:val="clear" w:color="auto" w:fill="E7ECF0"/>
          </w:tcPr>
          <w:p>
            <w:pPr>
              <w:spacing w:after="0"/>
              <w:rPr>
                <w:sz w:val="24"/>
                <w:szCs w:val="24"/>
                <w:color w:val="auto"/>
              </w:rPr>
            </w:pPr>
          </w:p>
        </w:tc>
      </w:tr>
      <w:tr>
        <w:trPr>
          <w:trHeight w:val="218"/>
        </w:trPr>
        <w:tc>
          <w:tcPr>
            <w:tcW w:w="4260" w:type="dxa"/>
            <w:vAlign w:val="bottom"/>
            <w:gridSpan w:val="2"/>
          </w:tcPr>
          <w:p>
            <w:pPr>
              <w:ind w:left="20"/>
              <w:spacing w:after="0" w:line="218" w:lineRule="exact"/>
              <w:rPr>
                <w:sz w:val="20"/>
                <w:szCs w:val="20"/>
                <w:color w:val="auto"/>
              </w:rPr>
            </w:pPr>
            <w:r>
              <w:rPr>
                <w:rFonts w:ascii="Arial" w:cs="Arial" w:eastAsia="Arial" w:hAnsi="Arial"/>
                <w:sz w:val="20"/>
                <w:szCs w:val="20"/>
                <w:b w:val="1"/>
                <w:bCs w:val="1"/>
                <w:color w:val="auto"/>
              </w:rPr>
              <w:t xml:space="preserve">Shruti S. Miyashiro </w:t>
            </w:r>
            <w:r>
              <w:rPr>
                <w:rFonts w:ascii="Arial" w:cs="Arial" w:eastAsia="Arial" w:hAnsi="Arial"/>
                <w:sz w:val="20"/>
                <w:szCs w:val="20"/>
                <w:color w:val="auto"/>
              </w:rPr>
              <w:t>Director</w:t>
            </w:r>
          </w:p>
        </w:tc>
        <w:tc>
          <w:tcPr>
            <w:tcW w:w="1420" w:type="dxa"/>
            <w:vAlign w:val="bottom"/>
          </w:tcPr>
          <w:p>
            <w:pPr>
              <w:jc w:val="center"/>
              <w:ind w:left="1"/>
              <w:spacing w:after="0" w:line="218" w:lineRule="exact"/>
              <w:rPr>
                <w:sz w:val="20"/>
                <w:szCs w:val="20"/>
                <w:color w:val="auto"/>
              </w:rPr>
            </w:pPr>
            <w:r>
              <w:rPr>
                <w:rFonts w:ascii="Arial" w:cs="Arial" w:eastAsia="Arial" w:hAnsi="Arial"/>
                <w:sz w:val="20"/>
                <w:szCs w:val="20"/>
                <w:color w:val="auto"/>
                <w:w w:val="98"/>
              </w:rPr>
              <w:t>2015</w:t>
            </w:r>
          </w:p>
        </w:tc>
        <w:tc>
          <w:tcPr>
            <w:tcW w:w="1660" w:type="dxa"/>
            <w:vAlign w:val="bottom"/>
          </w:tcPr>
          <w:p>
            <w:pPr>
              <w:jc w:val="center"/>
              <w:ind w:left="4"/>
              <w:spacing w:after="0" w:line="219" w:lineRule="exact"/>
              <w:rPr>
                <w:sz w:val="20"/>
                <w:szCs w:val="20"/>
                <w:color w:val="auto"/>
              </w:rPr>
            </w:pPr>
            <w:r>
              <w:rPr>
                <w:rFonts w:ascii="Wingdings" w:cs="Wingdings" w:eastAsia="Wingdings" w:hAnsi="Wingdings"/>
                <w:sz w:val="20"/>
                <w:szCs w:val="20"/>
                <w:b w:val="1"/>
                <w:bCs w:val="1"/>
                <w:color w:val="auto"/>
                <w:highlight w:val="black"/>
              </w:rPr>
              <w:t>ü</w:t>
            </w:r>
          </w:p>
        </w:tc>
        <w:tc>
          <w:tcPr>
            <w:tcW w:w="3900" w:type="dxa"/>
            <w:vAlign w:val="bottom"/>
          </w:tcPr>
          <w:p>
            <w:pPr>
              <w:ind w:left="180"/>
              <w:spacing w:after="0" w:line="218" w:lineRule="exact"/>
              <w:rPr>
                <w:sz w:val="20"/>
                <w:szCs w:val="20"/>
                <w:color w:val="auto"/>
              </w:rPr>
            </w:pPr>
            <w:r>
              <w:rPr>
                <w:rFonts w:ascii="Arial" w:cs="Arial" w:eastAsia="Arial" w:hAnsi="Arial"/>
                <w:sz w:val="20"/>
                <w:szCs w:val="20"/>
                <w:color w:val="auto"/>
              </w:rPr>
              <w:t>Human Capital &amp; Compensation (Chair),</w:t>
            </w:r>
          </w:p>
        </w:tc>
      </w:tr>
      <w:tr>
        <w:trPr>
          <w:trHeight w:val="272"/>
        </w:trPr>
        <w:tc>
          <w:tcPr>
            <w:tcW w:w="1760" w:type="dxa"/>
            <w:vAlign w:val="bottom"/>
            <w:tcBorders>
              <w:bottom w:val="single" w:sz="8" w:color="DBDBDB"/>
            </w:tcBorders>
          </w:tcPr>
          <w:p>
            <w:pPr>
              <w:spacing w:after="0"/>
              <w:rPr>
                <w:sz w:val="23"/>
                <w:szCs w:val="23"/>
                <w:color w:val="auto"/>
              </w:rPr>
            </w:pPr>
          </w:p>
        </w:tc>
        <w:tc>
          <w:tcPr>
            <w:tcW w:w="2500" w:type="dxa"/>
            <w:vAlign w:val="bottom"/>
            <w:tcBorders>
              <w:bottom w:val="single" w:sz="8" w:color="DBDBDB"/>
            </w:tcBorders>
          </w:tcPr>
          <w:p>
            <w:pPr>
              <w:spacing w:after="0"/>
              <w:rPr>
                <w:sz w:val="23"/>
                <w:szCs w:val="23"/>
                <w:color w:val="auto"/>
              </w:rPr>
            </w:pPr>
          </w:p>
        </w:tc>
        <w:tc>
          <w:tcPr>
            <w:tcW w:w="1420" w:type="dxa"/>
            <w:vAlign w:val="bottom"/>
            <w:tcBorders>
              <w:bottom w:val="single" w:sz="8" w:color="DBDBDB"/>
            </w:tcBorders>
          </w:tcPr>
          <w:p>
            <w:pPr>
              <w:spacing w:after="0"/>
              <w:rPr>
                <w:sz w:val="23"/>
                <w:szCs w:val="23"/>
                <w:color w:val="auto"/>
              </w:rPr>
            </w:pPr>
          </w:p>
        </w:tc>
        <w:tc>
          <w:tcPr>
            <w:tcW w:w="1660" w:type="dxa"/>
            <w:vAlign w:val="bottom"/>
            <w:tcBorders>
              <w:bottom w:val="single" w:sz="8" w:color="DBDBDB"/>
            </w:tcBorders>
          </w:tcPr>
          <w:p>
            <w:pPr>
              <w:spacing w:after="0"/>
              <w:rPr>
                <w:sz w:val="23"/>
                <w:szCs w:val="23"/>
                <w:color w:val="auto"/>
              </w:rPr>
            </w:pPr>
          </w:p>
        </w:tc>
        <w:tc>
          <w:tcPr>
            <w:tcW w:w="3900" w:type="dxa"/>
            <w:vAlign w:val="bottom"/>
            <w:tcBorders>
              <w:bottom w:val="single" w:sz="8" w:color="DBDBDB"/>
            </w:tcBorders>
          </w:tcPr>
          <w:p>
            <w:pPr>
              <w:ind w:left="180"/>
              <w:spacing w:after="0"/>
              <w:rPr>
                <w:sz w:val="20"/>
                <w:szCs w:val="20"/>
                <w:color w:val="auto"/>
              </w:rPr>
            </w:pPr>
            <w:r>
              <w:rPr>
                <w:rFonts w:ascii="Arial" w:cs="Arial" w:eastAsia="Arial" w:hAnsi="Arial"/>
                <w:sz w:val="20"/>
                <w:szCs w:val="20"/>
                <w:color w:val="auto"/>
              </w:rPr>
              <w:t>Risk and Compliance</w:t>
            </w:r>
          </w:p>
        </w:tc>
      </w:tr>
      <w:tr>
        <w:trPr>
          <w:trHeight w:val="270"/>
        </w:trPr>
        <w:tc>
          <w:tcPr>
            <w:tcW w:w="1760" w:type="dxa"/>
            <w:vAlign w:val="bottom"/>
            <w:tcBorders>
              <w:bottom w:val="single" w:sz="8" w:color="DBDBDB"/>
            </w:tcBorders>
            <w:shd w:val="clear" w:color="auto" w:fill="E7ECF0"/>
          </w:tcPr>
          <w:p>
            <w:pPr>
              <w:ind w:left="20"/>
              <w:spacing w:after="0"/>
              <w:rPr>
                <w:sz w:val="20"/>
                <w:szCs w:val="20"/>
                <w:color w:val="auto"/>
              </w:rPr>
            </w:pPr>
            <w:r>
              <w:rPr>
                <w:rFonts w:ascii="Arial" w:cs="Arial" w:eastAsia="Arial" w:hAnsi="Arial"/>
                <w:sz w:val="20"/>
                <w:szCs w:val="20"/>
                <w:b w:val="1"/>
                <w:bCs w:val="1"/>
                <w:color w:val="auto"/>
              </w:rPr>
              <w:t>Wesley A. Brown</w:t>
            </w:r>
          </w:p>
        </w:tc>
        <w:tc>
          <w:tcPr>
            <w:tcW w:w="2500" w:type="dxa"/>
            <w:vAlign w:val="bottom"/>
            <w:tcBorders>
              <w:bottom w:val="single" w:sz="8" w:color="DBDBDB"/>
            </w:tcBorders>
            <w:shd w:val="clear" w:color="auto" w:fill="E7ECF0"/>
          </w:tcPr>
          <w:p>
            <w:pPr>
              <w:ind w:left="120"/>
              <w:spacing w:after="0"/>
              <w:rPr>
                <w:sz w:val="20"/>
                <w:szCs w:val="20"/>
                <w:color w:val="auto"/>
              </w:rPr>
            </w:pPr>
            <w:r>
              <w:rPr>
                <w:rFonts w:ascii="Arial" w:cs="Arial" w:eastAsia="Arial" w:hAnsi="Arial"/>
                <w:sz w:val="20"/>
                <w:szCs w:val="20"/>
                <w:color w:val="auto"/>
              </w:rPr>
              <w:t>Director</w:t>
            </w:r>
          </w:p>
        </w:tc>
        <w:tc>
          <w:tcPr>
            <w:tcW w:w="1420" w:type="dxa"/>
            <w:vAlign w:val="bottom"/>
            <w:tcBorders>
              <w:bottom w:val="single" w:sz="8" w:color="DBDBDB"/>
            </w:tcBorders>
            <w:shd w:val="clear" w:color="auto" w:fill="E7ECF0"/>
          </w:tcPr>
          <w:p>
            <w:pPr>
              <w:jc w:val="center"/>
              <w:ind w:left="1"/>
              <w:spacing w:after="0"/>
              <w:rPr>
                <w:sz w:val="20"/>
                <w:szCs w:val="20"/>
                <w:color w:val="auto"/>
              </w:rPr>
            </w:pPr>
            <w:r>
              <w:rPr>
                <w:rFonts w:ascii="Arial" w:cs="Arial" w:eastAsia="Arial" w:hAnsi="Arial"/>
                <w:sz w:val="20"/>
                <w:szCs w:val="20"/>
                <w:color w:val="auto"/>
                <w:w w:val="98"/>
              </w:rPr>
              <w:t>2015</w:t>
            </w:r>
          </w:p>
        </w:tc>
        <w:tc>
          <w:tcPr>
            <w:tcW w:w="1660" w:type="dxa"/>
            <w:vAlign w:val="bottom"/>
            <w:tcBorders>
              <w:bottom w:val="single" w:sz="8" w:color="DBDBDB"/>
            </w:tcBorders>
            <w:shd w:val="clear" w:color="auto" w:fill="E7ECF0"/>
          </w:tcPr>
          <w:p>
            <w:pPr>
              <w:jc w:val="center"/>
              <w:ind w:left="4"/>
              <w:spacing w:after="0"/>
              <w:rPr>
                <w:sz w:val="20"/>
                <w:szCs w:val="20"/>
                <w:color w:val="auto"/>
              </w:rPr>
            </w:pPr>
            <w:r>
              <w:rPr>
                <w:rFonts w:ascii="Wingdings" w:cs="Wingdings" w:eastAsia="Wingdings" w:hAnsi="Wingdings"/>
                <w:sz w:val="20"/>
                <w:szCs w:val="20"/>
                <w:b w:val="1"/>
                <w:bCs w:val="1"/>
                <w:color w:val="auto"/>
                <w:highlight w:val="black"/>
              </w:rPr>
              <w:t>ü</w:t>
            </w:r>
          </w:p>
        </w:tc>
        <w:tc>
          <w:tcPr>
            <w:tcW w:w="3900" w:type="dxa"/>
            <w:vAlign w:val="bottom"/>
            <w:tcBorders>
              <w:bottom w:val="single" w:sz="8" w:color="DBDBDB"/>
            </w:tcBorders>
            <w:shd w:val="clear" w:color="auto" w:fill="E7ECF0"/>
          </w:tcPr>
          <w:p>
            <w:pPr>
              <w:ind w:left="180"/>
              <w:spacing w:after="0"/>
              <w:rPr>
                <w:sz w:val="20"/>
                <w:szCs w:val="20"/>
                <w:color w:val="auto"/>
              </w:rPr>
            </w:pPr>
            <w:r>
              <w:rPr>
                <w:rFonts w:ascii="Arial" w:cs="Arial" w:eastAsia="Arial" w:hAnsi="Arial"/>
                <w:sz w:val="20"/>
                <w:szCs w:val="20"/>
                <w:color w:val="auto"/>
              </w:rPr>
              <w:t>Audit</w:t>
            </w:r>
          </w:p>
        </w:tc>
      </w:tr>
      <w:tr>
        <w:trPr>
          <w:trHeight w:val="215"/>
        </w:trPr>
        <w:tc>
          <w:tcPr>
            <w:tcW w:w="4260" w:type="dxa"/>
            <w:vAlign w:val="bottom"/>
            <w:gridSpan w:val="2"/>
          </w:tcPr>
          <w:p>
            <w:pPr>
              <w:ind w:left="20"/>
              <w:spacing w:after="0" w:line="215" w:lineRule="exact"/>
              <w:rPr>
                <w:sz w:val="20"/>
                <w:szCs w:val="20"/>
                <w:color w:val="auto"/>
              </w:rPr>
            </w:pPr>
            <w:r>
              <w:rPr>
                <w:rFonts w:ascii="Arial" w:cs="Arial" w:eastAsia="Arial" w:hAnsi="Arial"/>
                <w:sz w:val="20"/>
                <w:szCs w:val="20"/>
                <w:b w:val="1"/>
                <w:bCs w:val="1"/>
                <w:color w:val="auto"/>
              </w:rPr>
              <w:t xml:space="preserve">Curtis A. Campbell </w:t>
            </w:r>
            <w:r>
              <w:rPr>
                <w:rFonts w:ascii="Arial" w:cs="Arial" w:eastAsia="Arial" w:hAnsi="Arial"/>
                <w:sz w:val="20"/>
                <w:szCs w:val="20"/>
                <w:color w:val="auto"/>
              </w:rPr>
              <w:t>Director</w:t>
            </w:r>
          </w:p>
        </w:tc>
        <w:tc>
          <w:tcPr>
            <w:tcW w:w="1420" w:type="dxa"/>
            <w:vAlign w:val="bottom"/>
          </w:tcPr>
          <w:p>
            <w:pPr>
              <w:jc w:val="center"/>
              <w:ind w:left="1"/>
              <w:spacing w:after="0" w:line="215" w:lineRule="exact"/>
              <w:rPr>
                <w:sz w:val="20"/>
                <w:szCs w:val="20"/>
                <w:color w:val="auto"/>
              </w:rPr>
            </w:pPr>
            <w:r>
              <w:rPr>
                <w:rFonts w:ascii="Arial" w:cs="Arial" w:eastAsia="Arial" w:hAnsi="Arial"/>
                <w:sz w:val="20"/>
                <w:szCs w:val="20"/>
                <w:color w:val="auto"/>
                <w:w w:val="98"/>
              </w:rPr>
              <w:t>2021</w:t>
            </w:r>
          </w:p>
        </w:tc>
        <w:tc>
          <w:tcPr>
            <w:tcW w:w="1660" w:type="dxa"/>
            <w:vAlign w:val="bottom"/>
          </w:tcPr>
          <w:p>
            <w:pPr>
              <w:jc w:val="center"/>
              <w:ind w:left="4"/>
              <w:spacing w:after="0" w:line="215" w:lineRule="exact"/>
              <w:rPr>
                <w:sz w:val="20"/>
                <w:szCs w:val="20"/>
                <w:color w:val="auto"/>
              </w:rPr>
            </w:pPr>
            <w:r>
              <w:rPr>
                <w:rFonts w:ascii="Wingdings" w:cs="Wingdings" w:eastAsia="Wingdings" w:hAnsi="Wingdings"/>
                <w:sz w:val="20"/>
                <w:szCs w:val="20"/>
                <w:b w:val="1"/>
                <w:bCs w:val="1"/>
                <w:color w:val="auto"/>
                <w:highlight w:val="black"/>
              </w:rPr>
              <w:t>ü</w:t>
            </w:r>
          </w:p>
        </w:tc>
        <w:tc>
          <w:tcPr>
            <w:tcW w:w="3900" w:type="dxa"/>
            <w:vAlign w:val="bottom"/>
          </w:tcPr>
          <w:p>
            <w:pPr>
              <w:ind w:left="180"/>
              <w:spacing w:after="0" w:line="215" w:lineRule="exact"/>
              <w:rPr>
                <w:sz w:val="20"/>
                <w:szCs w:val="20"/>
                <w:color w:val="auto"/>
              </w:rPr>
            </w:pPr>
            <w:r>
              <w:rPr>
                <w:rFonts w:ascii="Arial" w:cs="Arial" w:eastAsia="Arial" w:hAnsi="Arial"/>
                <w:sz w:val="20"/>
                <w:szCs w:val="20"/>
                <w:color w:val="auto"/>
              </w:rPr>
              <w:t>Governance (Chair), Human Capital &amp;</w:t>
            </w:r>
          </w:p>
        </w:tc>
      </w:tr>
      <w:tr>
        <w:trPr>
          <w:trHeight w:val="272"/>
        </w:trPr>
        <w:tc>
          <w:tcPr>
            <w:tcW w:w="1760" w:type="dxa"/>
            <w:vAlign w:val="bottom"/>
            <w:tcBorders>
              <w:bottom w:val="single" w:sz="8" w:color="DBDBDB"/>
            </w:tcBorders>
          </w:tcPr>
          <w:p>
            <w:pPr>
              <w:spacing w:after="0"/>
              <w:rPr>
                <w:sz w:val="23"/>
                <w:szCs w:val="23"/>
                <w:color w:val="auto"/>
              </w:rPr>
            </w:pPr>
          </w:p>
        </w:tc>
        <w:tc>
          <w:tcPr>
            <w:tcW w:w="2500" w:type="dxa"/>
            <w:vAlign w:val="bottom"/>
            <w:tcBorders>
              <w:bottom w:val="single" w:sz="8" w:color="DBDBDB"/>
            </w:tcBorders>
          </w:tcPr>
          <w:p>
            <w:pPr>
              <w:spacing w:after="0"/>
              <w:rPr>
                <w:sz w:val="23"/>
                <w:szCs w:val="23"/>
                <w:color w:val="auto"/>
              </w:rPr>
            </w:pPr>
          </w:p>
        </w:tc>
        <w:tc>
          <w:tcPr>
            <w:tcW w:w="1420" w:type="dxa"/>
            <w:vAlign w:val="bottom"/>
            <w:tcBorders>
              <w:bottom w:val="single" w:sz="8" w:color="DBDBDB"/>
            </w:tcBorders>
          </w:tcPr>
          <w:p>
            <w:pPr>
              <w:spacing w:after="0"/>
              <w:rPr>
                <w:sz w:val="23"/>
                <w:szCs w:val="23"/>
                <w:color w:val="auto"/>
              </w:rPr>
            </w:pPr>
          </w:p>
        </w:tc>
        <w:tc>
          <w:tcPr>
            <w:tcW w:w="1660" w:type="dxa"/>
            <w:vAlign w:val="bottom"/>
            <w:tcBorders>
              <w:bottom w:val="single" w:sz="8" w:color="DBDBDB"/>
            </w:tcBorders>
          </w:tcPr>
          <w:p>
            <w:pPr>
              <w:spacing w:after="0"/>
              <w:rPr>
                <w:sz w:val="23"/>
                <w:szCs w:val="23"/>
                <w:color w:val="auto"/>
              </w:rPr>
            </w:pPr>
          </w:p>
        </w:tc>
        <w:tc>
          <w:tcPr>
            <w:tcW w:w="3900" w:type="dxa"/>
            <w:vAlign w:val="bottom"/>
            <w:tcBorders>
              <w:bottom w:val="single" w:sz="8" w:color="DBDBDB"/>
            </w:tcBorders>
          </w:tcPr>
          <w:p>
            <w:pPr>
              <w:ind w:left="180"/>
              <w:spacing w:after="0"/>
              <w:rPr>
                <w:sz w:val="20"/>
                <w:szCs w:val="20"/>
                <w:color w:val="auto"/>
              </w:rPr>
            </w:pPr>
            <w:r>
              <w:rPr>
                <w:rFonts w:ascii="Arial" w:cs="Arial" w:eastAsia="Arial" w:hAnsi="Arial"/>
                <w:sz w:val="20"/>
                <w:szCs w:val="20"/>
                <w:color w:val="auto"/>
              </w:rPr>
              <w:t>Compensation</w:t>
            </w:r>
          </w:p>
        </w:tc>
      </w:tr>
      <w:tr>
        <w:trPr>
          <w:trHeight w:val="219"/>
        </w:trPr>
        <w:tc>
          <w:tcPr>
            <w:tcW w:w="1760" w:type="dxa"/>
            <w:vAlign w:val="bottom"/>
            <w:shd w:val="clear" w:color="auto" w:fill="E7ECF0"/>
          </w:tcPr>
          <w:p>
            <w:pPr>
              <w:ind w:left="20"/>
              <w:spacing w:after="0" w:line="219" w:lineRule="exact"/>
              <w:rPr>
                <w:sz w:val="20"/>
                <w:szCs w:val="20"/>
                <w:color w:val="auto"/>
              </w:rPr>
            </w:pPr>
            <w:r>
              <w:rPr>
                <w:rFonts w:ascii="Arial" w:cs="Arial" w:eastAsia="Arial" w:hAnsi="Arial"/>
                <w:sz w:val="20"/>
                <w:szCs w:val="20"/>
                <w:b w:val="1"/>
                <w:bCs w:val="1"/>
                <w:color w:val="auto"/>
              </w:rPr>
              <w:t>Tammy S.</w:t>
            </w:r>
          </w:p>
        </w:tc>
        <w:tc>
          <w:tcPr>
            <w:tcW w:w="2500" w:type="dxa"/>
            <w:vAlign w:val="bottom"/>
            <w:shd w:val="clear" w:color="auto" w:fill="E7ECF0"/>
          </w:tcPr>
          <w:p>
            <w:pPr>
              <w:ind w:left="120"/>
              <w:spacing w:after="0" w:line="219" w:lineRule="exact"/>
              <w:rPr>
                <w:sz w:val="20"/>
                <w:szCs w:val="20"/>
                <w:color w:val="auto"/>
              </w:rPr>
            </w:pPr>
            <w:r>
              <w:rPr>
                <w:rFonts w:ascii="Arial" w:cs="Arial" w:eastAsia="Arial" w:hAnsi="Arial"/>
                <w:sz w:val="20"/>
                <w:szCs w:val="20"/>
                <w:color w:val="auto"/>
              </w:rPr>
              <w:t>Director</w:t>
            </w:r>
          </w:p>
        </w:tc>
        <w:tc>
          <w:tcPr>
            <w:tcW w:w="1420" w:type="dxa"/>
            <w:vAlign w:val="bottom"/>
            <w:shd w:val="clear" w:color="auto" w:fill="E7ECF0"/>
          </w:tcPr>
          <w:p>
            <w:pPr>
              <w:jc w:val="center"/>
              <w:ind w:left="1"/>
              <w:spacing w:after="0" w:line="219" w:lineRule="exact"/>
              <w:rPr>
                <w:sz w:val="20"/>
                <w:szCs w:val="20"/>
                <w:color w:val="auto"/>
              </w:rPr>
            </w:pPr>
            <w:r>
              <w:rPr>
                <w:rFonts w:ascii="Arial" w:cs="Arial" w:eastAsia="Arial" w:hAnsi="Arial"/>
                <w:sz w:val="20"/>
                <w:szCs w:val="20"/>
                <w:color w:val="auto"/>
                <w:w w:val="98"/>
              </w:rPr>
              <w:t>2024</w:t>
            </w:r>
          </w:p>
        </w:tc>
        <w:tc>
          <w:tcPr>
            <w:tcW w:w="1660" w:type="dxa"/>
            <w:vAlign w:val="bottom"/>
            <w:shd w:val="clear" w:color="auto" w:fill="E7ECF0"/>
          </w:tcPr>
          <w:p>
            <w:pPr>
              <w:jc w:val="center"/>
              <w:ind w:left="4"/>
              <w:spacing w:after="0" w:line="220" w:lineRule="exact"/>
              <w:rPr>
                <w:sz w:val="20"/>
                <w:szCs w:val="20"/>
                <w:color w:val="auto"/>
              </w:rPr>
            </w:pPr>
            <w:r>
              <w:rPr>
                <w:rFonts w:ascii="Wingdings" w:cs="Wingdings" w:eastAsia="Wingdings" w:hAnsi="Wingdings"/>
                <w:sz w:val="20"/>
                <w:szCs w:val="20"/>
                <w:b w:val="1"/>
                <w:bCs w:val="1"/>
                <w:color w:val="auto"/>
                <w:highlight w:val="black"/>
              </w:rPr>
              <w:t>ü</w:t>
            </w:r>
          </w:p>
        </w:tc>
        <w:tc>
          <w:tcPr>
            <w:tcW w:w="3900" w:type="dxa"/>
            <w:vAlign w:val="bottom"/>
            <w:shd w:val="clear" w:color="auto" w:fill="E7ECF0"/>
          </w:tcPr>
          <w:p>
            <w:pPr>
              <w:ind w:left="180"/>
              <w:spacing w:after="0" w:line="219" w:lineRule="exact"/>
              <w:rPr>
                <w:sz w:val="20"/>
                <w:szCs w:val="20"/>
                <w:color w:val="auto"/>
              </w:rPr>
            </w:pPr>
            <w:r>
              <w:rPr>
                <w:rFonts w:ascii="Arial" w:cs="Arial" w:eastAsia="Arial" w:hAnsi="Arial"/>
                <w:sz w:val="20"/>
                <w:szCs w:val="20"/>
                <w:color w:val="auto"/>
              </w:rPr>
              <w:t>Human Capital &amp; Compensation, Risk</w:t>
            </w:r>
          </w:p>
        </w:tc>
      </w:tr>
      <w:tr>
        <w:trPr>
          <w:trHeight w:val="277"/>
        </w:trPr>
        <w:tc>
          <w:tcPr>
            <w:tcW w:w="1760" w:type="dxa"/>
            <w:vAlign w:val="bottom"/>
            <w:tcBorders>
              <w:bottom w:val="single" w:sz="8" w:color="DBDBDB"/>
            </w:tcBorders>
            <w:shd w:val="clear" w:color="auto" w:fill="E7ECF0"/>
          </w:tcPr>
          <w:p>
            <w:pPr>
              <w:ind w:left="20"/>
              <w:spacing w:after="0"/>
              <w:rPr>
                <w:sz w:val="20"/>
                <w:szCs w:val="20"/>
                <w:color w:val="auto"/>
              </w:rPr>
            </w:pPr>
            <w:r>
              <w:rPr>
                <w:rFonts w:ascii="Arial" w:cs="Arial" w:eastAsia="Arial" w:hAnsi="Arial"/>
                <w:sz w:val="20"/>
                <w:szCs w:val="20"/>
                <w:b w:val="1"/>
                <w:bCs w:val="1"/>
                <w:color w:val="auto"/>
              </w:rPr>
              <w:t>LoCascio</w:t>
            </w:r>
          </w:p>
        </w:tc>
        <w:tc>
          <w:tcPr>
            <w:tcW w:w="2500" w:type="dxa"/>
            <w:vAlign w:val="bottom"/>
            <w:tcBorders>
              <w:bottom w:val="single" w:sz="8" w:color="DBDBDB"/>
            </w:tcBorders>
            <w:shd w:val="clear" w:color="auto" w:fill="E7ECF0"/>
          </w:tcPr>
          <w:p>
            <w:pPr>
              <w:spacing w:after="0"/>
              <w:rPr>
                <w:sz w:val="24"/>
                <w:szCs w:val="24"/>
                <w:color w:val="auto"/>
              </w:rPr>
            </w:pPr>
          </w:p>
        </w:tc>
        <w:tc>
          <w:tcPr>
            <w:tcW w:w="1420" w:type="dxa"/>
            <w:vAlign w:val="bottom"/>
            <w:tcBorders>
              <w:bottom w:val="single" w:sz="8" w:color="DBDBDB"/>
            </w:tcBorders>
            <w:shd w:val="clear" w:color="auto" w:fill="E7ECF0"/>
          </w:tcPr>
          <w:p>
            <w:pPr>
              <w:spacing w:after="0"/>
              <w:rPr>
                <w:sz w:val="24"/>
                <w:szCs w:val="24"/>
                <w:color w:val="auto"/>
              </w:rPr>
            </w:pPr>
          </w:p>
        </w:tc>
        <w:tc>
          <w:tcPr>
            <w:tcW w:w="1660" w:type="dxa"/>
            <w:vAlign w:val="bottom"/>
            <w:tcBorders>
              <w:bottom w:val="single" w:sz="8" w:color="DBDBDB"/>
            </w:tcBorders>
            <w:shd w:val="clear" w:color="auto" w:fill="E7ECF0"/>
          </w:tcPr>
          <w:p>
            <w:pPr>
              <w:spacing w:after="0"/>
              <w:rPr>
                <w:sz w:val="24"/>
                <w:szCs w:val="24"/>
                <w:color w:val="auto"/>
              </w:rPr>
            </w:pPr>
          </w:p>
        </w:tc>
        <w:tc>
          <w:tcPr>
            <w:tcW w:w="3900" w:type="dxa"/>
            <w:vAlign w:val="bottom"/>
            <w:tcBorders>
              <w:bottom w:val="single" w:sz="8" w:color="DBDBDB"/>
            </w:tcBorders>
            <w:shd w:val="clear" w:color="auto" w:fill="E7ECF0"/>
          </w:tcPr>
          <w:p>
            <w:pPr>
              <w:ind w:left="180"/>
              <w:spacing w:after="0"/>
              <w:rPr>
                <w:sz w:val="20"/>
                <w:szCs w:val="20"/>
                <w:color w:val="auto"/>
              </w:rPr>
            </w:pPr>
            <w:r>
              <w:rPr>
                <w:rFonts w:ascii="Arial" w:cs="Arial" w:eastAsia="Arial" w:hAnsi="Arial"/>
                <w:sz w:val="20"/>
                <w:szCs w:val="20"/>
                <w:color w:val="auto"/>
              </w:rPr>
              <w:t>and Compliance</w:t>
            </w:r>
          </w:p>
        </w:tc>
      </w:tr>
      <w:tr>
        <w:trPr>
          <w:trHeight w:val="267"/>
        </w:trPr>
        <w:tc>
          <w:tcPr>
            <w:tcW w:w="1760" w:type="dxa"/>
            <w:vAlign w:val="bottom"/>
            <w:tcBorders>
              <w:bottom w:val="single" w:sz="8" w:color="DBDBDB"/>
            </w:tcBorders>
          </w:tcPr>
          <w:p>
            <w:pPr>
              <w:ind w:left="20"/>
              <w:spacing w:after="0"/>
              <w:rPr>
                <w:sz w:val="20"/>
                <w:szCs w:val="20"/>
                <w:color w:val="auto"/>
              </w:rPr>
            </w:pPr>
            <w:r>
              <w:rPr>
                <w:rFonts w:ascii="Arial" w:cs="Arial" w:eastAsia="Arial" w:hAnsi="Arial"/>
                <w:sz w:val="20"/>
                <w:szCs w:val="20"/>
                <w:b w:val="1"/>
                <w:bCs w:val="1"/>
                <w:color w:val="auto"/>
              </w:rPr>
              <w:t>Lisa M. Nelson</w:t>
            </w:r>
          </w:p>
        </w:tc>
        <w:tc>
          <w:tcPr>
            <w:tcW w:w="2500" w:type="dxa"/>
            <w:vAlign w:val="bottom"/>
            <w:tcBorders>
              <w:bottom w:val="single" w:sz="8" w:color="DBDBDB"/>
            </w:tcBorders>
          </w:tcPr>
          <w:p>
            <w:pPr>
              <w:ind w:left="120"/>
              <w:spacing w:after="0"/>
              <w:rPr>
                <w:sz w:val="20"/>
                <w:szCs w:val="20"/>
                <w:color w:val="auto"/>
              </w:rPr>
            </w:pPr>
            <w:r>
              <w:rPr>
                <w:rFonts w:ascii="Arial" w:cs="Arial" w:eastAsia="Arial" w:hAnsi="Arial"/>
                <w:sz w:val="20"/>
                <w:szCs w:val="20"/>
                <w:color w:val="auto"/>
              </w:rPr>
              <w:t>Director</w:t>
            </w:r>
          </w:p>
        </w:tc>
        <w:tc>
          <w:tcPr>
            <w:tcW w:w="1420" w:type="dxa"/>
            <w:vAlign w:val="bottom"/>
            <w:tcBorders>
              <w:bottom w:val="single" w:sz="8" w:color="DBDBDB"/>
            </w:tcBorders>
          </w:tcPr>
          <w:p>
            <w:pPr>
              <w:jc w:val="center"/>
              <w:ind w:left="1"/>
              <w:spacing w:after="0"/>
              <w:rPr>
                <w:sz w:val="20"/>
                <w:szCs w:val="20"/>
                <w:color w:val="auto"/>
              </w:rPr>
            </w:pPr>
            <w:r>
              <w:rPr>
                <w:rFonts w:ascii="Arial" w:cs="Arial" w:eastAsia="Arial" w:hAnsi="Arial"/>
                <w:sz w:val="20"/>
                <w:szCs w:val="20"/>
                <w:color w:val="auto"/>
                <w:w w:val="98"/>
              </w:rPr>
              <w:t>2024</w:t>
            </w:r>
          </w:p>
        </w:tc>
        <w:tc>
          <w:tcPr>
            <w:tcW w:w="1660" w:type="dxa"/>
            <w:vAlign w:val="bottom"/>
            <w:tcBorders>
              <w:bottom w:val="single" w:sz="8" w:color="DBDBDB"/>
            </w:tcBorders>
          </w:tcPr>
          <w:p>
            <w:pPr>
              <w:jc w:val="center"/>
              <w:ind w:left="4"/>
              <w:spacing w:after="0"/>
              <w:rPr>
                <w:sz w:val="20"/>
                <w:szCs w:val="20"/>
                <w:color w:val="auto"/>
              </w:rPr>
            </w:pPr>
            <w:r>
              <w:rPr>
                <w:rFonts w:ascii="Wingdings" w:cs="Wingdings" w:eastAsia="Wingdings" w:hAnsi="Wingdings"/>
                <w:sz w:val="20"/>
                <w:szCs w:val="20"/>
                <w:b w:val="1"/>
                <w:bCs w:val="1"/>
                <w:color w:val="auto"/>
                <w:highlight w:val="black"/>
              </w:rPr>
              <w:t>ü</w:t>
            </w:r>
          </w:p>
        </w:tc>
        <w:tc>
          <w:tcPr>
            <w:tcW w:w="3900" w:type="dxa"/>
            <w:vAlign w:val="bottom"/>
            <w:tcBorders>
              <w:bottom w:val="single" w:sz="8" w:color="DBDBDB"/>
            </w:tcBorders>
          </w:tcPr>
          <w:p>
            <w:pPr>
              <w:ind w:left="180"/>
              <w:spacing w:after="0"/>
              <w:rPr>
                <w:sz w:val="20"/>
                <w:szCs w:val="20"/>
                <w:color w:val="auto"/>
              </w:rPr>
            </w:pPr>
            <w:r>
              <w:rPr>
                <w:rFonts w:ascii="Arial" w:cs="Arial" w:eastAsia="Arial" w:hAnsi="Arial"/>
                <w:sz w:val="20"/>
                <w:szCs w:val="20"/>
                <w:color w:val="auto"/>
              </w:rPr>
              <w:t>Audit, Governance</w:t>
            </w:r>
          </w:p>
        </w:tc>
      </w:tr>
    </w:tbl>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06185F"/>
        </w:rPr>
        <w:t>New Director Nominees</w:t>
      </w:r>
    </w:p>
    <w:p>
      <w:pPr>
        <w:spacing w:after="0" w:line="54" w:lineRule="exact"/>
        <w:rPr>
          <w:sz w:val="20"/>
          <w:szCs w:val="20"/>
          <w:color w:val="auto"/>
        </w:rPr>
      </w:pPr>
    </w:p>
    <w:p>
      <w:pPr>
        <w:spacing w:after="0"/>
        <w:rPr>
          <w:sz w:val="20"/>
          <w:szCs w:val="20"/>
          <w:color w:val="auto"/>
        </w:rPr>
      </w:pPr>
      <w:r>
        <w:rPr>
          <w:rFonts w:ascii="Arial" w:cs="Arial" w:eastAsia="Arial" w:hAnsi="Arial"/>
          <w:sz w:val="20"/>
          <w:szCs w:val="20"/>
          <w:color w:val="auto"/>
        </w:rPr>
        <w:t>The following nominees were appointed by the Board of Directors as of July 22, 2024.</w:t>
      </w:r>
    </w:p>
    <w:p>
      <w:pPr>
        <w:sectPr>
          <w:pgSz w:w="11900" w:h="16838" w:orient="portrait"/>
          <w:cols w:equalWidth="0" w:num="1">
            <w:col w:w="11260"/>
          </w:cols>
          <w:pgMar w:left="320" w:top="1007" w:right="319" w:bottom="1440" w:gutter="0" w:footer="0" w:header="0"/>
        </w:sectPr>
      </w:pPr>
    </w:p>
    <w:p>
      <w:pPr>
        <w:spacing w:after="0" w:line="200" w:lineRule="exact"/>
        <w:rPr>
          <w:sz w:val="20"/>
          <w:szCs w:val="20"/>
          <w:color w:val="auto"/>
        </w:rPr>
      </w:pPr>
    </w:p>
    <w:p>
      <w:pPr>
        <w:spacing w:after="0" w:line="324" w:lineRule="exact"/>
        <w:rPr>
          <w:sz w:val="20"/>
          <w:szCs w:val="20"/>
          <w:color w:val="auto"/>
        </w:rPr>
      </w:pPr>
    </w:p>
    <w:p>
      <w:pPr>
        <w:jc w:val="center"/>
        <w:ind w:left="20"/>
        <w:spacing w:after="0"/>
        <w:rPr>
          <w:sz w:val="20"/>
          <w:szCs w:val="20"/>
          <w:color w:val="auto"/>
        </w:rPr>
      </w:pPr>
      <w:r>
        <w:rPr>
          <w:rFonts w:ascii="Arial" w:cs="Arial" w:eastAsia="Arial" w:hAnsi="Arial"/>
          <w:sz w:val="20"/>
          <w:szCs w:val="20"/>
          <w:b w:val="1"/>
          <w:bCs w:val="1"/>
          <w:color w:val="085CE5"/>
        </w:rPr>
        <w:t>Tammy S. LoCascio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345440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454400" cy="8890"/>
                    </a:xfrm>
                    <a:prstGeom prst="rect">
                      <a:avLst/>
                    </a:prstGeom>
                    <a:noFill/>
                  </pic:spPr>
                </pic:pic>
              </a:graphicData>
            </a:graphic>
          </wp:anchor>
        </w:drawing>
      </w:r>
    </w:p>
    <w:p>
      <w:pPr>
        <w:spacing w:after="0" w:line="36" w:lineRule="exact"/>
        <w:rPr>
          <w:sz w:val="20"/>
          <w:szCs w:val="20"/>
          <w:color w:val="auto"/>
        </w:rPr>
      </w:pPr>
    </w:p>
    <w:p>
      <w:pPr>
        <w:jc w:val="both"/>
        <w:ind w:left="20"/>
        <w:spacing w:after="0"/>
        <w:rPr>
          <w:sz w:val="20"/>
          <w:szCs w:val="20"/>
          <w:color w:val="auto"/>
        </w:rPr>
      </w:pPr>
      <w:r>
        <w:rPr>
          <w:rFonts w:ascii="Arial" w:cs="Arial" w:eastAsia="Arial" w:hAnsi="Arial"/>
          <w:sz w:val="20"/>
          <w:szCs w:val="20"/>
          <w:color w:val="auto"/>
        </w:rPr>
        <w:t>Ms. LoCascio, age 55, is Senior Executive Vice President and Chief Operating Officer of First Horizon Corporation, the holding company for First Horizon Bank. She brings extensive experience to the Board with banking strategy, technology, and operations as well as human capital management.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4" w:lineRule="exact"/>
        <w:rPr>
          <w:sz w:val="20"/>
          <w:szCs w:val="20"/>
          <w:color w:val="auto"/>
        </w:rPr>
      </w:pPr>
    </w:p>
    <w:p>
      <w:pPr>
        <w:jc w:val="center"/>
        <w:ind w:right="40"/>
        <w:spacing w:after="0"/>
        <w:rPr>
          <w:sz w:val="20"/>
          <w:szCs w:val="20"/>
          <w:color w:val="auto"/>
        </w:rPr>
      </w:pPr>
      <w:r>
        <w:rPr>
          <w:rFonts w:ascii="Arial" w:cs="Arial" w:eastAsia="Arial" w:hAnsi="Arial"/>
          <w:sz w:val="20"/>
          <w:szCs w:val="20"/>
          <w:b w:val="1"/>
          <w:bCs w:val="1"/>
          <w:color w:val="085CE5"/>
        </w:rPr>
        <w:t>Lisa M. Nelson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23495</wp:posOffset>
            </wp:positionV>
            <wp:extent cx="346329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463290" cy="8890"/>
                    </a:xfrm>
                    <a:prstGeom prst="rect">
                      <a:avLst/>
                    </a:prstGeom>
                    <a:noFill/>
                  </pic:spPr>
                </pic:pic>
              </a:graphicData>
            </a:graphic>
          </wp:anchor>
        </w:drawing>
      </w:r>
    </w:p>
    <w:p>
      <w:pPr>
        <w:spacing w:after="0" w:line="36" w:lineRule="exact"/>
        <w:rPr>
          <w:sz w:val="20"/>
          <w:szCs w:val="20"/>
          <w:color w:val="auto"/>
        </w:rPr>
      </w:pPr>
    </w:p>
    <w:p>
      <w:pPr>
        <w:jc w:val="both"/>
        <w:ind w:right="40"/>
        <w:spacing w:after="0" w:line="262" w:lineRule="auto"/>
        <w:rPr>
          <w:sz w:val="20"/>
          <w:szCs w:val="20"/>
          <w:color w:val="auto"/>
        </w:rPr>
      </w:pPr>
      <w:r>
        <w:rPr>
          <w:rFonts w:ascii="Arial" w:cs="Arial" w:eastAsia="Arial" w:hAnsi="Arial"/>
          <w:sz w:val="19"/>
          <w:szCs w:val="19"/>
          <w:color w:val="auto"/>
        </w:rPr>
        <w:t>Ms. Nelson, age 61, is President, International at Equifax, Inc. She brings to the Board deep knowledge and experience of management of technology companies, in addition to strategic acquisitions and implementation of growth initiatives.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-3677285</wp:posOffset>
            </wp:positionH>
            <wp:positionV relativeFrom="paragraph">
              <wp:posOffset>427990</wp:posOffset>
            </wp:positionV>
            <wp:extent cx="7132320" cy="3517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351790"/>
                    </a:xfrm>
                    <a:prstGeom prst="rect">
                      <a:avLst/>
                    </a:prstGeom>
                    <a:noFill/>
                  </pic:spPr>
                </pic:pic>
              </a:graphicData>
            </a:graphic>
          </wp:anchor>
        </w:drawing>
      </w:r>
    </w:p>
    <w:p>
      <w:pPr>
        <w:spacing w:after="0" w:line="625" w:lineRule="exact"/>
        <w:rPr>
          <w:sz w:val="20"/>
          <w:szCs w:val="20"/>
          <w:color w:val="auto"/>
        </w:rPr>
      </w:pPr>
    </w:p>
    <w:p>
      <w:pPr>
        <w:sectPr>
          <w:pgSz w:w="11900" w:h="16838" w:orient="portrait"/>
          <w:cols w:equalWidth="0" w:num="2">
            <w:col w:w="5440" w:space="360"/>
            <w:col w:w="5460"/>
          </w:cols>
          <w:pgMar w:left="320" w:top="1007" w:right="319" w:bottom="1440" w:gutter="0" w:footer="0" w:header="0"/>
          <w:type w:val="continuous"/>
        </w:sectPr>
      </w:pPr>
    </w:p>
    <w:p>
      <w:pPr>
        <w:spacing w:after="0" w:line="259" w:lineRule="exact"/>
        <w:rPr>
          <w:sz w:val="20"/>
          <w:szCs w:val="20"/>
          <w:color w:val="auto"/>
        </w:rPr>
      </w:pPr>
    </w:p>
    <w:p>
      <w:pPr>
        <w:ind w:left="460" w:hanging="434"/>
        <w:spacing w:after="0"/>
        <w:tabs>
          <w:tab w:leader="none" w:pos="460" w:val="left"/>
        </w:tabs>
        <w:numPr>
          <w:ilvl w:val="0"/>
          <w:numId w:val="3"/>
        </w:numPr>
        <w:rPr>
          <w:rFonts w:ascii="Arial" w:cs="Arial" w:eastAsia="Arial" w:hAnsi="Arial"/>
          <w:sz w:val="17"/>
          <w:szCs w:val="17"/>
          <w:color w:val="auto"/>
        </w:rPr>
      </w:pPr>
      <w:r>
        <w:rPr>
          <w:rFonts w:ascii="Arial" w:cs="Arial" w:eastAsia="Arial" w:hAnsi="Arial"/>
          <w:sz w:val="17"/>
          <w:szCs w:val="17"/>
          <w:color w:val="auto"/>
        </w:rPr>
        <w:t>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269240</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1007" w:right="319" w:bottom="1440" w:gutter="0" w:footer="0" w:header="0"/>
          <w:type w:val="continuous"/>
        </w:sectPr>
      </w:pPr>
    </w:p>
    <w:bookmarkStart w:id="5" w:name="page6"/>
    <w:bookmarkEnd w:id="5"/>
    <w:p>
      <w:pPr>
        <w:spacing w:after="0"/>
        <w:rPr>
          <w:sz w:val="20"/>
          <w:szCs w:val="20"/>
          <w:color w:val="auto"/>
        </w:rPr>
      </w:pPr>
      <w:r>
        <w:rPr>
          <w:rFonts w:ascii="Arial" w:cs="Arial" w:eastAsia="Arial" w:hAnsi="Arial"/>
          <w:sz w:val="20"/>
          <w:szCs w:val="20"/>
          <w:b w:val="1"/>
          <w:bCs w:val="1"/>
          <w:color w:val="221F1F"/>
        </w:rPr>
        <w:t>Executive Compensation Highlights</w:t>
      </w:r>
    </w:p>
    <w:p>
      <w:pPr>
        <w:spacing w:after="0" w:line="258" w:lineRule="exact"/>
        <w:rPr>
          <w:sz w:val="20"/>
          <w:szCs w:val="20"/>
          <w:color w:val="auto"/>
        </w:rPr>
      </w:pPr>
    </w:p>
    <w:p>
      <w:pPr>
        <w:spacing w:after="0"/>
        <w:rPr>
          <w:sz w:val="20"/>
          <w:szCs w:val="20"/>
          <w:color w:val="auto"/>
        </w:rPr>
      </w:pPr>
      <w:r>
        <w:rPr>
          <w:rFonts w:ascii="Arial" w:cs="Arial" w:eastAsia="Arial" w:hAnsi="Arial"/>
          <w:sz w:val="20"/>
          <w:szCs w:val="20"/>
          <w:i w:val="1"/>
          <w:iCs w:val="1"/>
          <w:color w:val="06185F"/>
        </w:rPr>
        <w:t>Say-On-Pay Advisory Vote and Advisory Vote Frequency</w:t>
      </w:r>
    </w:p>
    <w:p>
      <w:pPr>
        <w:spacing w:after="0" w:line="31" w:lineRule="exact"/>
        <w:rPr>
          <w:sz w:val="20"/>
          <w:szCs w:val="20"/>
          <w:color w:val="auto"/>
        </w:rPr>
      </w:pPr>
    </w:p>
    <w:p>
      <w:pPr>
        <w:ind w:right="60"/>
        <w:spacing w:after="0" w:line="267" w:lineRule="auto"/>
        <w:rPr>
          <w:sz w:val="20"/>
          <w:szCs w:val="20"/>
          <w:color w:val="auto"/>
        </w:rPr>
      </w:pPr>
      <w:r>
        <w:rPr>
          <w:rFonts w:ascii="Arial" w:cs="Arial" w:eastAsia="Arial" w:hAnsi="Arial"/>
          <w:sz w:val="20"/>
          <w:szCs w:val="20"/>
          <w:color w:val="auto"/>
        </w:rPr>
        <w:t>Each year the stockholders are given the opportunity to offer a “say-on-pay” advisory vote at the Company’s Annual Meeting of Stockholders. At last year’s Annual Meeting, 94% of the votes cast on say-on-pay were voted in favor of fiscal year 2023 executive compensation, with the stockholders also approving, on an advisory basis, continuing to hold yearly advisory votes on executive compensation.</w:t>
      </w:r>
    </w:p>
    <w:p>
      <w:pPr>
        <w:spacing w:after="0" w:line="200" w:lineRule="exact"/>
        <w:rPr>
          <w:sz w:val="20"/>
          <w:szCs w:val="20"/>
          <w:color w:val="auto"/>
        </w:rPr>
      </w:pPr>
    </w:p>
    <w:p>
      <w:pPr>
        <w:spacing w:after="0"/>
        <w:rPr>
          <w:sz w:val="20"/>
          <w:szCs w:val="20"/>
          <w:color w:val="auto"/>
        </w:rPr>
      </w:pPr>
      <w:r>
        <w:rPr>
          <w:rFonts w:ascii="Arial" w:cs="Arial" w:eastAsia="Arial" w:hAnsi="Arial"/>
          <w:sz w:val="20"/>
          <w:szCs w:val="20"/>
          <w:i w:val="1"/>
          <w:iCs w:val="1"/>
          <w:color w:val="06185F"/>
        </w:rPr>
        <w:t>Compensation Philosophy</w:t>
      </w:r>
    </w:p>
    <w:p>
      <w:pPr>
        <w:spacing w:after="0" w:line="31" w:lineRule="exact"/>
        <w:rPr>
          <w:sz w:val="20"/>
          <w:szCs w:val="20"/>
          <w:color w:val="auto"/>
        </w:rPr>
      </w:pPr>
    </w:p>
    <w:p>
      <w:pPr>
        <w:spacing w:after="0"/>
        <w:rPr>
          <w:sz w:val="20"/>
          <w:szCs w:val="20"/>
          <w:color w:val="auto"/>
        </w:rPr>
      </w:pPr>
      <w:r>
        <w:rPr>
          <w:rFonts w:ascii="Arial" w:cs="Arial" w:eastAsia="Arial" w:hAnsi="Arial"/>
          <w:sz w:val="20"/>
          <w:szCs w:val="20"/>
          <w:color w:val="auto"/>
        </w:rPr>
        <w:t>Our executive compensation programs are designed to achieve the following objectives:</w:t>
      </w:r>
    </w:p>
    <w:p>
      <w:pPr>
        <w:spacing w:after="0" w:line="13" w:lineRule="exact"/>
        <w:rPr>
          <w:sz w:val="20"/>
          <w:szCs w:val="20"/>
          <w:color w:val="auto"/>
        </w:rPr>
      </w:pPr>
    </w:p>
    <w:p>
      <w:pPr>
        <w:ind w:left="720" w:hanging="388"/>
        <w:spacing w:after="0"/>
        <w:tabs>
          <w:tab w:leader="none" w:pos="720" w:val="left"/>
        </w:tabs>
        <w:numPr>
          <w:ilvl w:val="0"/>
          <w:numId w:val="4"/>
        </w:numPr>
        <w:rPr>
          <w:rFonts w:ascii="Arial" w:cs="Arial" w:eastAsia="Arial" w:hAnsi="Arial"/>
          <w:sz w:val="20"/>
          <w:szCs w:val="20"/>
          <w:color w:val="auto"/>
        </w:rPr>
      </w:pPr>
      <w:r>
        <w:rPr>
          <w:rFonts w:ascii="Arial" w:cs="Arial" w:eastAsia="Arial" w:hAnsi="Arial"/>
          <w:sz w:val="20"/>
          <w:szCs w:val="20"/>
          <w:color w:val="auto"/>
        </w:rPr>
        <w:t>Attract, retain, and motivate highly qualified executives by offering competitive compensation.</w:t>
      </w:r>
    </w:p>
    <w:p>
      <w:pPr>
        <w:spacing w:after="0" w:line="26" w:lineRule="exact"/>
        <w:rPr>
          <w:rFonts w:ascii="Arial" w:cs="Arial" w:eastAsia="Arial" w:hAnsi="Arial"/>
          <w:sz w:val="20"/>
          <w:szCs w:val="20"/>
          <w:color w:val="auto"/>
        </w:rPr>
      </w:pPr>
    </w:p>
    <w:p>
      <w:pPr>
        <w:ind w:left="660" w:hanging="328"/>
        <w:spacing w:after="0" w:line="253" w:lineRule="auto"/>
        <w:tabs>
          <w:tab w:leader="none" w:pos="676" w:val="left"/>
        </w:tabs>
        <w:numPr>
          <w:ilvl w:val="0"/>
          <w:numId w:val="4"/>
        </w:numPr>
        <w:rPr>
          <w:rFonts w:ascii="Arial" w:cs="Arial" w:eastAsia="Arial" w:hAnsi="Arial"/>
          <w:sz w:val="20"/>
          <w:szCs w:val="20"/>
          <w:color w:val="auto"/>
        </w:rPr>
      </w:pPr>
      <w:r>
        <w:rPr>
          <w:rFonts w:ascii="Arial" w:cs="Arial" w:eastAsia="Arial" w:hAnsi="Arial"/>
          <w:sz w:val="20"/>
          <w:szCs w:val="20"/>
          <w:color w:val="auto"/>
        </w:rPr>
        <w:t>Link performance and executive pay by tying annual cash bonus amounts to achievement of key objectives under the Company’s annual business plans, as well as specific strategic goals.</w:t>
      </w:r>
    </w:p>
    <w:p>
      <w:pPr>
        <w:spacing w:after="0" w:line="1" w:lineRule="exact"/>
        <w:rPr>
          <w:rFonts w:ascii="Arial" w:cs="Arial" w:eastAsia="Arial" w:hAnsi="Arial"/>
          <w:sz w:val="20"/>
          <w:szCs w:val="20"/>
          <w:color w:val="auto"/>
        </w:rPr>
      </w:pPr>
    </w:p>
    <w:p>
      <w:pPr>
        <w:ind w:left="660" w:hanging="328"/>
        <w:spacing w:after="0"/>
        <w:tabs>
          <w:tab w:leader="none" w:pos="660" w:val="left"/>
        </w:tabs>
        <w:numPr>
          <w:ilvl w:val="0"/>
          <w:numId w:val="4"/>
        </w:numPr>
        <w:rPr>
          <w:rFonts w:ascii="Arial" w:cs="Arial" w:eastAsia="Arial" w:hAnsi="Arial"/>
          <w:sz w:val="20"/>
          <w:szCs w:val="20"/>
          <w:color w:val="auto"/>
        </w:rPr>
      </w:pPr>
      <w:r>
        <w:rPr>
          <w:rFonts w:ascii="Arial" w:cs="Arial" w:eastAsia="Arial" w:hAnsi="Arial"/>
          <w:sz w:val="20"/>
          <w:szCs w:val="20"/>
          <w:color w:val="auto"/>
        </w:rPr>
        <w:t>Reward competitive performance in comparison with peers in our industry.</w:t>
      </w:r>
    </w:p>
    <w:p>
      <w:pPr>
        <w:spacing w:after="0" w:line="26" w:lineRule="exact"/>
        <w:rPr>
          <w:rFonts w:ascii="Arial" w:cs="Arial" w:eastAsia="Arial" w:hAnsi="Arial"/>
          <w:sz w:val="20"/>
          <w:szCs w:val="20"/>
          <w:color w:val="auto"/>
        </w:rPr>
      </w:pPr>
    </w:p>
    <w:p>
      <w:pPr>
        <w:ind w:left="660" w:hanging="328"/>
        <w:spacing w:after="0" w:line="267" w:lineRule="auto"/>
        <w:tabs>
          <w:tab w:leader="none" w:pos="663" w:val="left"/>
        </w:tabs>
        <w:numPr>
          <w:ilvl w:val="0"/>
          <w:numId w:val="4"/>
        </w:numPr>
        <w:rPr>
          <w:rFonts w:ascii="Arial" w:cs="Arial" w:eastAsia="Arial" w:hAnsi="Arial"/>
          <w:sz w:val="20"/>
          <w:szCs w:val="20"/>
          <w:color w:val="auto"/>
        </w:rPr>
      </w:pPr>
      <w:r>
        <w:rPr>
          <w:rFonts w:ascii="Arial" w:cs="Arial" w:eastAsia="Arial" w:hAnsi="Arial"/>
          <w:sz w:val="20"/>
          <w:szCs w:val="20"/>
          <w:color w:val="auto"/>
        </w:rPr>
        <w:t>Reward the creation of long-term stockholder value through long-term incentive compensation awards and encourage significant stock ownership to further align our executives’ interests with those of our stockholders.</w:t>
      </w:r>
    </w:p>
    <w:p>
      <w:pPr>
        <w:spacing w:after="0" w:line="211" w:lineRule="exact"/>
        <w:rPr>
          <w:sz w:val="20"/>
          <w:szCs w:val="20"/>
          <w:color w:val="auto"/>
        </w:rPr>
      </w:pPr>
    </w:p>
    <w:p>
      <w:pPr>
        <w:spacing w:after="0"/>
        <w:rPr>
          <w:sz w:val="20"/>
          <w:szCs w:val="20"/>
          <w:color w:val="auto"/>
        </w:rPr>
      </w:pPr>
      <w:r>
        <w:rPr>
          <w:rFonts w:ascii="Arial" w:cs="Arial" w:eastAsia="Arial" w:hAnsi="Arial"/>
          <w:sz w:val="20"/>
          <w:szCs w:val="20"/>
          <w:b w:val="1"/>
          <w:bCs w:val="1"/>
          <w:color w:val="221F1F"/>
        </w:rPr>
        <w:t>Corporate Governance Highlights</w:t>
      </w:r>
    </w:p>
    <w:p>
      <w:pPr>
        <w:spacing w:after="0" w:line="123" w:lineRule="exact"/>
        <w:rPr>
          <w:sz w:val="20"/>
          <w:szCs w:val="20"/>
          <w:color w:val="auto"/>
        </w:rPr>
      </w:pPr>
    </w:p>
    <w:p>
      <w:pPr>
        <w:ind w:left="660" w:hanging="328"/>
        <w:spacing w:after="0" w:line="263" w:lineRule="auto"/>
        <w:tabs>
          <w:tab w:leader="none" w:pos="648" w:val="left"/>
        </w:tabs>
        <w:numPr>
          <w:ilvl w:val="0"/>
          <w:numId w:val="5"/>
        </w:numPr>
        <w:rPr>
          <w:rFonts w:ascii="Arial" w:cs="Arial" w:eastAsia="Arial" w:hAnsi="Arial"/>
          <w:sz w:val="20"/>
          <w:szCs w:val="20"/>
          <w:color w:val="auto"/>
        </w:rPr>
      </w:pPr>
      <w:r>
        <w:rPr>
          <w:rFonts w:ascii="Arial" w:cs="Arial" w:eastAsia="Arial" w:hAnsi="Arial"/>
          <w:sz w:val="20"/>
          <w:szCs w:val="20"/>
          <w:color w:val="221F1F"/>
        </w:rPr>
        <w:t>A majority of the Company's directors are independent in accordance with Nasdaq standards and all members of Board committees are independent.</w:t>
      </w:r>
    </w:p>
    <w:p>
      <w:pPr>
        <w:ind w:left="640" w:hanging="308"/>
        <w:spacing w:after="0"/>
        <w:tabs>
          <w:tab w:leader="none" w:pos="640" w:val="left"/>
        </w:tabs>
        <w:numPr>
          <w:ilvl w:val="0"/>
          <w:numId w:val="5"/>
        </w:numPr>
        <w:rPr>
          <w:rFonts w:ascii="Arial" w:cs="Arial" w:eastAsia="Arial" w:hAnsi="Arial"/>
          <w:sz w:val="20"/>
          <w:szCs w:val="20"/>
          <w:color w:val="auto"/>
        </w:rPr>
      </w:pPr>
      <w:r>
        <w:rPr>
          <w:rFonts w:ascii="Arial" w:cs="Arial" w:eastAsia="Arial" w:hAnsi="Arial"/>
          <w:sz w:val="20"/>
          <w:szCs w:val="20"/>
          <w:color w:val="221F1F"/>
        </w:rPr>
        <w:t>The Lead Director is independent.</w:t>
      </w:r>
    </w:p>
    <w:p>
      <w:pPr>
        <w:spacing w:after="0" w:line="26" w:lineRule="exact"/>
        <w:rPr>
          <w:rFonts w:ascii="Arial" w:cs="Arial" w:eastAsia="Arial" w:hAnsi="Arial"/>
          <w:sz w:val="20"/>
          <w:szCs w:val="20"/>
          <w:color w:val="auto"/>
        </w:rPr>
      </w:pPr>
    </w:p>
    <w:p>
      <w:pPr>
        <w:ind w:left="640" w:hanging="308"/>
        <w:spacing w:after="0"/>
        <w:tabs>
          <w:tab w:leader="none" w:pos="640" w:val="left"/>
        </w:tabs>
        <w:numPr>
          <w:ilvl w:val="0"/>
          <w:numId w:val="5"/>
        </w:numPr>
        <w:rPr>
          <w:rFonts w:ascii="Arial" w:cs="Arial" w:eastAsia="Arial" w:hAnsi="Arial"/>
          <w:sz w:val="20"/>
          <w:szCs w:val="20"/>
          <w:color w:val="auto"/>
        </w:rPr>
      </w:pPr>
      <w:r>
        <w:rPr>
          <w:rFonts w:ascii="Arial" w:cs="Arial" w:eastAsia="Arial" w:hAnsi="Arial"/>
          <w:sz w:val="20"/>
          <w:szCs w:val="20"/>
          <w:color w:val="221F1F"/>
        </w:rPr>
        <w:t>Executive sessions of independent directors are led by the Lead Director at each Board meeting.</w:t>
      </w:r>
    </w:p>
    <w:p>
      <w:pPr>
        <w:spacing w:after="0" w:line="13" w:lineRule="exact"/>
        <w:rPr>
          <w:rFonts w:ascii="Arial" w:cs="Arial" w:eastAsia="Arial" w:hAnsi="Arial"/>
          <w:sz w:val="20"/>
          <w:szCs w:val="20"/>
          <w:color w:val="auto"/>
        </w:rPr>
      </w:pPr>
    </w:p>
    <w:p>
      <w:pPr>
        <w:ind w:left="640" w:hanging="308"/>
        <w:spacing w:after="0"/>
        <w:tabs>
          <w:tab w:leader="none" w:pos="640" w:val="left"/>
        </w:tabs>
        <w:numPr>
          <w:ilvl w:val="0"/>
          <w:numId w:val="5"/>
        </w:numPr>
        <w:rPr>
          <w:rFonts w:ascii="Arial" w:cs="Arial" w:eastAsia="Arial" w:hAnsi="Arial"/>
          <w:sz w:val="20"/>
          <w:szCs w:val="20"/>
          <w:color w:val="auto"/>
        </w:rPr>
      </w:pPr>
      <w:r>
        <w:rPr>
          <w:rFonts w:ascii="Arial" w:cs="Arial" w:eastAsia="Arial" w:hAnsi="Arial"/>
          <w:sz w:val="20"/>
          <w:szCs w:val="20"/>
          <w:color w:val="221F1F"/>
        </w:rPr>
        <w:t>Directors are limited to service on no more than three other public company boards.</w:t>
      </w:r>
    </w:p>
    <w:p>
      <w:pPr>
        <w:spacing w:after="0" w:line="13" w:lineRule="exact"/>
        <w:rPr>
          <w:rFonts w:ascii="Arial" w:cs="Arial" w:eastAsia="Arial" w:hAnsi="Arial"/>
          <w:sz w:val="20"/>
          <w:szCs w:val="20"/>
          <w:color w:val="auto"/>
        </w:rPr>
      </w:pPr>
    </w:p>
    <w:p>
      <w:pPr>
        <w:ind w:left="660" w:right="20" w:hanging="328"/>
        <w:spacing w:after="0" w:line="260" w:lineRule="auto"/>
        <w:tabs>
          <w:tab w:leader="none" w:pos="648" w:val="left"/>
        </w:tabs>
        <w:numPr>
          <w:ilvl w:val="0"/>
          <w:numId w:val="5"/>
        </w:numPr>
        <w:rPr>
          <w:rFonts w:ascii="Arial" w:cs="Arial" w:eastAsia="Arial" w:hAnsi="Arial"/>
          <w:sz w:val="20"/>
          <w:szCs w:val="20"/>
          <w:color w:val="auto"/>
        </w:rPr>
      </w:pPr>
      <w:r>
        <w:rPr>
          <w:rFonts w:ascii="Arial" w:cs="Arial" w:eastAsia="Arial" w:hAnsi="Arial"/>
          <w:sz w:val="20"/>
          <w:szCs w:val="20"/>
          <w:color w:val="221F1F"/>
        </w:rPr>
        <w:t>Directors are restricted from standing for reelection after they reach 70 years old, except in exceptional circumstances as determined by the Board.</w:t>
      </w:r>
    </w:p>
    <w:p>
      <w:pPr>
        <w:spacing w:after="0" w:line="1" w:lineRule="exact"/>
        <w:rPr>
          <w:rFonts w:ascii="Arial" w:cs="Arial" w:eastAsia="Arial" w:hAnsi="Arial"/>
          <w:sz w:val="20"/>
          <w:szCs w:val="20"/>
          <w:color w:val="auto"/>
        </w:rPr>
      </w:pPr>
    </w:p>
    <w:p>
      <w:pPr>
        <w:ind w:left="640" w:hanging="308"/>
        <w:spacing w:after="0"/>
        <w:tabs>
          <w:tab w:leader="none" w:pos="640" w:val="left"/>
        </w:tabs>
        <w:numPr>
          <w:ilvl w:val="0"/>
          <w:numId w:val="5"/>
        </w:numPr>
        <w:rPr>
          <w:rFonts w:ascii="Arial" w:cs="Arial" w:eastAsia="Arial" w:hAnsi="Arial"/>
          <w:sz w:val="20"/>
          <w:szCs w:val="20"/>
          <w:color w:val="auto"/>
        </w:rPr>
      </w:pPr>
      <w:r>
        <w:rPr>
          <w:rFonts w:ascii="Arial" w:cs="Arial" w:eastAsia="Arial" w:hAnsi="Arial"/>
          <w:sz w:val="20"/>
          <w:szCs w:val="20"/>
          <w:color w:val="221F1F"/>
        </w:rPr>
        <w:t>Directors are limited to 12 total years of service for any director first elected after May 14,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104775</wp:posOffset>
            </wp:positionV>
            <wp:extent cx="7132320" cy="3511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351155"/>
                    </a:xfrm>
                    <a:prstGeom prst="rect">
                      <a:avLst/>
                    </a:prstGeom>
                    <a:noFill/>
                  </pic:spPr>
                </pic:pic>
              </a:graphicData>
            </a:graphic>
          </wp:anchor>
        </w:drawing>
      </w:r>
    </w:p>
    <w:p>
      <w:pPr>
        <w:spacing w:after="0" w:line="356"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10940" w:type="dxa"/>
            <w:vAlign w:val="bottom"/>
          </w:tcPr>
          <w:p>
            <w:pPr>
              <w:ind w:left="9000"/>
              <w:spacing w:after="0"/>
              <w:rPr>
                <w:sz w:val="20"/>
                <w:szCs w:val="20"/>
                <w:color w:val="auto"/>
              </w:rPr>
            </w:pPr>
            <w:r>
              <w:rPr>
                <w:rFonts w:ascii="Arial" w:cs="Arial" w:eastAsia="Arial" w:hAnsi="Arial"/>
                <w:sz w:val="18"/>
                <w:szCs w:val="18"/>
                <w:color w:val="auto"/>
              </w:rPr>
              <w:t>2024 Proxy Statement</w:t>
            </w:r>
          </w:p>
        </w:tc>
        <w:tc>
          <w:tcPr>
            <w:tcW w:w="300" w:type="dxa"/>
            <w:vAlign w:val="bottom"/>
          </w:tcPr>
          <w:p>
            <w:pPr>
              <w:jc w:val="right"/>
              <w:spacing w:after="0"/>
              <w:rPr>
                <w:sz w:val="20"/>
                <w:szCs w:val="20"/>
                <w:color w:val="auto"/>
              </w:rPr>
            </w:pPr>
            <w:r>
              <w:rPr>
                <w:rFonts w:ascii="Arial" w:cs="Arial" w:eastAsia="Arial" w:hAnsi="Arial"/>
                <w:sz w:val="18"/>
                <w:szCs w:val="18"/>
                <w:color w:val="1E3767"/>
              </w:rPr>
              <w:t>3</w:t>
            </w:r>
          </w:p>
        </w:tc>
      </w:tr>
      <w:tr>
        <w:trPr>
          <w:trHeight w:val="408"/>
        </w:trPr>
        <w:tc>
          <w:tcPr>
            <w:tcW w:w="1094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77" w:right="339" w:bottom="1440" w:gutter="0" w:footer="0" w:header="0"/>
        </w:sectPr>
      </w:pPr>
    </w:p>
    <w:bookmarkStart w:id="6" w:name="page7"/>
    <w:bookmarkEnd w:id="6"/>
    <w:p>
      <w:pPr>
        <w:jc w:val="center"/>
        <w:spacing w:after="0"/>
        <w:rPr>
          <w:sz w:val="20"/>
          <w:szCs w:val="20"/>
          <w:color w:val="auto"/>
        </w:rPr>
      </w:pPr>
      <w:r>
        <w:rPr>
          <w:rFonts w:ascii="Arial" w:cs="Arial" w:eastAsia="Arial" w:hAnsi="Arial"/>
          <w:sz w:val="22"/>
          <w:szCs w:val="22"/>
          <w:b w:val="1"/>
          <w:bCs w:val="1"/>
          <w:color w:val="auto"/>
        </w:rPr>
        <w:t>PROPOSAL 1</w:t>
      </w:r>
    </w:p>
    <w:p>
      <w:pPr>
        <w:spacing w:after="0" w:line="3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ELECTION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1530985</wp:posOffset>
            </wp:positionH>
            <wp:positionV relativeFrom="paragraph">
              <wp:posOffset>177800</wp:posOffset>
            </wp:positionV>
            <wp:extent cx="4097655" cy="72898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4097655" cy="728980"/>
                    </a:xfrm>
                    <a:prstGeom prst="rect">
                      <a:avLst/>
                    </a:prstGeom>
                    <a:noFill/>
                  </pic:spPr>
                </pic:pic>
              </a:graphicData>
            </a:graphic>
          </wp:anchor>
        </w:drawing>
      </w:r>
    </w:p>
    <w:p>
      <w:pPr>
        <w:spacing w:after="0" w:line="268" w:lineRule="exact"/>
        <w:rPr>
          <w:sz w:val="20"/>
          <w:szCs w:val="20"/>
          <w:color w:val="auto"/>
        </w:rPr>
      </w:pPr>
    </w:p>
    <w:p>
      <w:pPr>
        <w:jc w:val="center"/>
        <w:ind w:left="1700"/>
        <w:spacing w:after="0"/>
        <w:rPr>
          <w:sz w:val="20"/>
          <w:szCs w:val="20"/>
          <w:color w:val="auto"/>
        </w:rPr>
      </w:pPr>
      <w:r>
        <w:rPr>
          <w:rFonts w:ascii="Arial" w:cs="Arial" w:eastAsia="Arial" w:hAnsi="Arial"/>
          <w:sz w:val="18"/>
          <w:szCs w:val="18"/>
          <w:b w:val="1"/>
          <w:bCs w:val="1"/>
          <w:color w:val="06185F"/>
        </w:rPr>
        <w:t>The Board recommends that you vote</w:t>
      </w:r>
    </w:p>
    <w:p>
      <w:pPr>
        <w:spacing w:after="0" w:line="10" w:lineRule="exact"/>
        <w:rPr>
          <w:sz w:val="20"/>
          <w:szCs w:val="20"/>
          <w:color w:val="auto"/>
        </w:rPr>
      </w:pPr>
    </w:p>
    <w:p>
      <w:pPr>
        <w:jc w:val="center"/>
        <w:ind w:left="1700"/>
        <w:spacing w:after="0"/>
        <w:rPr>
          <w:sz w:val="20"/>
          <w:szCs w:val="20"/>
          <w:color w:val="auto"/>
        </w:rPr>
      </w:pPr>
      <w:r>
        <w:rPr>
          <w:rFonts w:ascii="Arial" w:cs="Arial" w:eastAsia="Arial" w:hAnsi="Arial"/>
          <w:sz w:val="32"/>
          <w:szCs w:val="32"/>
          <w:b w:val="1"/>
          <w:bCs w:val="1"/>
          <w:color w:val="auto"/>
        </w:rPr>
        <w:t>“For”</w:t>
      </w:r>
    </w:p>
    <w:p>
      <w:pPr>
        <w:jc w:val="center"/>
        <w:ind w:left="1700"/>
        <w:spacing w:after="0" w:line="234" w:lineRule="auto"/>
        <w:rPr>
          <w:sz w:val="20"/>
          <w:szCs w:val="20"/>
          <w:color w:val="auto"/>
        </w:rPr>
      </w:pPr>
      <w:r>
        <w:rPr>
          <w:rFonts w:ascii="Arial" w:cs="Arial" w:eastAsia="Arial" w:hAnsi="Arial"/>
          <w:sz w:val="18"/>
          <w:szCs w:val="18"/>
          <w:b w:val="1"/>
          <w:bCs w:val="1"/>
          <w:color w:val="06185F"/>
        </w:rPr>
        <w:t>the election of each of the nominees for election to the</w:t>
      </w:r>
    </w:p>
    <w:p>
      <w:pPr>
        <w:spacing w:after="0" w:line="1" w:lineRule="exact"/>
        <w:rPr>
          <w:sz w:val="20"/>
          <w:szCs w:val="20"/>
          <w:color w:val="auto"/>
        </w:rPr>
      </w:pPr>
    </w:p>
    <w:p>
      <w:pPr>
        <w:jc w:val="center"/>
        <w:ind w:left="1700"/>
        <w:spacing w:after="0"/>
        <w:rPr>
          <w:sz w:val="20"/>
          <w:szCs w:val="20"/>
          <w:color w:val="auto"/>
        </w:rPr>
      </w:pPr>
      <w:r>
        <w:rPr>
          <w:rFonts w:ascii="Arial" w:cs="Arial" w:eastAsia="Arial" w:hAnsi="Arial"/>
          <w:sz w:val="18"/>
          <w:szCs w:val="18"/>
          <w:b w:val="1"/>
          <w:bCs w:val="1"/>
          <w:color w:val="06185F"/>
        </w:rPr>
        <w:t>Board.</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Procedure</w:t>
      </w:r>
    </w:p>
    <w:p>
      <w:pPr>
        <w:spacing w:after="0" w:line="258" w:lineRule="exact"/>
        <w:rPr>
          <w:sz w:val="20"/>
          <w:szCs w:val="20"/>
          <w:color w:val="auto"/>
        </w:rPr>
      </w:pPr>
    </w:p>
    <w:p>
      <w:pPr>
        <w:jc w:val="both"/>
        <w:spacing w:after="0" w:line="265" w:lineRule="auto"/>
        <w:rPr>
          <w:sz w:val="20"/>
          <w:szCs w:val="20"/>
          <w:color w:val="auto"/>
        </w:rPr>
      </w:pPr>
      <w:r>
        <w:rPr>
          <w:rFonts w:ascii="Arial" w:cs="Arial" w:eastAsia="Arial" w:hAnsi="Arial"/>
          <w:sz w:val="20"/>
          <w:szCs w:val="20"/>
          <w:color w:val="auto"/>
        </w:rPr>
        <w:t>At the Annual Meeting, the stockholders will elect nine directors to hold office for one-year terms ending at the 2025 Annual Meeting of Stockholders or until their successors are elected and qualified. The Board has nominated nine of the Company's current ten directors for re-election at the Annual Meeting. Jacque R. Fiegel is not seeking re-election and her Board service will end on the date of the Annual Meeting. The Board has approved a decrease in its size from ten members to nine effective immediately prior to the Annual Meeting.</w:t>
      </w:r>
    </w:p>
    <w:p>
      <w:pPr>
        <w:spacing w:after="0" w:line="215" w:lineRule="exact"/>
        <w:rPr>
          <w:sz w:val="20"/>
          <w:szCs w:val="20"/>
          <w:color w:val="auto"/>
        </w:rPr>
      </w:pPr>
    </w:p>
    <w:p>
      <w:pPr>
        <w:jc w:val="both"/>
        <w:spacing w:after="0" w:line="269" w:lineRule="auto"/>
        <w:rPr>
          <w:sz w:val="20"/>
          <w:szCs w:val="20"/>
          <w:color w:val="auto"/>
        </w:rPr>
      </w:pPr>
      <w:r>
        <w:rPr>
          <w:rFonts w:ascii="Arial" w:cs="Arial" w:eastAsia="Arial" w:hAnsi="Arial"/>
          <w:sz w:val="20"/>
          <w:szCs w:val="20"/>
          <w:color w:val="auto"/>
        </w:rPr>
        <w:t>The stockholders are entitled to one vote per share on each matter submitted to vote at any meeting of the stockholders. Unless contrary instructions are given, the persons named in the enclosed Proxy Card or their substitutes will vote “FOR” the election of the nominees named below.</w:t>
      </w:r>
    </w:p>
    <w:p>
      <w:pPr>
        <w:spacing w:after="0" w:line="212" w:lineRule="exact"/>
        <w:rPr>
          <w:sz w:val="20"/>
          <w:szCs w:val="20"/>
          <w:color w:val="auto"/>
        </w:rPr>
      </w:pPr>
    </w:p>
    <w:p>
      <w:pPr>
        <w:jc w:val="both"/>
        <w:spacing w:after="0" w:line="269" w:lineRule="auto"/>
        <w:rPr>
          <w:sz w:val="20"/>
          <w:szCs w:val="20"/>
          <w:color w:val="auto"/>
        </w:rPr>
      </w:pPr>
      <w:r>
        <w:rPr>
          <w:rFonts w:ascii="Arial" w:cs="Arial" w:eastAsia="Arial" w:hAnsi="Arial"/>
          <w:sz w:val="20"/>
          <w:szCs w:val="20"/>
          <w:color w:val="auto"/>
        </w:rPr>
        <w:t>Each of the nominees has consented to serve as director. However, if any nominee at the time of election is unable to serve or is otherwise unavailable for election, and as a result other nominees are designated by the Board, the persons named in the enclosed Proxy Card or their substitutes intend to vote for the election of such designated nominees.</w:t>
      </w:r>
    </w:p>
    <w:p>
      <w:pPr>
        <w:spacing w:after="0" w:line="21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Director Qualifications and Selection</w:t>
      </w:r>
    </w:p>
    <w:p>
      <w:pPr>
        <w:spacing w:after="0" w:line="258" w:lineRule="exact"/>
        <w:rPr>
          <w:sz w:val="20"/>
          <w:szCs w:val="20"/>
          <w:color w:val="auto"/>
        </w:rPr>
      </w:pPr>
    </w:p>
    <w:p>
      <w:pPr>
        <w:jc w:val="both"/>
        <w:spacing w:after="0" w:line="277" w:lineRule="auto"/>
        <w:rPr>
          <w:sz w:val="20"/>
          <w:szCs w:val="20"/>
          <w:color w:val="auto"/>
        </w:rPr>
      </w:pPr>
      <w:r>
        <w:rPr>
          <w:rFonts w:ascii="Arial" w:cs="Arial" w:eastAsia="Arial" w:hAnsi="Arial"/>
          <w:sz w:val="19"/>
          <w:szCs w:val="19"/>
          <w:color w:val="auto"/>
        </w:rPr>
        <w:t>Under the Company’s Corporate Governance Guidelines, the Governance Committee is charged with the responsibility for determining the appropriate skills and characteristics required of Board members and are to consider such factors as experience, strength of character, maturity of judgment, technical skills, diversity, and age in assessing the needs of the Board. The Corporate Governance Guidelines specify that a majority of the members shall qualify as independent under applicable Nasdaq Global Select Market (“Nasdaq”) listing standards. While the term “diversity” is not specifically defined in the Corporate Governance Guidelines and there is no formal policy regarding application of the term, it has been the practice of the Governance Committee to apply the term broadly, resulting in Board composition over the years that has reflected diversity in race, gender, and age, as well as diversity in business experience and in representation of the markets served by the Company.</w:t>
      </w:r>
    </w:p>
    <w:p>
      <w:pPr>
        <w:spacing w:after="0" w:line="210" w:lineRule="exact"/>
        <w:rPr>
          <w:sz w:val="20"/>
          <w:szCs w:val="20"/>
          <w:color w:val="auto"/>
        </w:rPr>
      </w:pPr>
    </w:p>
    <w:p>
      <w:pPr>
        <w:jc w:val="both"/>
        <w:spacing w:after="0" w:line="262" w:lineRule="auto"/>
        <w:rPr>
          <w:sz w:val="20"/>
          <w:szCs w:val="20"/>
          <w:color w:val="auto"/>
        </w:rPr>
      </w:pPr>
      <w:r>
        <w:rPr>
          <w:rFonts w:ascii="Arial" w:cs="Arial" w:eastAsia="Arial" w:hAnsi="Arial"/>
          <w:sz w:val="20"/>
          <w:szCs w:val="20"/>
          <w:color w:val="auto"/>
        </w:rPr>
        <w:t>While the Company has a nomination policy by which stockholders may recommend to the Governance Committee certain prospective directors for consideration (See “Corporate Governance—Stockholder Recommended Director Candidates,” below), no such recommendation has been received. If such a recommendation is received in the future, it will be evaluated in the same manner as any other recommendation to the Governance Committee. The Governance Committee nomination process varies depending upon the particular expertise and skill set sought by the Governance Committee. The process can be informal, consisting of solicitation of suggestions of possible candidates from other Board members and management, contacting candidates to determine interest level, and in-person interviews to determine “fit.” The Governance Committee has also used a more formal process utilizing a recruiting firm to identify candidates,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33020</wp:posOffset>
            </wp:positionV>
            <wp:extent cx="7132320" cy="3511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351155"/>
                    </a:xfrm>
                    <a:prstGeom prst="rect">
                      <a:avLst/>
                    </a:prstGeom>
                    <a:noFill/>
                  </pic:spPr>
                </pic:pic>
              </a:graphicData>
            </a:graphic>
          </wp:anchor>
        </w:drawing>
      </w:r>
    </w:p>
    <w:p>
      <w:pPr>
        <w:spacing w:after="0" w:line="242" w:lineRule="exact"/>
        <w:rPr>
          <w:sz w:val="20"/>
          <w:szCs w:val="20"/>
          <w:color w:val="auto"/>
        </w:rPr>
      </w:pPr>
    </w:p>
    <w:p>
      <w:pPr>
        <w:ind w:left="20"/>
        <w:spacing w:after="0"/>
        <w:tabs>
          <w:tab w:leader="none" w:pos="440" w:val="left"/>
        </w:tabs>
        <w:rPr>
          <w:sz w:val="20"/>
          <w:szCs w:val="20"/>
          <w:color w:val="auto"/>
        </w:rPr>
      </w:pPr>
      <w:r>
        <w:rPr>
          <w:rFonts w:ascii="Arial" w:cs="Arial" w:eastAsia="Arial" w:hAnsi="Arial"/>
          <w:sz w:val="18"/>
          <w:szCs w:val="18"/>
          <w:color w:val="auto"/>
        </w:rPr>
        <w:t>4</w:t>
      </w:r>
      <w:r>
        <w:rPr>
          <w:sz w:val="20"/>
          <w:szCs w:val="20"/>
          <w:color w:val="auto"/>
        </w:rPr>
        <w:tab/>
      </w:r>
      <w:r>
        <w:rPr>
          <w:rFonts w:ascii="Arial" w:cs="Arial" w:eastAsia="Arial" w:hAnsi="Arial"/>
          <w:sz w:val="18"/>
          <w:szCs w:val="18"/>
          <w:color w:val="auto"/>
        </w:rPr>
        <w:t>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253365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4" w:right="339" w:bottom="1440" w:gutter="0" w:footer="0" w:header="0"/>
        </w:sectPr>
      </w:pPr>
    </w:p>
    <w:bookmarkStart w:id="7" w:name="page8"/>
    <w:bookmarkEnd w:id="7"/>
    <w:p>
      <w:pPr>
        <w:jc w:val="both"/>
        <w:spacing w:after="0" w:line="276" w:lineRule="auto"/>
        <w:rPr>
          <w:sz w:val="20"/>
          <w:szCs w:val="20"/>
          <w:color w:val="auto"/>
        </w:rPr>
      </w:pPr>
      <w:r>
        <w:rPr>
          <w:rFonts w:ascii="Arial" w:cs="Arial" w:eastAsia="Arial" w:hAnsi="Arial"/>
          <w:sz w:val="20"/>
          <w:szCs w:val="20"/>
          <w:color w:val="auto"/>
        </w:rPr>
        <w:t>screening of recommendations, followed by telephone and in-person interviews, background checks, and Governance Committee evaluation and nomination. The Governance Committee expects to continue use of both formal and informal processes to identify appropriate candidates for the Board.</w:t>
      </w:r>
    </w:p>
    <w:p>
      <w:pPr>
        <w:spacing w:after="0" w:line="192" w:lineRule="exact"/>
        <w:rPr>
          <w:sz w:val="20"/>
          <w:szCs w:val="20"/>
          <w:color w:val="auto"/>
        </w:rPr>
      </w:pPr>
    </w:p>
    <w:p>
      <w:pPr>
        <w:jc w:val="both"/>
        <w:spacing w:after="0" w:line="265" w:lineRule="auto"/>
        <w:rPr>
          <w:sz w:val="20"/>
          <w:szCs w:val="20"/>
          <w:color w:val="auto"/>
        </w:rPr>
      </w:pPr>
      <w:r>
        <w:rPr>
          <w:rFonts w:ascii="Arial" w:cs="Arial" w:eastAsia="Arial" w:hAnsi="Arial"/>
          <w:sz w:val="20"/>
          <w:szCs w:val="20"/>
          <w:color w:val="auto"/>
        </w:rPr>
        <w:t>The Company’s Board has also adopted a “Proxy Access for Director Nominations” bylaw as part of the Company’s Amended and Restated Bylaws (the “Bylaws”). The proxy access bylaw permits a stockholder, or certain groups of stockholders, meeting the requirements contained in the proxy access bylaw to nominate and include in the Company’s proxy materials director nominees constituting up to two individuals or 20% of the Board (whichever is greater). See “Corporate Governance— Stockholder Nominated Director Candidates” below for more information.</w:t>
      </w:r>
    </w:p>
    <w:p>
      <w:pPr>
        <w:spacing w:after="0" w:line="21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Nominees for Election</w:t>
      </w:r>
    </w:p>
    <w:p>
      <w:pPr>
        <w:spacing w:after="0" w:line="258" w:lineRule="exact"/>
        <w:rPr>
          <w:sz w:val="20"/>
          <w:szCs w:val="20"/>
          <w:color w:val="auto"/>
        </w:rPr>
      </w:pPr>
    </w:p>
    <w:p>
      <w:pPr>
        <w:jc w:val="both"/>
        <w:spacing w:after="0" w:line="265" w:lineRule="auto"/>
        <w:rPr>
          <w:sz w:val="20"/>
          <w:szCs w:val="20"/>
          <w:color w:val="auto"/>
        </w:rPr>
      </w:pPr>
      <w:r>
        <w:rPr>
          <w:rFonts w:ascii="Arial" w:cs="Arial" w:eastAsia="Arial" w:hAnsi="Arial"/>
          <w:sz w:val="20"/>
          <w:szCs w:val="20"/>
          <w:color w:val="auto"/>
        </w:rPr>
        <w:t>The Board currently has ten members serving terms of office ending at the Annual Meeting. The Board has approved a decrease in its size from ten members to nine effective immediately prior to the Annual Meeting. Jacque R. Fiegel is not seeking re-election and her Board service will end on the date of the Annual Meeting. The Company is grateful for Ms. Fiegel's valuable contributions throughout her years of Board service. Ms. Fiegel served on the Governance Committee and Risk and Compliance Committee during fiscal year 2024.</w:t>
      </w:r>
    </w:p>
    <w:p>
      <w:pPr>
        <w:spacing w:after="0" w:line="215" w:lineRule="exact"/>
        <w:rPr>
          <w:sz w:val="20"/>
          <w:szCs w:val="20"/>
          <w:color w:val="auto"/>
        </w:rPr>
      </w:pPr>
    </w:p>
    <w:p>
      <w:pPr>
        <w:spacing w:after="0"/>
        <w:rPr>
          <w:sz w:val="20"/>
          <w:szCs w:val="20"/>
          <w:color w:val="auto"/>
        </w:rPr>
      </w:pPr>
      <w:r>
        <w:rPr>
          <w:rFonts w:ascii="Arial" w:cs="Arial" w:eastAsia="Arial" w:hAnsi="Arial"/>
          <w:sz w:val="20"/>
          <w:szCs w:val="20"/>
          <w:color w:val="auto"/>
        </w:rPr>
        <w:t>The nominees for election as directors of the Company are as follows:</w:t>
      </w:r>
    </w:p>
    <w:p>
      <w:pPr>
        <w:spacing w:after="0" w:line="291" w:lineRule="exact"/>
        <w:rPr>
          <w:sz w:val="20"/>
          <w:szCs w:val="20"/>
          <w:color w:val="auto"/>
        </w:rPr>
      </w:pPr>
    </w:p>
    <w:tbl>
      <w:tblPr>
        <w:tblLayout w:type="fixed"/>
        <w:tblInd w:w="920" w:type="dxa"/>
        <w:tblCellMar>
          <w:top w:w="0" w:type="dxa"/>
          <w:left w:w="0" w:type="dxa"/>
          <w:bottom w:w="0" w:type="dxa"/>
          <w:right w:w="0" w:type="dxa"/>
        </w:tblCellMar>
      </w:tblPr>
      <w:tr>
        <w:trPr>
          <w:trHeight w:val="283"/>
        </w:trPr>
        <w:tc>
          <w:tcPr>
            <w:tcW w:w="2260" w:type="dxa"/>
            <w:vAlign w:val="bottom"/>
            <w:tcBorders>
              <w:bottom w:val="single" w:sz="8" w:color="auto"/>
            </w:tcBorders>
            <w:shd w:val="clear" w:color="auto" w:fill="E8F7F7"/>
          </w:tcPr>
          <w:p>
            <w:pPr>
              <w:ind w:left="20"/>
              <w:spacing w:after="0"/>
              <w:rPr>
                <w:sz w:val="20"/>
                <w:szCs w:val="20"/>
                <w:color w:val="auto"/>
              </w:rPr>
            </w:pPr>
            <w:r>
              <w:rPr>
                <w:rFonts w:ascii="Arial" w:cs="Arial" w:eastAsia="Arial" w:hAnsi="Arial"/>
                <w:sz w:val="20"/>
                <w:szCs w:val="20"/>
                <w:b w:val="1"/>
                <w:bCs w:val="1"/>
                <w:color w:val="auto"/>
              </w:rPr>
              <w:t>Name</w:t>
            </w:r>
          </w:p>
        </w:tc>
        <w:tc>
          <w:tcPr>
            <w:tcW w:w="4220" w:type="dxa"/>
            <w:vAlign w:val="bottom"/>
            <w:tcBorders>
              <w:bottom w:val="single" w:sz="8" w:color="auto"/>
            </w:tcBorders>
            <w:shd w:val="clear" w:color="auto" w:fill="E8F7F7"/>
          </w:tcPr>
          <w:p>
            <w:pPr>
              <w:ind w:left="320"/>
              <w:spacing w:after="0"/>
              <w:rPr>
                <w:sz w:val="20"/>
                <w:szCs w:val="20"/>
                <w:color w:val="auto"/>
              </w:rPr>
            </w:pPr>
            <w:r>
              <w:rPr>
                <w:rFonts w:ascii="Arial" w:cs="Arial" w:eastAsia="Arial" w:hAnsi="Arial"/>
                <w:sz w:val="20"/>
                <w:szCs w:val="20"/>
                <w:b w:val="1"/>
                <w:bCs w:val="1"/>
                <w:color w:val="auto"/>
              </w:rPr>
              <w:t>Position with Company</w:t>
            </w:r>
          </w:p>
        </w:tc>
        <w:tc>
          <w:tcPr>
            <w:tcW w:w="2920" w:type="dxa"/>
            <w:vAlign w:val="bottom"/>
            <w:tcBorders>
              <w:bottom w:val="single" w:sz="8" w:color="auto"/>
            </w:tcBorders>
            <w:shd w:val="clear" w:color="auto" w:fill="E8F7F7"/>
          </w:tcPr>
          <w:p>
            <w:pPr>
              <w:jc w:val="center"/>
              <w:ind w:left="1041"/>
              <w:spacing w:after="0"/>
              <w:rPr>
                <w:sz w:val="20"/>
                <w:szCs w:val="20"/>
                <w:color w:val="auto"/>
              </w:rPr>
            </w:pPr>
            <w:r>
              <w:rPr>
                <w:rFonts w:ascii="Arial" w:cs="Arial" w:eastAsia="Arial" w:hAnsi="Arial"/>
                <w:sz w:val="20"/>
                <w:szCs w:val="20"/>
                <w:b w:val="1"/>
                <w:bCs w:val="1"/>
                <w:color w:val="auto"/>
                <w:w w:val="98"/>
              </w:rPr>
              <w:t>Director Since</w:t>
            </w:r>
          </w:p>
        </w:tc>
      </w:tr>
      <w:tr>
        <w:trPr>
          <w:trHeight w:val="271"/>
        </w:trPr>
        <w:tc>
          <w:tcPr>
            <w:tcW w:w="2260" w:type="dxa"/>
            <w:vAlign w:val="bottom"/>
            <w:tcBorders>
              <w:bottom w:val="single" w:sz="8" w:color="DBDBDB"/>
            </w:tcBorders>
          </w:tcPr>
          <w:p>
            <w:pPr>
              <w:ind w:left="20"/>
              <w:spacing w:after="0"/>
              <w:rPr>
                <w:sz w:val="20"/>
                <w:szCs w:val="20"/>
                <w:color w:val="auto"/>
              </w:rPr>
            </w:pPr>
            <w:r>
              <w:rPr>
                <w:rFonts w:ascii="Arial" w:cs="Arial" w:eastAsia="Arial" w:hAnsi="Arial"/>
                <w:sz w:val="20"/>
                <w:szCs w:val="20"/>
                <w:color w:val="auto"/>
              </w:rPr>
              <w:t>David B. Foss</w:t>
            </w:r>
          </w:p>
        </w:tc>
        <w:tc>
          <w:tcPr>
            <w:tcW w:w="4220" w:type="dxa"/>
            <w:vAlign w:val="bottom"/>
            <w:tcBorders>
              <w:bottom w:val="single" w:sz="8" w:color="DBDBDB"/>
            </w:tcBorders>
          </w:tcPr>
          <w:p>
            <w:pPr>
              <w:ind w:left="320"/>
              <w:spacing w:after="0"/>
              <w:rPr>
                <w:sz w:val="20"/>
                <w:szCs w:val="20"/>
                <w:color w:val="auto"/>
              </w:rPr>
            </w:pPr>
            <w:r>
              <w:rPr>
                <w:rFonts w:ascii="Arial" w:cs="Arial" w:eastAsia="Arial" w:hAnsi="Arial"/>
                <w:sz w:val="20"/>
                <w:szCs w:val="20"/>
                <w:color w:val="auto"/>
              </w:rPr>
              <w:t>Executive Board Chair</w:t>
            </w:r>
          </w:p>
        </w:tc>
        <w:tc>
          <w:tcPr>
            <w:tcW w:w="2920" w:type="dxa"/>
            <w:vAlign w:val="bottom"/>
            <w:tcBorders>
              <w:bottom w:val="single" w:sz="8" w:color="DBDBDB"/>
            </w:tcBorders>
          </w:tcPr>
          <w:p>
            <w:pPr>
              <w:jc w:val="center"/>
              <w:ind w:left="1021"/>
              <w:spacing w:after="0"/>
              <w:rPr>
                <w:sz w:val="20"/>
                <w:szCs w:val="20"/>
                <w:color w:val="auto"/>
              </w:rPr>
            </w:pPr>
            <w:r>
              <w:rPr>
                <w:rFonts w:ascii="Arial" w:cs="Arial" w:eastAsia="Arial" w:hAnsi="Arial"/>
                <w:sz w:val="20"/>
                <w:szCs w:val="20"/>
                <w:color w:val="auto"/>
                <w:w w:val="98"/>
              </w:rPr>
              <w:t>2017</w:t>
            </w:r>
          </w:p>
        </w:tc>
      </w:tr>
      <w:tr>
        <w:trPr>
          <w:trHeight w:val="277"/>
        </w:trPr>
        <w:tc>
          <w:tcPr>
            <w:tcW w:w="2260" w:type="dxa"/>
            <w:vAlign w:val="bottom"/>
            <w:tcBorders>
              <w:bottom w:val="single" w:sz="8" w:color="DBDBDB"/>
            </w:tcBorders>
            <w:shd w:val="clear" w:color="auto" w:fill="E7ECF0"/>
          </w:tcPr>
          <w:p>
            <w:pPr>
              <w:ind w:left="20"/>
              <w:spacing w:after="0"/>
              <w:rPr>
                <w:sz w:val="20"/>
                <w:szCs w:val="20"/>
                <w:color w:val="auto"/>
              </w:rPr>
            </w:pPr>
            <w:r>
              <w:rPr>
                <w:rFonts w:ascii="Arial" w:cs="Arial" w:eastAsia="Arial" w:hAnsi="Arial"/>
                <w:sz w:val="20"/>
                <w:szCs w:val="20"/>
                <w:color w:val="auto"/>
              </w:rPr>
              <w:t>Matthew C. Flanigan</w:t>
            </w:r>
          </w:p>
        </w:tc>
        <w:tc>
          <w:tcPr>
            <w:tcW w:w="4220" w:type="dxa"/>
            <w:vAlign w:val="bottom"/>
            <w:tcBorders>
              <w:bottom w:val="single" w:sz="8" w:color="DBDBDB"/>
            </w:tcBorders>
            <w:shd w:val="clear" w:color="auto" w:fill="E7ECF0"/>
          </w:tcPr>
          <w:p>
            <w:pPr>
              <w:ind w:left="320"/>
              <w:spacing w:after="0"/>
              <w:rPr>
                <w:sz w:val="20"/>
                <w:szCs w:val="20"/>
                <w:color w:val="auto"/>
              </w:rPr>
            </w:pPr>
            <w:r>
              <w:rPr>
                <w:rFonts w:ascii="Arial" w:cs="Arial" w:eastAsia="Arial" w:hAnsi="Arial"/>
                <w:sz w:val="20"/>
                <w:szCs w:val="20"/>
                <w:color w:val="auto"/>
              </w:rPr>
              <w:t>Vice Chair and Lead Director</w:t>
            </w:r>
          </w:p>
        </w:tc>
        <w:tc>
          <w:tcPr>
            <w:tcW w:w="2920" w:type="dxa"/>
            <w:vAlign w:val="bottom"/>
            <w:tcBorders>
              <w:bottom w:val="single" w:sz="8" w:color="DBDBDB"/>
            </w:tcBorders>
            <w:shd w:val="clear" w:color="auto" w:fill="E7ECF0"/>
          </w:tcPr>
          <w:p>
            <w:pPr>
              <w:jc w:val="center"/>
              <w:ind w:left="1021"/>
              <w:spacing w:after="0"/>
              <w:rPr>
                <w:sz w:val="20"/>
                <w:szCs w:val="20"/>
                <w:color w:val="auto"/>
              </w:rPr>
            </w:pPr>
            <w:r>
              <w:rPr>
                <w:rFonts w:ascii="Arial" w:cs="Arial" w:eastAsia="Arial" w:hAnsi="Arial"/>
                <w:sz w:val="20"/>
                <w:szCs w:val="20"/>
                <w:color w:val="auto"/>
                <w:w w:val="98"/>
              </w:rPr>
              <w:t>2007</w:t>
            </w:r>
          </w:p>
        </w:tc>
      </w:tr>
      <w:tr>
        <w:trPr>
          <w:trHeight w:val="277"/>
        </w:trPr>
        <w:tc>
          <w:tcPr>
            <w:tcW w:w="2260" w:type="dxa"/>
            <w:vAlign w:val="bottom"/>
            <w:tcBorders>
              <w:bottom w:val="single" w:sz="8" w:color="DBDBDB"/>
            </w:tcBorders>
          </w:tcPr>
          <w:p>
            <w:pPr>
              <w:ind w:left="20"/>
              <w:spacing w:after="0"/>
              <w:rPr>
                <w:sz w:val="20"/>
                <w:szCs w:val="20"/>
                <w:color w:val="auto"/>
              </w:rPr>
            </w:pPr>
            <w:r>
              <w:rPr>
                <w:rFonts w:ascii="Arial" w:cs="Arial" w:eastAsia="Arial" w:hAnsi="Arial"/>
                <w:sz w:val="20"/>
                <w:szCs w:val="20"/>
                <w:color w:val="auto"/>
              </w:rPr>
              <w:t>Thomas H. Wilson, Jr.</w:t>
            </w:r>
          </w:p>
        </w:tc>
        <w:tc>
          <w:tcPr>
            <w:tcW w:w="4220" w:type="dxa"/>
            <w:vAlign w:val="bottom"/>
            <w:tcBorders>
              <w:bottom w:val="single" w:sz="8" w:color="DBDBDB"/>
            </w:tcBorders>
          </w:tcPr>
          <w:p>
            <w:pPr>
              <w:ind w:left="320"/>
              <w:spacing w:after="0"/>
              <w:rPr>
                <w:sz w:val="20"/>
                <w:szCs w:val="20"/>
                <w:color w:val="auto"/>
              </w:rPr>
            </w:pPr>
            <w:r>
              <w:rPr>
                <w:rFonts w:ascii="Arial" w:cs="Arial" w:eastAsia="Arial" w:hAnsi="Arial"/>
                <w:sz w:val="20"/>
                <w:szCs w:val="20"/>
                <w:color w:val="auto"/>
              </w:rPr>
              <w:t>Director</w:t>
            </w:r>
          </w:p>
        </w:tc>
        <w:tc>
          <w:tcPr>
            <w:tcW w:w="2920" w:type="dxa"/>
            <w:vAlign w:val="bottom"/>
            <w:tcBorders>
              <w:bottom w:val="single" w:sz="8" w:color="DBDBDB"/>
            </w:tcBorders>
          </w:tcPr>
          <w:p>
            <w:pPr>
              <w:jc w:val="center"/>
              <w:ind w:left="1021"/>
              <w:spacing w:after="0"/>
              <w:rPr>
                <w:sz w:val="20"/>
                <w:szCs w:val="20"/>
                <w:color w:val="auto"/>
              </w:rPr>
            </w:pPr>
            <w:r>
              <w:rPr>
                <w:rFonts w:ascii="Arial" w:cs="Arial" w:eastAsia="Arial" w:hAnsi="Arial"/>
                <w:sz w:val="20"/>
                <w:szCs w:val="20"/>
                <w:color w:val="auto"/>
                <w:w w:val="98"/>
              </w:rPr>
              <w:t>2012</w:t>
            </w:r>
          </w:p>
        </w:tc>
      </w:tr>
      <w:tr>
        <w:trPr>
          <w:trHeight w:val="277"/>
        </w:trPr>
        <w:tc>
          <w:tcPr>
            <w:tcW w:w="2260" w:type="dxa"/>
            <w:vAlign w:val="bottom"/>
            <w:tcBorders>
              <w:bottom w:val="single" w:sz="8" w:color="DBDBDB"/>
            </w:tcBorders>
            <w:shd w:val="clear" w:color="auto" w:fill="E7ECF0"/>
          </w:tcPr>
          <w:p>
            <w:pPr>
              <w:ind w:left="20"/>
              <w:spacing w:after="0"/>
              <w:rPr>
                <w:sz w:val="20"/>
                <w:szCs w:val="20"/>
                <w:color w:val="auto"/>
              </w:rPr>
            </w:pPr>
            <w:r>
              <w:rPr>
                <w:rFonts w:ascii="Arial" w:cs="Arial" w:eastAsia="Arial" w:hAnsi="Arial"/>
                <w:sz w:val="20"/>
                <w:szCs w:val="20"/>
                <w:color w:val="auto"/>
              </w:rPr>
              <w:t>Thomas A. Wimsett</w:t>
            </w:r>
          </w:p>
        </w:tc>
        <w:tc>
          <w:tcPr>
            <w:tcW w:w="4220" w:type="dxa"/>
            <w:vAlign w:val="bottom"/>
            <w:tcBorders>
              <w:bottom w:val="single" w:sz="8" w:color="DBDBDB"/>
            </w:tcBorders>
            <w:shd w:val="clear" w:color="auto" w:fill="E7ECF0"/>
          </w:tcPr>
          <w:p>
            <w:pPr>
              <w:ind w:left="320"/>
              <w:spacing w:after="0"/>
              <w:rPr>
                <w:sz w:val="20"/>
                <w:szCs w:val="20"/>
                <w:color w:val="auto"/>
              </w:rPr>
            </w:pPr>
            <w:r>
              <w:rPr>
                <w:rFonts w:ascii="Arial" w:cs="Arial" w:eastAsia="Arial" w:hAnsi="Arial"/>
                <w:sz w:val="20"/>
                <w:szCs w:val="20"/>
                <w:color w:val="auto"/>
              </w:rPr>
              <w:t>Director</w:t>
            </w:r>
          </w:p>
        </w:tc>
        <w:tc>
          <w:tcPr>
            <w:tcW w:w="2920" w:type="dxa"/>
            <w:vAlign w:val="bottom"/>
            <w:tcBorders>
              <w:bottom w:val="single" w:sz="8" w:color="DBDBDB"/>
            </w:tcBorders>
            <w:shd w:val="clear" w:color="auto" w:fill="E7ECF0"/>
          </w:tcPr>
          <w:p>
            <w:pPr>
              <w:jc w:val="center"/>
              <w:ind w:left="1021"/>
              <w:spacing w:after="0"/>
              <w:rPr>
                <w:sz w:val="20"/>
                <w:szCs w:val="20"/>
                <w:color w:val="auto"/>
              </w:rPr>
            </w:pPr>
            <w:r>
              <w:rPr>
                <w:rFonts w:ascii="Arial" w:cs="Arial" w:eastAsia="Arial" w:hAnsi="Arial"/>
                <w:sz w:val="20"/>
                <w:szCs w:val="20"/>
                <w:color w:val="auto"/>
                <w:w w:val="98"/>
              </w:rPr>
              <w:t>2012</w:t>
            </w:r>
          </w:p>
        </w:tc>
      </w:tr>
      <w:tr>
        <w:trPr>
          <w:trHeight w:val="277"/>
        </w:trPr>
        <w:tc>
          <w:tcPr>
            <w:tcW w:w="2260" w:type="dxa"/>
            <w:vAlign w:val="bottom"/>
            <w:tcBorders>
              <w:bottom w:val="single" w:sz="8" w:color="DBDBDB"/>
            </w:tcBorders>
          </w:tcPr>
          <w:p>
            <w:pPr>
              <w:ind w:left="20"/>
              <w:spacing w:after="0"/>
              <w:rPr>
                <w:sz w:val="20"/>
                <w:szCs w:val="20"/>
                <w:color w:val="auto"/>
              </w:rPr>
            </w:pPr>
            <w:r>
              <w:rPr>
                <w:rFonts w:ascii="Arial" w:cs="Arial" w:eastAsia="Arial" w:hAnsi="Arial"/>
                <w:sz w:val="20"/>
                <w:szCs w:val="20"/>
                <w:color w:val="auto"/>
              </w:rPr>
              <w:t>Shruti S. Miyashiro</w:t>
            </w:r>
          </w:p>
        </w:tc>
        <w:tc>
          <w:tcPr>
            <w:tcW w:w="4220" w:type="dxa"/>
            <w:vAlign w:val="bottom"/>
            <w:tcBorders>
              <w:bottom w:val="single" w:sz="8" w:color="DBDBDB"/>
            </w:tcBorders>
          </w:tcPr>
          <w:p>
            <w:pPr>
              <w:ind w:left="320"/>
              <w:spacing w:after="0"/>
              <w:rPr>
                <w:sz w:val="20"/>
                <w:szCs w:val="20"/>
                <w:color w:val="auto"/>
              </w:rPr>
            </w:pPr>
            <w:r>
              <w:rPr>
                <w:rFonts w:ascii="Arial" w:cs="Arial" w:eastAsia="Arial" w:hAnsi="Arial"/>
                <w:sz w:val="20"/>
                <w:szCs w:val="20"/>
                <w:color w:val="auto"/>
              </w:rPr>
              <w:t>Director</w:t>
            </w:r>
          </w:p>
        </w:tc>
        <w:tc>
          <w:tcPr>
            <w:tcW w:w="2920" w:type="dxa"/>
            <w:vAlign w:val="bottom"/>
            <w:tcBorders>
              <w:bottom w:val="single" w:sz="8" w:color="DBDBDB"/>
            </w:tcBorders>
          </w:tcPr>
          <w:p>
            <w:pPr>
              <w:jc w:val="center"/>
              <w:ind w:left="1021"/>
              <w:spacing w:after="0"/>
              <w:rPr>
                <w:sz w:val="20"/>
                <w:szCs w:val="20"/>
                <w:color w:val="auto"/>
              </w:rPr>
            </w:pPr>
            <w:r>
              <w:rPr>
                <w:rFonts w:ascii="Arial" w:cs="Arial" w:eastAsia="Arial" w:hAnsi="Arial"/>
                <w:sz w:val="20"/>
                <w:szCs w:val="20"/>
                <w:color w:val="auto"/>
                <w:w w:val="98"/>
              </w:rPr>
              <w:t>2015</w:t>
            </w:r>
          </w:p>
        </w:tc>
      </w:tr>
      <w:tr>
        <w:trPr>
          <w:trHeight w:val="277"/>
        </w:trPr>
        <w:tc>
          <w:tcPr>
            <w:tcW w:w="2260" w:type="dxa"/>
            <w:vAlign w:val="bottom"/>
            <w:tcBorders>
              <w:bottom w:val="single" w:sz="8" w:color="DBDBDB"/>
            </w:tcBorders>
            <w:shd w:val="clear" w:color="auto" w:fill="E7ECF0"/>
          </w:tcPr>
          <w:p>
            <w:pPr>
              <w:ind w:left="20"/>
              <w:spacing w:after="0"/>
              <w:rPr>
                <w:sz w:val="20"/>
                <w:szCs w:val="20"/>
                <w:color w:val="auto"/>
              </w:rPr>
            </w:pPr>
            <w:r>
              <w:rPr>
                <w:rFonts w:ascii="Arial" w:cs="Arial" w:eastAsia="Arial" w:hAnsi="Arial"/>
                <w:sz w:val="20"/>
                <w:szCs w:val="20"/>
                <w:color w:val="auto"/>
              </w:rPr>
              <w:t>Wesley A. Brown</w:t>
            </w:r>
          </w:p>
        </w:tc>
        <w:tc>
          <w:tcPr>
            <w:tcW w:w="4220" w:type="dxa"/>
            <w:vAlign w:val="bottom"/>
            <w:tcBorders>
              <w:bottom w:val="single" w:sz="8" w:color="DBDBDB"/>
            </w:tcBorders>
            <w:shd w:val="clear" w:color="auto" w:fill="E7ECF0"/>
          </w:tcPr>
          <w:p>
            <w:pPr>
              <w:ind w:left="320"/>
              <w:spacing w:after="0"/>
              <w:rPr>
                <w:sz w:val="20"/>
                <w:szCs w:val="20"/>
                <w:color w:val="auto"/>
              </w:rPr>
            </w:pPr>
            <w:r>
              <w:rPr>
                <w:rFonts w:ascii="Arial" w:cs="Arial" w:eastAsia="Arial" w:hAnsi="Arial"/>
                <w:sz w:val="20"/>
                <w:szCs w:val="20"/>
                <w:color w:val="auto"/>
              </w:rPr>
              <w:t>Director</w:t>
            </w:r>
          </w:p>
        </w:tc>
        <w:tc>
          <w:tcPr>
            <w:tcW w:w="2920" w:type="dxa"/>
            <w:vAlign w:val="bottom"/>
            <w:tcBorders>
              <w:bottom w:val="single" w:sz="8" w:color="DBDBDB"/>
            </w:tcBorders>
            <w:shd w:val="clear" w:color="auto" w:fill="E7ECF0"/>
          </w:tcPr>
          <w:p>
            <w:pPr>
              <w:jc w:val="center"/>
              <w:ind w:left="1021"/>
              <w:spacing w:after="0"/>
              <w:rPr>
                <w:sz w:val="20"/>
                <w:szCs w:val="20"/>
                <w:color w:val="auto"/>
              </w:rPr>
            </w:pPr>
            <w:r>
              <w:rPr>
                <w:rFonts w:ascii="Arial" w:cs="Arial" w:eastAsia="Arial" w:hAnsi="Arial"/>
                <w:sz w:val="20"/>
                <w:szCs w:val="20"/>
                <w:color w:val="auto"/>
                <w:w w:val="98"/>
              </w:rPr>
              <w:t>2015</w:t>
            </w:r>
          </w:p>
        </w:tc>
      </w:tr>
      <w:tr>
        <w:trPr>
          <w:trHeight w:val="277"/>
        </w:trPr>
        <w:tc>
          <w:tcPr>
            <w:tcW w:w="2260" w:type="dxa"/>
            <w:vAlign w:val="bottom"/>
            <w:tcBorders>
              <w:bottom w:val="single" w:sz="8" w:color="DBDBDB"/>
            </w:tcBorders>
          </w:tcPr>
          <w:p>
            <w:pPr>
              <w:ind w:left="20"/>
              <w:spacing w:after="0"/>
              <w:rPr>
                <w:sz w:val="20"/>
                <w:szCs w:val="20"/>
                <w:color w:val="auto"/>
              </w:rPr>
            </w:pPr>
            <w:r>
              <w:rPr>
                <w:rFonts w:ascii="Arial" w:cs="Arial" w:eastAsia="Arial" w:hAnsi="Arial"/>
                <w:sz w:val="20"/>
                <w:szCs w:val="20"/>
                <w:color w:val="auto"/>
              </w:rPr>
              <w:t>Curtis A. Campbell</w:t>
            </w:r>
          </w:p>
        </w:tc>
        <w:tc>
          <w:tcPr>
            <w:tcW w:w="4220" w:type="dxa"/>
            <w:vAlign w:val="bottom"/>
            <w:tcBorders>
              <w:bottom w:val="single" w:sz="8" w:color="DBDBDB"/>
            </w:tcBorders>
          </w:tcPr>
          <w:p>
            <w:pPr>
              <w:ind w:left="320"/>
              <w:spacing w:after="0"/>
              <w:rPr>
                <w:sz w:val="20"/>
                <w:szCs w:val="20"/>
                <w:color w:val="auto"/>
              </w:rPr>
            </w:pPr>
            <w:r>
              <w:rPr>
                <w:rFonts w:ascii="Arial" w:cs="Arial" w:eastAsia="Arial" w:hAnsi="Arial"/>
                <w:sz w:val="20"/>
                <w:szCs w:val="20"/>
                <w:color w:val="auto"/>
              </w:rPr>
              <w:t>Director</w:t>
            </w:r>
          </w:p>
        </w:tc>
        <w:tc>
          <w:tcPr>
            <w:tcW w:w="2920" w:type="dxa"/>
            <w:vAlign w:val="bottom"/>
            <w:tcBorders>
              <w:bottom w:val="single" w:sz="8" w:color="DBDBDB"/>
            </w:tcBorders>
          </w:tcPr>
          <w:p>
            <w:pPr>
              <w:jc w:val="center"/>
              <w:ind w:left="1021"/>
              <w:spacing w:after="0"/>
              <w:rPr>
                <w:sz w:val="20"/>
                <w:szCs w:val="20"/>
                <w:color w:val="auto"/>
              </w:rPr>
            </w:pPr>
            <w:r>
              <w:rPr>
                <w:rFonts w:ascii="Arial" w:cs="Arial" w:eastAsia="Arial" w:hAnsi="Arial"/>
                <w:sz w:val="20"/>
                <w:szCs w:val="20"/>
                <w:color w:val="auto"/>
                <w:w w:val="98"/>
              </w:rPr>
              <w:t>2021</w:t>
            </w:r>
          </w:p>
        </w:tc>
      </w:tr>
      <w:tr>
        <w:trPr>
          <w:trHeight w:val="277"/>
        </w:trPr>
        <w:tc>
          <w:tcPr>
            <w:tcW w:w="2260" w:type="dxa"/>
            <w:vAlign w:val="bottom"/>
            <w:tcBorders>
              <w:bottom w:val="single" w:sz="8" w:color="DBDBDB"/>
            </w:tcBorders>
            <w:shd w:val="clear" w:color="auto" w:fill="E7ECF0"/>
          </w:tcPr>
          <w:p>
            <w:pPr>
              <w:ind w:left="20"/>
              <w:spacing w:after="0"/>
              <w:rPr>
                <w:sz w:val="20"/>
                <w:szCs w:val="20"/>
                <w:color w:val="auto"/>
              </w:rPr>
            </w:pPr>
            <w:r>
              <w:rPr>
                <w:rFonts w:ascii="Arial" w:cs="Arial" w:eastAsia="Arial" w:hAnsi="Arial"/>
                <w:sz w:val="20"/>
                <w:szCs w:val="20"/>
                <w:color w:val="auto"/>
              </w:rPr>
              <w:t>Tammy S. LoCascio</w:t>
            </w:r>
          </w:p>
        </w:tc>
        <w:tc>
          <w:tcPr>
            <w:tcW w:w="4220" w:type="dxa"/>
            <w:vAlign w:val="bottom"/>
            <w:tcBorders>
              <w:bottom w:val="single" w:sz="8" w:color="DBDBDB"/>
            </w:tcBorders>
            <w:shd w:val="clear" w:color="auto" w:fill="E7ECF0"/>
          </w:tcPr>
          <w:p>
            <w:pPr>
              <w:ind w:left="320"/>
              <w:spacing w:after="0"/>
              <w:rPr>
                <w:sz w:val="20"/>
                <w:szCs w:val="20"/>
                <w:color w:val="auto"/>
              </w:rPr>
            </w:pPr>
            <w:r>
              <w:rPr>
                <w:rFonts w:ascii="Arial" w:cs="Arial" w:eastAsia="Arial" w:hAnsi="Arial"/>
                <w:sz w:val="20"/>
                <w:szCs w:val="20"/>
                <w:color w:val="auto"/>
              </w:rPr>
              <w:t>Director</w:t>
            </w:r>
          </w:p>
        </w:tc>
        <w:tc>
          <w:tcPr>
            <w:tcW w:w="2920" w:type="dxa"/>
            <w:vAlign w:val="bottom"/>
            <w:tcBorders>
              <w:bottom w:val="single" w:sz="8" w:color="DBDBDB"/>
            </w:tcBorders>
            <w:shd w:val="clear" w:color="auto" w:fill="E7ECF0"/>
          </w:tcPr>
          <w:p>
            <w:pPr>
              <w:jc w:val="center"/>
              <w:ind w:left="1021"/>
              <w:spacing w:after="0"/>
              <w:rPr>
                <w:sz w:val="20"/>
                <w:szCs w:val="20"/>
                <w:color w:val="auto"/>
              </w:rPr>
            </w:pPr>
            <w:r>
              <w:rPr>
                <w:rFonts w:ascii="Arial" w:cs="Arial" w:eastAsia="Arial" w:hAnsi="Arial"/>
                <w:sz w:val="20"/>
                <w:szCs w:val="20"/>
                <w:color w:val="auto"/>
                <w:w w:val="98"/>
              </w:rPr>
              <w:t>2024</w:t>
            </w:r>
          </w:p>
        </w:tc>
      </w:tr>
      <w:tr>
        <w:trPr>
          <w:trHeight w:val="277"/>
        </w:trPr>
        <w:tc>
          <w:tcPr>
            <w:tcW w:w="2260" w:type="dxa"/>
            <w:vAlign w:val="bottom"/>
            <w:tcBorders>
              <w:bottom w:val="single" w:sz="8" w:color="DBDBDB"/>
            </w:tcBorders>
          </w:tcPr>
          <w:p>
            <w:pPr>
              <w:ind w:left="20"/>
              <w:spacing w:after="0"/>
              <w:rPr>
                <w:sz w:val="20"/>
                <w:szCs w:val="20"/>
                <w:color w:val="auto"/>
              </w:rPr>
            </w:pPr>
            <w:r>
              <w:rPr>
                <w:rFonts w:ascii="Arial" w:cs="Arial" w:eastAsia="Arial" w:hAnsi="Arial"/>
                <w:sz w:val="20"/>
                <w:szCs w:val="20"/>
                <w:color w:val="auto"/>
              </w:rPr>
              <w:t>Lisa M. Nelson</w:t>
            </w:r>
          </w:p>
        </w:tc>
        <w:tc>
          <w:tcPr>
            <w:tcW w:w="4220" w:type="dxa"/>
            <w:vAlign w:val="bottom"/>
            <w:tcBorders>
              <w:bottom w:val="single" w:sz="8" w:color="DBDBDB"/>
            </w:tcBorders>
          </w:tcPr>
          <w:p>
            <w:pPr>
              <w:ind w:left="320"/>
              <w:spacing w:after="0"/>
              <w:rPr>
                <w:sz w:val="20"/>
                <w:szCs w:val="20"/>
                <w:color w:val="auto"/>
              </w:rPr>
            </w:pPr>
            <w:r>
              <w:rPr>
                <w:rFonts w:ascii="Arial" w:cs="Arial" w:eastAsia="Arial" w:hAnsi="Arial"/>
                <w:sz w:val="20"/>
                <w:szCs w:val="20"/>
                <w:color w:val="auto"/>
              </w:rPr>
              <w:t>Director</w:t>
            </w:r>
          </w:p>
        </w:tc>
        <w:tc>
          <w:tcPr>
            <w:tcW w:w="2920" w:type="dxa"/>
            <w:vAlign w:val="bottom"/>
            <w:tcBorders>
              <w:bottom w:val="single" w:sz="8" w:color="DBDBDB"/>
            </w:tcBorders>
          </w:tcPr>
          <w:p>
            <w:pPr>
              <w:jc w:val="center"/>
              <w:ind w:left="1021"/>
              <w:spacing w:after="0"/>
              <w:rPr>
                <w:sz w:val="20"/>
                <w:szCs w:val="20"/>
                <w:color w:val="auto"/>
              </w:rPr>
            </w:pPr>
            <w:r>
              <w:rPr>
                <w:rFonts w:ascii="Arial" w:cs="Arial" w:eastAsia="Arial" w:hAnsi="Arial"/>
                <w:sz w:val="20"/>
                <w:szCs w:val="20"/>
                <w:color w:val="auto"/>
                <w:w w:val="98"/>
              </w:rPr>
              <w:t>2024</w:t>
            </w:r>
          </w:p>
        </w:tc>
      </w:tr>
    </w:tbl>
    <w:p>
      <w:pPr>
        <w:spacing w:after="0" w:line="329" w:lineRule="exact"/>
        <w:rPr>
          <w:sz w:val="20"/>
          <w:szCs w:val="20"/>
          <w:color w:val="auto"/>
        </w:rPr>
      </w:pPr>
    </w:p>
    <w:p>
      <w:pPr>
        <w:jc w:val="both"/>
        <w:spacing w:after="0" w:line="262" w:lineRule="auto"/>
        <w:rPr>
          <w:sz w:val="20"/>
          <w:szCs w:val="20"/>
          <w:color w:val="auto"/>
        </w:rPr>
      </w:pPr>
      <w:r>
        <w:rPr>
          <w:rFonts w:ascii="Arial" w:cs="Arial" w:eastAsia="Arial" w:hAnsi="Arial"/>
          <w:sz w:val="20"/>
          <w:szCs w:val="20"/>
          <w:color w:val="auto"/>
        </w:rPr>
        <w:t>The Board has determined to nominate Mr. Brown as a continuing director to serve until the 2025 Annual Meeting despite Mr. Brown reaching the age of 70, which age ordinarily prevents a director's nomination based on the mandatory retirement restrictions in the Company's Corporate Governance Guidelines. The Corporate Governance Guidelines permit the Board to waive this restriction in the case of exceptional circumstances. The Board determined that the unfortunate and untimely passing of director Laura Kelly in fiscal 2024 qualified as such an exceptional circumstance and waived the restriction for Mr. Brown, which permitted Mr. Brown's nomination for director at the Annual Meeting.</w:t>
      </w:r>
    </w:p>
    <w:p>
      <w:pPr>
        <w:spacing w:after="0" w:line="22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Skills Matrix</w:t>
      </w:r>
    </w:p>
    <w:p>
      <w:pPr>
        <w:spacing w:after="0" w:line="258" w:lineRule="exact"/>
        <w:rPr>
          <w:sz w:val="20"/>
          <w:szCs w:val="20"/>
          <w:color w:val="auto"/>
        </w:rPr>
      </w:pPr>
    </w:p>
    <w:p>
      <w:pPr>
        <w:jc w:val="both"/>
        <w:spacing w:after="0" w:line="269" w:lineRule="auto"/>
        <w:rPr>
          <w:sz w:val="20"/>
          <w:szCs w:val="20"/>
          <w:color w:val="auto"/>
        </w:rPr>
      </w:pPr>
      <w:r>
        <w:rPr>
          <w:rFonts w:ascii="Arial" w:cs="Arial" w:eastAsia="Arial" w:hAnsi="Arial"/>
          <w:sz w:val="20"/>
          <w:szCs w:val="20"/>
          <w:color w:val="auto"/>
        </w:rPr>
        <w:t>We believe that all the Company’s directors possess required common attributes such as good judgment, intelligence, strategic perspective, financial literacy, and business experience. They each exhibit a strong commitment of time and attention to their roles as directors. We also have sought certain specific skills and backgrounds in our directors to provide an array of expertise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27940</wp:posOffset>
            </wp:positionV>
            <wp:extent cx="7132320" cy="3511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351155"/>
                    </a:xfrm>
                    <a:prstGeom prst="rect">
                      <a:avLst/>
                    </a:prstGeom>
                    <a:noFill/>
                  </pic:spPr>
                </pic:pic>
              </a:graphicData>
            </a:graphic>
          </wp:anchor>
        </w:drawing>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10940" w:type="dxa"/>
            <w:vAlign w:val="bottom"/>
          </w:tcPr>
          <w:p>
            <w:pPr>
              <w:ind w:left="9000"/>
              <w:spacing w:after="0"/>
              <w:rPr>
                <w:sz w:val="20"/>
                <w:szCs w:val="20"/>
                <w:color w:val="auto"/>
              </w:rPr>
            </w:pPr>
            <w:r>
              <w:rPr>
                <w:rFonts w:ascii="Arial" w:cs="Arial" w:eastAsia="Arial" w:hAnsi="Arial"/>
                <w:sz w:val="18"/>
                <w:szCs w:val="18"/>
                <w:color w:val="auto"/>
              </w:rPr>
              <w:t>2024 Proxy Statement</w:t>
            </w:r>
          </w:p>
        </w:tc>
        <w:tc>
          <w:tcPr>
            <w:tcW w:w="300" w:type="dxa"/>
            <w:vAlign w:val="bottom"/>
          </w:tcPr>
          <w:p>
            <w:pPr>
              <w:jc w:val="right"/>
              <w:spacing w:after="0"/>
              <w:rPr>
                <w:sz w:val="20"/>
                <w:szCs w:val="20"/>
                <w:color w:val="auto"/>
              </w:rPr>
            </w:pPr>
            <w:r>
              <w:rPr>
                <w:rFonts w:ascii="Arial" w:cs="Arial" w:eastAsia="Arial" w:hAnsi="Arial"/>
                <w:sz w:val="18"/>
                <w:szCs w:val="18"/>
                <w:color w:val="1E3767"/>
              </w:rPr>
              <w:t>5</w:t>
            </w:r>
          </w:p>
        </w:tc>
      </w:tr>
      <w:tr>
        <w:trPr>
          <w:trHeight w:val="395"/>
        </w:trPr>
        <w:tc>
          <w:tcPr>
            <w:tcW w:w="1094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01" w:right="339" w:bottom="1440" w:gutter="0" w:footer="0" w:header="0"/>
        </w:sectPr>
      </w:pPr>
    </w:p>
    <w:bookmarkStart w:id="8" w:name="page9"/>
    <w:bookmarkEnd w:id="8"/>
    <w:p>
      <w:pPr>
        <w:jc w:val="both"/>
        <w:spacing w:after="0" w:line="276" w:lineRule="auto"/>
        <w:rPr>
          <w:sz w:val="20"/>
          <w:szCs w:val="20"/>
          <w:color w:val="auto"/>
        </w:rPr>
      </w:pPr>
      <w:r>
        <w:rPr>
          <w:rFonts w:ascii="Arial" w:cs="Arial" w:eastAsia="Arial" w:hAnsi="Arial"/>
          <w:sz w:val="20"/>
          <w:szCs w:val="20"/>
          <w:color w:val="auto"/>
        </w:rPr>
        <w:t>the Board. The chart below summarizes certain specific qualifications, attributes, and skills for each director nominee. A mark indicates a specific area of focus or expertise of a director on which the Board relies, but a lack of a mark does not mean that an individual does not possess that skill.</w:t>
      </w:r>
    </w:p>
    <w:p>
      <w:pPr>
        <w:sectPr>
          <w:pgSz w:w="11900" w:h="16838" w:orient="portrait"/>
          <w:cols w:equalWidth="0" w:num="1">
            <w:col w:w="11240"/>
          </w:cols>
          <w:pgMar w:left="320" w:top="901" w:right="339" w:bottom="150" w:gutter="0" w:footer="0" w:header="0"/>
        </w:sectPr>
      </w:pPr>
    </w:p>
    <w:p>
      <w:pPr>
        <w:spacing w:after="0" w:line="393" w:lineRule="exact"/>
        <w:rPr>
          <w:sz w:val="20"/>
          <w:szCs w:val="20"/>
          <w:color w:val="auto"/>
        </w:rPr>
      </w:pPr>
    </w:p>
    <w:p>
      <w:pPr>
        <w:ind w:left="160"/>
        <w:spacing w:after="0"/>
        <w:rPr>
          <w:sz w:val="20"/>
          <w:szCs w:val="20"/>
          <w:color w:val="auto"/>
        </w:rPr>
      </w:pPr>
      <w:r>
        <w:rPr>
          <w:rFonts w:ascii="Arial" w:cs="Arial" w:eastAsia="Arial" w:hAnsi="Arial"/>
          <w:sz w:val="20"/>
          <w:szCs w:val="20"/>
          <w:b w:val="1"/>
          <w:bCs w:val="1"/>
          <w:color w:val="auto"/>
        </w:rPr>
        <w:t>Expertise</w:t>
      </w:r>
    </w:p>
    <w:p>
      <w:pPr>
        <w:spacing w:after="0" w:line="225" w:lineRule="exact"/>
        <w:rPr>
          <w:sz w:val="20"/>
          <w:szCs w:val="20"/>
          <w:color w:val="auto"/>
        </w:rPr>
      </w:pPr>
    </w:p>
    <w:p>
      <w:pPr>
        <w:ind w:left="160"/>
        <w:spacing w:after="0"/>
        <w:rPr>
          <w:sz w:val="20"/>
          <w:szCs w:val="20"/>
          <w:color w:val="auto"/>
        </w:rPr>
      </w:pPr>
      <w:r>
        <w:rPr>
          <w:rFonts w:ascii="Arial" w:cs="Arial" w:eastAsia="Arial" w:hAnsi="Arial"/>
          <w:sz w:val="16"/>
          <w:szCs w:val="16"/>
          <w:color w:val="auto"/>
        </w:rPr>
        <w:t>Leadership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160"/>
        <w:spacing w:after="0"/>
        <w:rPr>
          <w:sz w:val="20"/>
          <w:szCs w:val="20"/>
          <w:color w:val="auto"/>
        </w:rPr>
      </w:pPr>
      <w:r>
        <w:rPr>
          <w:rFonts w:ascii="Arial" w:cs="Arial" w:eastAsia="Arial" w:hAnsi="Arial"/>
          <w:sz w:val="16"/>
          <w:szCs w:val="16"/>
          <w:color w:val="auto"/>
        </w:rPr>
        <w:t>Finance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160"/>
        <w:spacing w:after="0"/>
        <w:rPr>
          <w:sz w:val="20"/>
          <w:szCs w:val="20"/>
          <w:color w:val="auto"/>
        </w:rPr>
      </w:pPr>
      <w:r>
        <w:rPr>
          <w:rFonts w:ascii="Arial" w:cs="Arial" w:eastAsia="Arial" w:hAnsi="Arial"/>
          <w:sz w:val="16"/>
          <w:szCs w:val="16"/>
          <w:color w:val="auto"/>
        </w:rPr>
        <w:t>Financial Services Industry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160"/>
        <w:spacing w:after="0"/>
        <w:rPr>
          <w:sz w:val="20"/>
          <w:szCs w:val="20"/>
          <w:color w:val="auto"/>
        </w:rPr>
      </w:pPr>
      <w:r>
        <w:rPr>
          <w:rFonts w:ascii="Arial" w:cs="Arial" w:eastAsia="Arial" w:hAnsi="Arial"/>
          <w:sz w:val="16"/>
          <w:szCs w:val="16"/>
          <w:color w:val="auto"/>
        </w:rPr>
        <w:t>Regulatory Compliance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160"/>
        <w:spacing w:after="0" w:line="268" w:lineRule="auto"/>
        <w:rPr>
          <w:sz w:val="20"/>
          <w:szCs w:val="20"/>
          <w:color w:val="auto"/>
        </w:rPr>
      </w:pPr>
      <w:r>
        <w:rPr>
          <w:rFonts w:ascii="Arial" w:cs="Arial" w:eastAsia="Arial" w:hAnsi="Arial"/>
          <w:sz w:val="16"/>
          <w:szCs w:val="16"/>
          <w:color w:val="auto"/>
        </w:rPr>
        <w:t>Other Public Company Board or Governance</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160"/>
        <w:spacing w:after="0"/>
        <w:rPr>
          <w:sz w:val="20"/>
          <w:szCs w:val="20"/>
          <w:color w:val="auto"/>
        </w:rPr>
      </w:pPr>
      <w:r>
        <w:rPr>
          <w:rFonts w:ascii="Arial" w:cs="Arial" w:eastAsia="Arial" w:hAnsi="Arial"/>
          <w:sz w:val="16"/>
          <w:szCs w:val="16"/>
          <w:color w:val="auto"/>
        </w:rPr>
        <w:t>Technology and Innovation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160" w:right="240"/>
        <w:spacing w:after="0" w:line="268" w:lineRule="auto"/>
        <w:rPr>
          <w:sz w:val="20"/>
          <w:szCs w:val="20"/>
          <w:color w:val="auto"/>
        </w:rPr>
      </w:pPr>
      <w:r>
        <w:rPr>
          <w:rFonts w:ascii="Arial" w:cs="Arial" w:eastAsia="Arial" w:hAnsi="Arial"/>
          <w:sz w:val="16"/>
          <w:szCs w:val="16"/>
          <w:color w:val="auto"/>
        </w:rPr>
        <w:t>Strategy and Mergers and Acquisitions</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160" w:right="480"/>
        <w:spacing w:after="0" w:line="268" w:lineRule="auto"/>
        <w:rPr>
          <w:sz w:val="20"/>
          <w:szCs w:val="20"/>
          <w:color w:val="auto"/>
        </w:rPr>
      </w:pPr>
      <w:r>
        <w:rPr>
          <w:rFonts w:ascii="Arial" w:cs="Arial" w:eastAsia="Arial" w:hAnsi="Arial"/>
          <w:sz w:val="16"/>
          <w:szCs w:val="16"/>
          <w:color w:val="auto"/>
        </w:rPr>
        <w:t>Risk Management and Cybersecurity</w:t>
      </w:r>
    </w:p>
    <w:p>
      <w:pPr>
        <w:spacing w:after="0" w:line="20" w:lineRule="exact"/>
        <w:rPr>
          <w:sz w:val="20"/>
          <w:szCs w:val="20"/>
          <w:color w:val="auto"/>
        </w:rPr>
      </w:pPr>
      <w:r>
        <w:rPr>
          <w:sz w:val="20"/>
          <w:szCs w:val="20"/>
          <w:color w:val="auto"/>
        </w:rPr>
        <w:br w:type="column"/>
      </w:r>
    </w:p>
    <w:p>
      <w:pPr>
        <w:spacing w:after="0" w:line="197" w:lineRule="exact"/>
        <w:rPr>
          <w:sz w:val="20"/>
          <w:szCs w:val="20"/>
          <w:color w:val="auto"/>
        </w:rPr>
      </w:pPr>
    </w:p>
    <w:p>
      <w:pPr>
        <w:jc w:val="center"/>
        <w:ind w:right="280"/>
        <w:spacing w:after="0"/>
        <w:rPr>
          <w:sz w:val="20"/>
          <w:szCs w:val="20"/>
          <w:color w:val="auto"/>
        </w:rPr>
      </w:pPr>
      <w:r>
        <w:rPr>
          <w:rFonts w:ascii="Arial" w:cs="Arial" w:eastAsia="Arial" w:hAnsi="Arial"/>
          <w:sz w:val="20"/>
          <w:szCs w:val="20"/>
          <w:b w:val="1"/>
          <w:bCs w:val="1"/>
          <w:color w:val="auto"/>
        </w:rPr>
        <w:t>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-1572260</wp:posOffset>
            </wp:positionH>
            <wp:positionV relativeFrom="paragraph">
              <wp:posOffset>-139065</wp:posOffset>
            </wp:positionV>
            <wp:extent cx="7029450" cy="3943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029450" cy="394335"/>
                    </a:xfrm>
                    <a:prstGeom prst="rect">
                      <a:avLst/>
                    </a:prstGeom>
                    <a:noFill/>
                  </pic:spPr>
                </pic:pic>
              </a:graphicData>
            </a:graphic>
          </wp:anchor>
        </w:drawing>
      </w:r>
    </w:p>
    <w:p>
      <w:pPr>
        <w:spacing w:after="0" w:line="5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60" w:type="dxa"/>
            <w:vAlign w:val="bottom"/>
          </w:tcPr>
          <w:p>
            <w:pPr>
              <w:spacing w:after="0"/>
              <w:rPr>
                <w:sz w:val="20"/>
                <w:szCs w:val="20"/>
                <w:color w:val="auto"/>
              </w:rPr>
            </w:pPr>
            <w:r>
              <w:rPr>
                <w:rFonts w:ascii="Arial" w:cs="Arial" w:eastAsia="Arial" w:hAnsi="Arial"/>
                <w:sz w:val="15"/>
                <w:szCs w:val="15"/>
                <w:b w:val="1"/>
                <w:bCs w:val="1"/>
                <w:color w:val="auto"/>
              </w:rPr>
              <w:t>Foss</w:t>
            </w:r>
          </w:p>
        </w:tc>
        <w:tc>
          <w:tcPr>
            <w:tcW w:w="1040" w:type="dxa"/>
            <w:vAlign w:val="bottom"/>
          </w:tcPr>
          <w:p>
            <w:pPr>
              <w:ind w:left="200"/>
              <w:spacing w:after="0"/>
              <w:rPr>
                <w:sz w:val="20"/>
                <w:szCs w:val="20"/>
                <w:color w:val="auto"/>
              </w:rPr>
            </w:pPr>
            <w:r>
              <w:rPr>
                <w:rFonts w:ascii="Arial" w:cs="Arial" w:eastAsia="Arial" w:hAnsi="Arial"/>
                <w:sz w:val="15"/>
                <w:szCs w:val="15"/>
                <w:b w:val="1"/>
                <w:bCs w:val="1"/>
                <w:color w:val="auto"/>
              </w:rPr>
              <w:t>Flanigan</w:t>
            </w:r>
          </w:p>
        </w:tc>
        <w:tc>
          <w:tcPr>
            <w:tcW w:w="900" w:type="dxa"/>
            <w:vAlign w:val="bottom"/>
          </w:tcPr>
          <w:p>
            <w:pPr>
              <w:ind w:left="200"/>
              <w:spacing w:after="0"/>
              <w:rPr>
                <w:sz w:val="20"/>
                <w:szCs w:val="20"/>
                <w:color w:val="auto"/>
              </w:rPr>
            </w:pPr>
            <w:r>
              <w:rPr>
                <w:rFonts w:ascii="Arial" w:cs="Arial" w:eastAsia="Arial" w:hAnsi="Arial"/>
                <w:sz w:val="15"/>
                <w:szCs w:val="15"/>
                <w:b w:val="1"/>
                <w:bCs w:val="1"/>
                <w:color w:val="auto"/>
              </w:rPr>
              <w:t>Wilson</w:t>
            </w:r>
          </w:p>
        </w:tc>
        <w:tc>
          <w:tcPr>
            <w:tcW w:w="1000" w:type="dxa"/>
            <w:vAlign w:val="bottom"/>
          </w:tcPr>
          <w:p>
            <w:pPr>
              <w:ind w:left="200"/>
              <w:spacing w:after="0"/>
              <w:rPr>
                <w:sz w:val="20"/>
                <w:szCs w:val="20"/>
                <w:color w:val="auto"/>
              </w:rPr>
            </w:pPr>
            <w:r>
              <w:rPr>
                <w:rFonts w:ascii="Arial" w:cs="Arial" w:eastAsia="Arial" w:hAnsi="Arial"/>
                <w:sz w:val="15"/>
                <w:szCs w:val="15"/>
                <w:b w:val="1"/>
                <w:bCs w:val="1"/>
                <w:color w:val="auto"/>
              </w:rPr>
              <w:t>Wimsett</w:t>
            </w:r>
          </w:p>
        </w:tc>
        <w:tc>
          <w:tcPr>
            <w:tcW w:w="1140" w:type="dxa"/>
            <w:vAlign w:val="bottom"/>
          </w:tcPr>
          <w:p>
            <w:pPr>
              <w:ind w:left="220"/>
              <w:spacing w:after="0"/>
              <w:rPr>
                <w:sz w:val="20"/>
                <w:szCs w:val="20"/>
                <w:color w:val="auto"/>
              </w:rPr>
            </w:pPr>
            <w:r>
              <w:rPr>
                <w:rFonts w:ascii="Arial" w:cs="Arial" w:eastAsia="Arial" w:hAnsi="Arial"/>
                <w:sz w:val="15"/>
                <w:szCs w:val="15"/>
                <w:b w:val="1"/>
                <w:bCs w:val="1"/>
                <w:color w:val="auto"/>
              </w:rPr>
              <w:t>Miyashiro</w:t>
            </w:r>
          </w:p>
        </w:tc>
        <w:tc>
          <w:tcPr>
            <w:tcW w:w="880" w:type="dxa"/>
            <w:vAlign w:val="bottom"/>
          </w:tcPr>
          <w:p>
            <w:pPr>
              <w:ind w:left="200"/>
              <w:spacing w:after="0"/>
              <w:rPr>
                <w:sz w:val="20"/>
                <w:szCs w:val="20"/>
                <w:color w:val="auto"/>
              </w:rPr>
            </w:pPr>
            <w:r>
              <w:rPr>
                <w:rFonts w:ascii="Arial" w:cs="Arial" w:eastAsia="Arial" w:hAnsi="Arial"/>
                <w:sz w:val="15"/>
                <w:szCs w:val="15"/>
                <w:b w:val="1"/>
                <w:bCs w:val="1"/>
                <w:color w:val="auto"/>
              </w:rPr>
              <w:t>Brown</w:t>
            </w:r>
          </w:p>
        </w:tc>
        <w:tc>
          <w:tcPr>
            <w:tcW w:w="1100" w:type="dxa"/>
            <w:vAlign w:val="bottom"/>
          </w:tcPr>
          <w:p>
            <w:pPr>
              <w:ind w:left="200"/>
              <w:spacing w:after="0"/>
              <w:rPr>
                <w:sz w:val="20"/>
                <w:szCs w:val="20"/>
                <w:color w:val="auto"/>
              </w:rPr>
            </w:pPr>
            <w:r>
              <w:rPr>
                <w:rFonts w:ascii="Arial" w:cs="Arial" w:eastAsia="Arial" w:hAnsi="Arial"/>
                <w:sz w:val="15"/>
                <w:szCs w:val="15"/>
                <w:b w:val="1"/>
                <w:bCs w:val="1"/>
                <w:color w:val="auto"/>
              </w:rPr>
              <w:t>Campbell</w:t>
            </w:r>
          </w:p>
        </w:tc>
        <w:tc>
          <w:tcPr>
            <w:tcW w:w="1100" w:type="dxa"/>
            <w:vAlign w:val="bottom"/>
          </w:tcPr>
          <w:p>
            <w:pPr>
              <w:ind w:left="200"/>
              <w:spacing w:after="0"/>
              <w:rPr>
                <w:sz w:val="20"/>
                <w:szCs w:val="20"/>
                <w:color w:val="auto"/>
              </w:rPr>
            </w:pPr>
            <w:r>
              <w:rPr>
                <w:rFonts w:ascii="Arial" w:cs="Arial" w:eastAsia="Arial" w:hAnsi="Arial"/>
                <w:sz w:val="15"/>
                <w:szCs w:val="15"/>
                <w:b w:val="1"/>
                <w:bCs w:val="1"/>
                <w:color w:val="auto"/>
              </w:rPr>
              <w:t>LoCascio</w:t>
            </w:r>
          </w:p>
        </w:tc>
        <w:tc>
          <w:tcPr>
            <w:tcW w:w="700" w:type="dxa"/>
            <w:vAlign w:val="bottom"/>
          </w:tcPr>
          <w:p>
            <w:pPr>
              <w:ind w:left="200"/>
              <w:spacing w:after="0"/>
              <w:rPr>
                <w:sz w:val="20"/>
                <w:szCs w:val="20"/>
                <w:color w:val="auto"/>
              </w:rPr>
            </w:pPr>
            <w:r>
              <w:rPr>
                <w:rFonts w:ascii="Arial" w:cs="Arial" w:eastAsia="Arial" w:hAnsi="Arial"/>
                <w:sz w:val="15"/>
                <w:szCs w:val="15"/>
                <w:b w:val="1"/>
                <w:bCs w:val="1"/>
                <w:color w:val="auto"/>
                <w:w w:val="95"/>
              </w:rPr>
              <w:t>Nelson</w:t>
            </w:r>
          </w:p>
        </w:tc>
      </w:tr>
      <w:tr>
        <w:trPr>
          <w:trHeight w:val="919"/>
        </w:trPr>
        <w:tc>
          <w:tcPr>
            <w:tcW w:w="560" w:type="dxa"/>
            <w:vAlign w:val="bottom"/>
          </w:tcPr>
          <w:p>
            <w:pPr>
              <w:ind w:left="60"/>
              <w:spacing w:after="0"/>
              <w:rPr>
                <w:sz w:val="20"/>
                <w:szCs w:val="20"/>
                <w:color w:val="auto"/>
              </w:rPr>
            </w:pPr>
            <w:r>
              <w:rPr>
                <w:rFonts w:ascii="Arial" w:cs="Arial" w:eastAsia="Arial" w:hAnsi="Arial"/>
                <w:sz w:val="43"/>
                <w:szCs w:val="43"/>
                <w:color w:val="auto"/>
              </w:rPr>
              <w:t>•</w:t>
            </w:r>
          </w:p>
        </w:tc>
        <w:tc>
          <w:tcPr>
            <w:tcW w:w="1040" w:type="dxa"/>
            <w:vAlign w:val="bottom"/>
          </w:tcPr>
          <w:p>
            <w:pPr>
              <w:ind w:left="400"/>
              <w:spacing w:after="0"/>
              <w:rPr>
                <w:sz w:val="20"/>
                <w:szCs w:val="20"/>
                <w:color w:val="auto"/>
              </w:rPr>
            </w:pPr>
            <w:r>
              <w:rPr>
                <w:rFonts w:ascii="Arial" w:cs="Arial" w:eastAsia="Arial" w:hAnsi="Arial"/>
                <w:sz w:val="43"/>
                <w:szCs w:val="43"/>
                <w:color w:val="auto"/>
              </w:rPr>
              <w:t>•</w:t>
            </w:r>
          </w:p>
        </w:tc>
        <w:tc>
          <w:tcPr>
            <w:tcW w:w="900" w:type="dxa"/>
            <w:vAlign w:val="bottom"/>
          </w:tcPr>
          <w:p>
            <w:pPr>
              <w:ind w:left="320"/>
              <w:spacing w:after="0"/>
              <w:rPr>
                <w:sz w:val="20"/>
                <w:szCs w:val="20"/>
                <w:color w:val="auto"/>
              </w:rPr>
            </w:pPr>
            <w:r>
              <w:rPr>
                <w:rFonts w:ascii="Arial" w:cs="Arial" w:eastAsia="Arial" w:hAnsi="Arial"/>
                <w:sz w:val="43"/>
                <w:szCs w:val="43"/>
                <w:color w:val="auto"/>
              </w:rPr>
              <w:t>•</w:t>
            </w:r>
          </w:p>
        </w:tc>
        <w:tc>
          <w:tcPr>
            <w:tcW w:w="1000" w:type="dxa"/>
            <w:vAlign w:val="bottom"/>
          </w:tcPr>
          <w:p>
            <w:pPr>
              <w:ind w:left="360"/>
              <w:spacing w:after="0"/>
              <w:rPr>
                <w:sz w:val="20"/>
                <w:szCs w:val="20"/>
                <w:color w:val="auto"/>
              </w:rPr>
            </w:pPr>
            <w:r>
              <w:rPr>
                <w:rFonts w:ascii="Arial" w:cs="Arial" w:eastAsia="Arial" w:hAnsi="Arial"/>
                <w:sz w:val="43"/>
                <w:szCs w:val="43"/>
                <w:color w:val="auto"/>
              </w:rPr>
              <w:t>•</w:t>
            </w:r>
          </w:p>
        </w:tc>
        <w:tc>
          <w:tcPr>
            <w:tcW w:w="1140" w:type="dxa"/>
            <w:vAlign w:val="bottom"/>
          </w:tcPr>
          <w:p>
            <w:pPr>
              <w:ind w:left="460"/>
              <w:spacing w:after="0"/>
              <w:rPr>
                <w:sz w:val="20"/>
                <w:szCs w:val="20"/>
                <w:color w:val="auto"/>
              </w:rPr>
            </w:pPr>
            <w:r>
              <w:rPr>
                <w:rFonts w:ascii="Arial" w:cs="Arial" w:eastAsia="Arial" w:hAnsi="Arial"/>
                <w:sz w:val="43"/>
                <w:szCs w:val="43"/>
                <w:color w:val="auto"/>
              </w:rPr>
              <w:t>•</w:t>
            </w:r>
          </w:p>
        </w:tc>
        <w:tc>
          <w:tcPr>
            <w:tcW w:w="880" w:type="dxa"/>
            <w:vAlign w:val="bottom"/>
          </w:tcPr>
          <w:p>
            <w:pPr>
              <w:spacing w:after="0"/>
              <w:rPr>
                <w:sz w:val="24"/>
                <w:szCs w:val="24"/>
                <w:color w:val="auto"/>
              </w:rPr>
            </w:pPr>
          </w:p>
        </w:tc>
        <w:tc>
          <w:tcPr>
            <w:tcW w:w="1100" w:type="dxa"/>
            <w:vAlign w:val="bottom"/>
          </w:tcPr>
          <w:p>
            <w:pPr>
              <w:ind w:left="420"/>
              <w:spacing w:after="0"/>
              <w:rPr>
                <w:sz w:val="20"/>
                <w:szCs w:val="20"/>
                <w:color w:val="auto"/>
              </w:rPr>
            </w:pPr>
            <w:r>
              <w:rPr>
                <w:rFonts w:ascii="Arial" w:cs="Arial" w:eastAsia="Arial" w:hAnsi="Arial"/>
                <w:sz w:val="43"/>
                <w:szCs w:val="43"/>
                <w:color w:val="auto"/>
              </w:rPr>
              <w:t>•</w:t>
            </w:r>
          </w:p>
        </w:tc>
        <w:tc>
          <w:tcPr>
            <w:tcW w:w="1100" w:type="dxa"/>
            <w:vAlign w:val="bottom"/>
          </w:tcPr>
          <w:p>
            <w:pPr>
              <w:ind w:left="420"/>
              <w:spacing w:after="0"/>
              <w:rPr>
                <w:sz w:val="20"/>
                <w:szCs w:val="20"/>
                <w:color w:val="auto"/>
              </w:rPr>
            </w:pPr>
            <w:r>
              <w:rPr>
                <w:rFonts w:ascii="Arial" w:cs="Arial" w:eastAsia="Arial" w:hAnsi="Arial"/>
                <w:sz w:val="43"/>
                <w:szCs w:val="43"/>
                <w:color w:val="auto"/>
              </w:rPr>
              <w:t>•</w:t>
            </w:r>
          </w:p>
        </w:tc>
        <w:tc>
          <w:tcPr>
            <w:tcW w:w="700" w:type="dxa"/>
            <w:vAlign w:val="bottom"/>
          </w:tcPr>
          <w:p>
            <w:pPr>
              <w:ind w:left="320"/>
              <w:spacing w:after="0"/>
              <w:rPr>
                <w:sz w:val="20"/>
                <w:szCs w:val="20"/>
                <w:color w:val="auto"/>
              </w:rPr>
            </w:pPr>
            <w:r>
              <w:rPr>
                <w:rFonts w:ascii="Arial" w:cs="Arial" w:eastAsia="Arial" w:hAnsi="Arial"/>
                <w:sz w:val="43"/>
                <w:szCs w:val="43"/>
                <w:color w:val="auto"/>
              </w:rPr>
              <w:t>•</w:t>
            </w:r>
          </w:p>
        </w:tc>
      </w:tr>
      <w:tr>
        <w:trPr>
          <w:trHeight w:val="1053"/>
        </w:trPr>
        <w:tc>
          <w:tcPr>
            <w:tcW w:w="560" w:type="dxa"/>
            <w:vAlign w:val="bottom"/>
          </w:tcPr>
          <w:p>
            <w:pPr>
              <w:ind w:left="60"/>
              <w:spacing w:after="0"/>
              <w:rPr>
                <w:sz w:val="20"/>
                <w:szCs w:val="20"/>
                <w:color w:val="auto"/>
              </w:rPr>
            </w:pPr>
            <w:r>
              <w:rPr>
                <w:rFonts w:ascii="Arial" w:cs="Arial" w:eastAsia="Arial" w:hAnsi="Arial"/>
                <w:sz w:val="43"/>
                <w:szCs w:val="43"/>
                <w:color w:val="auto"/>
              </w:rPr>
              <w:t>•</w:t>
            </w:r>
          </w:p>
        </w:tc>
        <w:tc>
          <w:tcPr>
            <w:tcW w:w="1040" w:type="dxa"/>
            <w:vAlign w:val="bottom"/>
          </w:tcPr>
          <w:p>
            <w:pPr>
              <w:ind w:left="400"/>
              <w:spacing w:after="0"/>
              <w:rPr>
                <w:sz w:val="20"/>
                <w:szCs w:val="20"/>
                <w:color w:val="auto"/>
              </w:rPr>
            </w:pPr>
            <w:r>
              <w:rPr>
                <w:rFonts w:ascii="Arial" w:cs="Arial" w:eastAsia="Arial" w:hAnsi="Arial"/>
                <w:sz w:val="43"/>
                <w:szCs w:val="43"/>
                <w:color w:val="auto"/>
              </w:rPr>
              <w:t>•</w:t>
            </w:r>
          </w:p>
        </w:tc>
        <w:tc>
          <w:tcPr>
            <w:tcW w:w="900" w:type="dxa"/>
            <w:vAlign w:val="bottom"/>
          </w:tcPr>
          <w:p>
            <w:pPr>
              <w:ind w:left="320"/>
              <w:spacing w:after="0"/>
              <w:rPr>
                <w:sz w:val="20"/>
                <w:szCs w:val="20"/>
                <w:color w:val="auto"/>
              </w:rPr>
            </w:pPr>
            <w:r>
              <w:rPr>
                <w:rFonts w:ascii="Arial" w:cs="Arial" w:eastAsia="Arial" w:hAnsi="Arial"/>
                <w:sz w:val="43"/>
                <w:szCs w:val="43"/>
                <w:color w:val="auto"/>
              </w:rPr>
              <w:t>•</w:t>
            </w:r>
          </w:p>
        </w:tc>
        <w:tc>
          <w:tcPr>
            <w:tcW w:w="1000" w:type="dxa"/>
            <w:vAlign w:val="bottom"/>
          </w:tcPr>
          <w:p>
            <w:pPr>
              <w:ind w:left="360"/>
              <w:spacing w:after="0"/>
              <w:rPr>
                <w:sz w:val="20"/>
                <w:szCs w:val="20"/>
                <w:color w:val="auto"/>
              </w:rPr>
            </w:pPr>
            <w:r>
              <w:rPr>
                <w:rFonts w:ascii="Arial" w:cs="Arial" w:eastAsia="Arial" w:hAnsi="Arial"/>
                <w:sz w:val="43"/>
                <w:szCs w:val="43"/>
                <w:color w:val="auto"/>
              </w:rPr>
              <w:t>•</w:t>
            </w:r>
          </w:p>
        </w:tc>
        <w:tc>
          <w:tcPr>
            <w:tcW w:w="1140" w:type="dxa"/>
            <w:vAlign w:val="bottom"/>
          </w:tcPr>
          <w:p>
            <w:pPr>
              <w:spacing w:after="0"/>
              <w:rPr>
                <w:sz w:val="24"/>
                <w:szCs w:val="24"/>
                <w:color w:val="auto"/>
              </w:rPr>
            </w:pPr>
          </w:p>
        </w:tc>
        <w:tc>
          <w:tcPr>
            <w:tcW w:w="880" w:type="dxa"/>
            <w:vAlign w:val="bottom"/>
          </w:tcPr>
          <w:p>
            <w:pPr>
              <w:ind w:left="300"/>
              <w:spacing w:after="0"/>
              <w:rPr>
                <w:sz w:val="20"/>
                <w:szCs w:val="20"/>
                <w:color w:val="auto"/>
              </w:rPr>
            </w:pPr>
            <w:r>
              <w:rPr>
                <w:rFonts w:ascii="Arial" w:cs="Arial" w:eastAsia="Arial" w:hAnsi="Arial"/>
                <w:sz w:val="43"/>
                <w:szCs w:val="43"/>
                <w:color w:val="auto"/>
              </w:rPr>
              <w:t>•</w:t>
            </w:r>
          </w:p>
        </w:tc>
        <w:tc>
          <w:tcPr>
            <w:tcW w:w="1100" w:type="dxa"/>
            <w:vAlign w:val="bottom"/>
          </w:tcPr>
          <w:p>
            <w:pPr>
              <w:spacing w:after="0"/>
              <w:rPr>
                <w:sz w:val="24"/>
                <w:szCs w:val="24"/>
                <w:color w:val="auto"/>
              </w:rPr>
            </w:pPr>
          </w:p>
        </w:tc>
        <w:tc>
          <w:tcPr>
            <w:tcW w:w="1100" w:type="dxa"/>
            <w:vAlign w:val="bottom"/>
          </w:tcPr>
          <w:p>
            <w:pPr>
              <w:ind w:left="420"/>
              <w:spacing w:after="0"/>
              <w:rPr>
                <w:sz w:val="20"/>
                <w:szCs w:val="20"/>
                <w:color w:val="auto"/>
              </w:rPr>
            </w:pPr>
            <w:r>
              <w:rPr>
                <w:rFonts w:ascii="Arial" w:cs="Arial" w:eastAsia="Arial" w:hAnsi="Arial"/>
                <w:sz w:val="43"/>
                <w:szCs w:val="43"/>
                <w:color w:val="auto"/>
              </w:rPr>
              <w:t>•</w:t>
            </w:r>
          </w:p>
        </w:tc>
        <w:tc>
          <w:tcPr>
            <w:tcW w:w="700" w:type="dxa"/>
            <w:vAlign w:val="bottom"/>
          </w:tcPr>
          <w:p>
            <w:pPr>
              <w:spacing w:after="0"/>
              <w:rPr>
                <w:sz w:val="24"/>
                <w:szCs w:val="24"/>
                <w:color w:val="auto"/>
              </w:rPr>
            </w:pPr>
          </w:p>
        </w:tc>
      </w:tr>
      <w:tr>
        <w:trPr>
          <w:trHeight w:val="1053"/>
        </w:trPr>
        <w:tc>
          <w:tcPr>
            <w:tcW w:w="560" w:type="dxa"/>
            <w:vAlign w:val="bottom"/>
          </w:tcPr>
          <w:p>
            <w:pPr>
              <w:ind w:left="60"/>
              <w:spacing w:after="0"/>
              <w:rPr>
                <w:sz w:val="20"/>
                <w:szCs w:val="20"/>
                <w:color w:val="auto"/>
              </w:rPr>
            </w:pPr>
            <w:r>
              <w:rPr>
                <w:rFonts w:ascii="Arial" w:cs="Arial" w:eastAsia="Arial" w:hAnsi="Arial"/>
                <w:sz w:val="43"/>
                <w:szCs w:val="43"/>
                <w:color w:val="auto"/>
              </w:rPr>
              <w:t>•</w:t>
            </w:r>
          </w:p>
        </w:tc>
        <w:tc>
          <w:tcPr>
            <w:tcW w:w="1040" w:type="dxa"/>
            <w:vAlign w:val="bottom"/>
          </w:tcPr>
          <w:p>
            <w:pPr>
              <w:ind w:left="400"/>
              <w:spacing w:after="0"/>
              <w:rPr>
                <w:sz w:val="20"/>
                <w:szCs w:val="20"/>
                <w:color w:val="auto"/>
              </w:rPr>
            </w:pPr>
            <w:r>
              <w:rPr>
                <w:rFonts w:ascii="Arial" w:cs="Arial" w:eastAsia="Arial" w:hAnsi="Arial"/>
                <w:sz w:val="43"/>
                <w:szCs w:val="43"/>
                <w:color w:val="auto"/>
              </w:rPr>
              <w:t>•</w:t>
            </w:r>
          </w:p>
        </w:tc>
        <w:tc>
          <w:tcPr>
            <w:tcW w:w="900" w:type="dxa"/>
            <w:vAlign w:val="bottom"/>
          </w:tcPr>
          <w:p>
            <w:pPr>
              <w:spacing w:after="0"/>
              <w:rPr>
                <w:sz w:val="24"/>
                <w:szCs w:val="24"/>
                <w:color w:val="auto"/>
              </w:rPr>
            </w:pPr>
          </w:p>
        </w:tc>
        <w:tc>
          <w:tcPr>
            <w:tcW w:w="1000" w:type="dxa"/>
            <w:vAlign w:val="bottom"/>
          </w:tcPr>
          <w:p>
            <w:pPr>
              <w:ind w:left="360"/>
              <w:spacing w:after="0"/>
              <w:rPr>
                <w:sz w:val="20"/>
                <w:szCs w:val="20"/>
                <w:color w:val="auto"/>
              </w:rPr>
            </w:pPr>
            <w:r>
              <w:rPr>
                <w:rFonts w:ascii="Arial" w:cs="Arial" w:eastAsia="Arial" w:hAnsi="Arial"/>
                <w:sz w:val="43"/>
                <w:szCs w:val="43"/>
                <w:color w:val="auto"/>
              </w:rPr>
              <w:t>•</w:t>
            </w:r>
          </w:p>
        </w:tc>
        <w:tc>
          <w:tcPr>
            <w:tcW w:w="1140" w:type="dxa"/>
            <w:vAlign w:val="bottom"/>
          </w:tcPr>
          <w:p>
            <w:pPr>
              <w:ind w:left="460"/>
              <w:spacing w:after="0"/>
              <w:rPr>
                <w:sz w:val="20"/>
                <w:szCs w:val="20"/>
                <w:color w:val="auto"/>
              </w:rPr>
            </w:pPr>
            <w:r>
              <w:rPr>
                <w:rFonts w:ascii="Arial" w:cs="Arial" w:eastAsia="Arial" w:hAnsi="Arial"/>
                <w:sz w:val="43"/>
                <w:szCs w:val="43"/>
                <w:color w:val="auto"/>
              </w:rPr>
              <w:t>•</w:t>
            </w:r>
          </w:p>
        </w:tc>
        <w:tc>
          <w:tcPr>
            <w:tcW w:w="880" w:type="dxa"/>
            <w:vAlign w:val="bottom"/>
          </w:tcPr>
          <w:p>
            <w:pPr>
              <w:ind w:left="300"/>
              <w:spacing w:after="0"/>
              <w:rPr>
                <w:sz w:val="20"/>
                <w:szCs w:val="20"/>
                <w:color w:val="auto"/>
              </w:rPr>
            </w:pPr>
            <w:r>
              <w:rPr>
                <w:rFonts w:ascii="Arial" w:cs="Arial" w:eastAsia="Arial" w:hAnsi="Arial"/>
                <w:sz w:val="43"/>
                <w:szCs w:val="43"/>
                <w:color w:val="auto"/>
              </w:rPr>
              <w:t>•</w:t>
            </w:r>
          </w:p>
        </w:tc>
        <w:tc>
          <w:tcPr>
            <w:tcW w:w="1100" w:type="dxa"/>
            <w:vAlign w:val="bottom"/>
          </w:tcPr>
          <w:p>
            <w:pPr>
              <w:spacing w:after="0"/>
              <w:rPr>
                <w:sz w:val="24"/>
                <w:szCs w:val="24"/>
                <w:color w:val="auto"/>
              </w:rPr>
            </w:pPr>
          </w:p>
        </w:tc>
        <w:tc>
          <w:tcPr>
            <w:tcW w:w="1100" w:type="dxa"/>
            <w:vAlign w:val="bottom"/>
          </w:tcPr>
          <w:p>
            <w:pPr>
              <w:ind w:left="420"/>
              <w:spacing w:after="0"/>
              <w:rPr>
                <w:sz w:val="20"/>
                <w:szCs w:val="20"/>
                <w:color w:val="auto"/>
              </w:rPr>
            </w:pPr>
            <w:r>
              <w:rPr>
                <w:rFonts w:ascii="Arial" w:cs="Arial" w:eastAsia="Arial" w:hAnsi="Arial"/>
                <w:sz w:val="43"/>
                <w:szCs w:val="43"/>
                <w:color w:val="auto"/>
              </w:rPr>
              <w:t>•</w:t>
            </w:r>
          </w:p>
        </w:tc>
        <w:tc>
          <w:tcPr>
            <w:tcW w:w="700" w:type="dxa"/>
            <w:vAlign w:val="bottom"/>
          </w:tcPr>
          <w:p>
            <w:pPr>
              <w:ind w:left="320"/>
              <w:spacing w:after="0"/>
              <w:rPr>
                <w:sz w:val="20"/>
                <w:szCs w:val="20"/>
                <w:color w:val="auto"/>
              </w:rPr>
            </w:pPr>
            <w:r>
              <w:rPr>
                <w:rFonts w:ascii="Arial" w:cs="Arial" w:eastAsia="Arial" w:hAnsi="Arial"/>
                <w:sz w:val="43"/>
                <w:szCs w:val="43"/>
                <w:color w:val="auto"/>
              </w:rPr>
              <w:t>•</w:t>
            </w:r>
          </w:p>
        </w:tc>
      </w:tr>
      <w:tr>
        <w:trPr>
          <w:trHeight w:val="1066"/>
        </w:trPr>
        <w:tc>
          <w:tcPr>
            <w:tcW w:w="560" w:type="dxa"/>
            <w:vAlign w:val="bottom"/>
          </w:tcPr>
          <w:p>
            <w:pPr>
              <w:ind w:left="60"/>
              <w:spacing w:after="0"/>
              <w:rPr>
                <w:sz w:val="20"/>
                <w:szCs w:val="20"/>
                <w:color w:val="auto"/>
              </w:rPr>
            </w:pPr>
            <w:r>
              <w:rPr>
                <w:rFonts w:ascii="Arial" w:cs="Arial" w:eastAsia="Arial" w:hAnsi="Arial"/>
                <w:sz w:val="43"/>
                <w:szCs w:val="43"/>
                <w:color w:val="auto"/>
              </w:rPr>
              <w:t>•</w:t>
            </w:r>
          </w:p>
        </w:tc>
        <w:tc>
          <w:tcPr>
            <w:tcW w:w="1040" w:type="dxa"/>
            <w:vAlign w:val="bottom"/>
          </w:tcPr>
          <w:p>
            <w:pPr>
              <w:ind w:left="400"/>
              <w:spacing w:after="0"/>
              <w:rPr>
                <w:sz w:val="20"/>
                <w:szCs w:val="20"/>
                <w:color w:val="auto"/>
              </w:rPr>
            </w:pPr>
            <w:r>
              <w:rPr>
                <w:rFonts w:ascii="Arial" w:cs="Arial" w:eastAsia="Arial" w:hAnsi="Arial"/>
                <w:sz w:val="43"/>
                <w:szCs w:val="43"/>
                <w:color w:val="auto"/>
              </w:rPr>
              <w:t>•</w:t>
            </w:r>
          </w:p>
        </w:tc>
        <w:tc>
          <w:tcPr>
            <w:tcW w:w="900" w:type="dxa"/>
            <w:vAlign w:val="bottom"/>
          </w:tcPr>
          <w:p>
            <w:pPr>
              <w:spacing w:after="0"/>
              <w:rPr>
                <w:sz w:val="24"/>
                <w:szCs w:val="24"/>
                <w:color w:val="auto"/>
              </w:rPr>
            </w:pPr>
          </w:p>
        </w:tc>
        <w:tc>
          <w:tcPr>
            <w:tcW w:w="1000" w:type="dxa"/>
            <w:vAlign w:val="bottom"/>
          </w:tcPr>
          <w:p>
            <w:pPr>
              <w:ind w:left="360"/>
              <w:spacing w:after="0"/>
              <w:rPr>
                <w:sz w:val="20"/>
                <w:szCs w:val="20"/>
                <w:color w:val="auto"/>
              </w:rPr>
            </w:pPr>
            <w:r>
              <w:rPr>
                <w:rFonts w:ascii="Arial" w:cs="Arial" w:eastAsia="Arial" w:hAnsi="Arial"/>
                <w:sz w:val="43"/>
                <w:szCs w:val="43"/>
                <w:color w:val="auto"/>
              </w:rPr>
              <w:t>•</w:t>
            </w:r>
          </w:p>
        </w:tc>
        <w:tc>
          <w:tcPr>
            <w:tcW w:w="1140" w:type="dxa"/>
            <w:vAlign w:val="bottom"/>
          </w:tcPr>
          <w:p>
            <w:pPr>
              <w:ind w:left="460"/>
              <w:spacing w:after="0"/>
              <w:rPr>
                <w:sz w:val="20"/>
                <w:szCs w:val="20"/>
                <w:color w:val="auto"/>
              </w:rPr>
            </w:pPr>
            <w:r>
              <w:rPr>
                <w:rFonts w:ascii="Arial" w:cs="Arial" w:eastAsia="Arial" w:hAnsi="Arial"/>
                <w:sz w:val="43"/>
                <w:szCs w:val="43"/>
                <w:color w:val="auto"/>
              </w:rPr>
              <w:t>•</w:t>
            </w:r>
          </w:p>
        </w:tc>
        <w:tc>
          <w:tcPr>
            <w:tcW w:w="880" w:type="dxa"/>
            <w:vAlign w:val="bottom"/>
          </w:tcPr>
          <w:p>
            <w:pPr>
              <w:spacing w:after="0"/>
              <w:rPr>
                <w:sz w:val="24"/>
                <w:szCs w:val="24"/>
                <w:color w:val="auto"/>
              </w:rPr>
            </w:pPr>
          </w:p>
        </w:tc>
        <w:tc>
          <w:tcPr>
            <w:tcW w:w="1100" w:type="dxa"/>
            <w:vAlign w:val="bottom"/>
          </w:tcPr>
          <w:p>
            <w:pPr>
              <w:ind w:left="420"/>
              <w:spacing w:after="0"/>
              <w:rPr>
                <w:sz w:val="20"/>
                <w:szCs w:val="20"/>
                <w:color w:val="auto"/>
              </w:rPr>
            </w:pPr>
            <w:r>
              <w:rPr>
                <w:rFonts w:ascii="Arial" w:cs="Arial" w:eastAsia="Arial" w:hAnsi="Arial"/>
                <w:sz w:val="43"/>
                <w:szCs w:val="43"/>
                <w:color w:val="auto"/>
              </w:rPr>
              <w:t>•</w:t>
            </w:r>
          </w:p>
        </w:tc>
        <w:tc>
          <w:tcPr>
            <w:tcW w:w="1100" w:type="dxa"/>
            <w:vAlign w:val="bottom"/>
          </w:tcPr>
          <w:p>
            <w:pPr>
              <w:ind w:left="420"/>
              <w:spacing w:after="0"/>
              <w:rPr>
                <w:sz w:val="20"/>
                <w:szCs w:val="20"/>
                <w:color w:val="auto"/>
              </w:rPr>
            </w:pPr>
            <w:r>
              <w:rPr>
                <w:rFonts w:ascii="Arial" w:cs="Arial" w:eastAsia="Arial" w:hAnsi="Arial"/>
                <w:sz w:val="43"/>
                <w:szCs w:val="43"/>
                <w:color w:val="auto"/>
              </w:rPr>
              <w:t>•</w:t>
            </w:r>
          </w:p>
        </w:tc>
        <w:tc>
          <w:tcPr>
            <w:tcW w:w="700" w:type="dxa"/>
            <w:vAlign w:val="bottom"/>
          </w:tcPr>
          <w:p>
            <w:pPr>
              <w:ind w:left="320"/>
              <w:spacing w:after="0"/>
              <w:rPr>
                <w:sz w:val="20"/>
                <w:szCs w:val="20"/>
                <w:color w:val="auto"/>
              </w:rPr>
            </w:pPr>
            <w:r>
              <w:rPr>
                <w:rFonts w:ascii="Arial" w:cs="Arial" w:eastAsia="Arial" w:hAnsi="Arial"/>
                <w:sz w:val="43"/>
                <w:szCs w:val="43"/>
                <w:color w:val="auto"/>
              </w:rPr>
              <w:t>•</w:t>
            </w:r>
          </w:p>
        </w:tc>
      </w:tr>
      <w:tr>
        <w:trPr>
          <w:trHeight w:val="1039"/>
        </w:trPr>
        <w:tc>
          <w:tcPr>
            <w:tcW w:w="560" w:type="dxa"/>
            <w:vAlign w:val="bottom"/>
          </w:tcPr>
          <w:p>
            <w:pPr>
              <w:ind w:left="60"/>
              <w:spacing w:after="0"/>
              <w:rPr>
                <w:sz w:val="20"/>
                <w:szCs w:val="20"/>
                <w:color w:val="auto"/>
              </w:rPr>
            </w:pPr>
            <w:r>
              <w:rPr>
                <w:rFonts w:ascii="Arial" w:cs="Arial" w:eastAsia="Arial" w:hAnsi="Arial"/>
                <w:sz w:val="43"/>
                <w:szCs w:val="43"/>
                <w:color w:val="auto"/>
              </w:rPr>
              <w:t>•</w:t>
            </w:r>
          </w:p>
        </w:tc>
        <w:tc>
          <w:tcPr>
            <w:tcW w:w="1040" w:type="dxa"/>
            <w:vAlign w:val="bottom"/>
          </w:tcPr>
          <w:p>
            <w:pPr>
              <w:ind w:left="400"/>
              <w:spacing w:after="0"/>
              <w:rPr>
                <w:sz w:val="20"/>
                <w:szCs w:val="20"/>
                <w:color w:val="auto"/>
              </w:rPr>
            </w:pPr>
            <w:r>
              <w:rPr>
                <w:rFonts w:ascii="Arial" w:cs="Arial" w:eastAsia="Arial" w:hAnsi="Arial"/>
                <w:sz w:val="43"/>
                <w:szCs w:val="43"/>
                <w:color w:val="auto"/>
              </w:rPr>
              <w:t>•</w:t>
            </w:r>
          </w:p>
        </w:tc>
        <w:tc>
          <w:tcPr>
            <w:tcW w:w="900" w:type="dxa"/>
            <w:vAlign w:val="bottom"/>
          </w:tcPr>
          <w:p>
            <w:pPr>
              <w:ind w:left="320"/>
              <w:spacing w:after="0"/>
              <w:rPr>
                <w:sz w:val="20"/>
                <w:szCs w:val="20"/>
                <w:color w:val="auto"/>
              </w:rPr>
            </w:pPr>
            <w:r>
              <w:rPr>
                <w:rFonts w:ascii="Arial" w:cs="Arial" w:eastAsia="Arial" w:hAnsi="Arial"/>
                <w:sz w:val="43"/>
                <w:szCs w:val="43"/>
                <w:color w:val="auto"/>
              </w:rPr>
              <w:t>•</w:t>
            </w:r>
          </w:p>
        </w:tc>
        <w:tc>
          <w:tcPr>
            <w:tcW w:w="1000" w:type="dxa"/>
            <w:vAlign w:val="bottom"/>
          </w:tcPr>
          <w:p>
            <w:pPr>
              <w:spacing w:after="0"/>
              <w:rPr>
                <w:sz w:val="24"/>
                <w:szCs w:val="24"/>
                <w:color w:val="auto"/>
              </w:rPr>
            </w:pPr>
          </w:p>
        </w:tc>
        <w:tc>
          <w:tcPr>
            <w:tcW w:w="1140" w:type="dxa"/>
            <w:vAlign w:val="bottom"/>
          </w:tcPr>
          <w:p>
            <w:pPr>
              <w:ind w:left="460"/>
              <w:spacing w:after="0"/>
              <w:rPr>
                <w:sz w:val="20"/>
                <w:szCs w:val="20"/>
                <w:color w:val="auto"/>
              </w:rPr>
            </w:pPr>
            <w:r>
              <w:rPr>
                <w:rFonts w:ascii="Arial" w:cs="Arial" w:eastAsia="Arial" w:hAnsi="Arial"/>
                <w:sz w:val="43"/>
                <w:szCs w:val="43"/>
                <w:color w:val="auto"/>
              </w:rPr>
              <w:t>•</w:t>
            </w:r>
          </w:p>
        </w:tc>
        <w:tc>
          <w:tcPr>
            <w:tcW w:w="880" w:type="dxa"/>
            <w:vAlign w:val="bottom"/>
          </w:tcPr>
          <w:p>
            <w:pPr>
              <w:spacing w:after="0"/>
              <w:rPr>
                <w:sz w:val="24"/>
                <w:szCs w:val="24"/>
                <w:color w:val="auto"/>
              </w:rPr>
            </w:pPr>
          </w:p>
        </w:tc>
        <w:tc>
          <w:tcPr>
            <w:tcW w:w="1100" w:type="dxa"/>
            <w:vAlign w:val="bottom"/>
          </w:tcPr>
          <w:p>
            <w:pPr>
              <w:ind w:left="420"/>
              <w:spacing w:after="0"/>
              <w:rPr>
                <w:sz w:val="20"/>
                <w:szCs w:val="20"/>
                <w:color w:val="auto"/>
              </w:rPr>
            </w:pPr>
            <w:r>
              <w:rPr>
                <w:rFonts w:ascii="Arial" w:cs="Arial" w:eastAsia="Arial" w:hAnsi="Arial"/>
                <w:sz w:val="43"/>
                <w:szCs w:val="43"/>
                <w:color w:val="auto"/>
              </w:rPr>
              <w:t>•</w:t>
            </w:r>
          </w:p>
        </w:tc>
        <w:tc>
          <w:tcPr>
            <w:tcW w:w="110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1053"/>
        </w:trPr>
        <w:tc>
          <w:tcPr>
            <w:tcW w:w="560" w:type="dxa"/>
            <w:vAlign w:val="bottom"/>
          </w:tcPr>
          <w:p>
            <w:pPr>
              <w:ind w:left="60"/>
              <w:spacing w:after="0"/>
              <w:rPr>
                <w:sz w:val="20"/>
                <w:szCs w:val="20"/>
                <w:color w:val="auto"/>
              </w:rPr>
            </w:pPr>
            <w:r>
              <w:rPr>
                <w:rFonts w:ascii="Arial" w:cs="Arial" w:eastAsia="Arial" w:hAnsi="Arial"/>
                <w:sz w:val="43"/>
                <w:szCs w:val="43"/>
                <w:color w:val="auto"/>
              </w:rPr>
              <w:t>•</w:t>
            </w:r>
          </w:p>
        </w:tc>
        <w:tc>
          <w:tcPr>
            <w:tcW w:w="1040" w:type="dxa"/>
            <w:vAlign w:val="bottom"/>
          </w:tcPr>
          <w:p>
            <w:pPr>
              <w:spacing w:after="0"/>
              <w:rPr>
                <w:sz w:val="24"/>
                <w:szCs w:val="24"/>
                <w:color w:val="auto"/>
              </w:rPr>
            </w:pPr>
          </w:p>
        </w:tc>
        <w:tc>
          <w:tcPr>
            <w:tcW w:w="900" w:type="dxa"/>
            <w:vAlign w:val="bottom"/>
          </w:tcPr>
          <w:p>
            <w:pPr>
              <w:ind w:left="320"/>
              <w:spacing w:after="0"/>
              <w:rPr>
                <w:sz w:val="20"/>
                <w:szCs w:val="20"/>
                <w:color w:val="auto"/>
              </w:rPr>
            </w:pPr>
            <w:r>
              <w:rPr>
                <w:rFonts w:ascii="Arial" w:cs="Arial" w:eastAsia="Arial" w:hAnsi="Arial"/>
                <w:sz w:val="43"/>
                <w:szCs w:val="43"/>
                <w:color w:val="auto"/>
              </w:rPr>
              <w:t>•</w:t>
            </w:r>
          </w:p>
        </w:tc>
        <w:tc>
          <w:tcPr>
            <w:tcW w:w="1000" w:type="dxa"/>
            <w:vAlign w:val="bottom"/>
          </w:tcPr>
          <w:p>
            <w:pPr>
              <w:spacing w:after="0"/>
              <w:rPr>
                <w:sz w:val="24"/>
                <w:szCs w:val="24"/>
                <w:color w:val="auto"/>
              </w:rPr>
            </w:pPr>
          </w:p>
        </w:tc>
        <w:tc>
          <w:tcPr>
            <w:tcW w:w="1140" w:type="dxa"/>
            <w:vAlign w:val="bottom"/>
          </w:tcPr>
          <w:p>
            <w:pPr>
              <w:ind w:left="460"/>
              <w:spacing w:after="0"/>
              <w:rPr>
                <w:sz w:val="20"/>
                <w:szCs w:val="20"/>
                <w:color w:val="auto"/>
              </w:rPr>
            </w:pPr>
            <w:r>
              <w:rPr>
                <w:rFonts w:ascii="Arial" w:cs="Arial" w:eastAsia="Arial" w:hAnsi="Arial"/>
                <w:sz w:val="43"/>
                <w:szCs w:val="43"/>
                <w:color w:val="auto"/>
              </w:rPr>
              <w:t>•</w:t>
            </w:r>
          </w:p>
        </w:tc>
        <w:tc>
          <w:tcPr>
            <w:tcW w:w="880" w:type="dxa"/>
            <w:vAlign w:val="bottom"/>
          </w:tcPr>
          <w:p>
            <w:pPr>
              <w:spacing w:after="0"/>
              <w:rPr>
                <w:sz w:val="24"/>
                <w:szCs w:val="24"/>
                <w:color w:val="auto"/>
              </w:rPr>
            </w:pPr>
          </w:p>
        </w:tc>
        <w:tc>
          <w:tcPr>
            <w:tcW w:w="1100" w:type="dxa"/>
            <w:vAlign w:val="bottom"/>
          </w:tcPr>
          <w:p>
            <w:pPr>
              <w:ind w:left="420"/>
              <w:spacing w:after="0"/>
              <w:rPr>
                <w:sz w:val="20"/>
                <w:szCs w:val="20"/>
                <w:color w:val="auto"/>
              </w:rPr>
            </w:pPr>
            <w:r>
              <w:rPr>
                <w:rFonts w:ascii="Arial" w:cs="Arial" w:eastAsia="Arial" w:hAnsi="Arial"/>
                <w:sz w:val="43"/>
                <w:szCs w:val="43"/>
                <w:color w:val="auto"/>
              </w:rPr>
              <w:t>•</w:t>
            </w:r>
          </w:p>
        </w:tc>
        <w:tc>
          <w:tcPr>
            <w:tcW w:w="1100" w:type="dxa"/>
            <w:vAlign w:val="bottom"/>
          </w:tcPr>
          <w:p>
            <w:pPr>
              <w:ind w:left="420"/>
              <w:spacing w:after="0"/>
              <w:rPr>
                <w:sz w:val="20"/>
                <w:szCs w:val="20"/>
                <w:color w:val="auto"/>
              </w:rPr>
            </w:pPr>
            <w:r>
              <w:rPr>
                <w:rFonts w:ascii="Arial" w:cs="Arial" w:eastAsia="Arial" w:hAnsi="Arial"/>
                <w:sz w:val="43"/>
                <w:szCs w:val="43"/>
                <w:color w:val="auto"/>
              </w:rPr>
              <w:t>•</w:t>
            </w:r>
          </w:p>
        </w:tc>
        <w:tc>
          <w:tcPr>
            <w:tcW w:w="700" w:type="dxa"/>
            <w:vAlign w:val="bottom"/>
          </w:tcPr>
          <w:p>
            <w:pPr>
              <w:ind w:left="320"/>
              <w:spacing w:after="0"/>
              <w:rPr>
                <w:sz w:val="20"/>
                <w:szCs w:val="20"/>
                <w:color w:val="auto"/>
              </w:rPr>
            </w:pPr>
            <w:r>
              <w:rPr>
                <w:rFonts w:ascii="Arial" w:cs="Arial" w:eastAsia="Arial" w:hAnsi="Arial"/>
                <w:sz w:val="43"/>
                <w:szCs w:val="43"/>
                <w:color w:val="auto"/>
              </w:rPr>
              <w:t>•</w:t>
            </w:r>
          </w:p>
        </w:tc>
      </w:tr>
      <w:tr>
        <w:trPr>
          <w:trHeight w:val="1053"/>
        </w:trPr>
        <w:tc>
          <w:tcPr>
            <w:tcW w:w="560" w:type="dxa"/>
            <w:vAlign w:val="bottom"/>
          </w:tcPr>
          <w:p>
            <w:pPr>
              <w:ind w:left="60"/>
              <w:spacing w:after="0"/>
              <w:rPr>
                <w:sz w:val="20"/>
                <w:szCs w:val="20"/>
                <w:color w:val="auto"/>
              </w:rPr>
            </w:pPr>
            <w:r>
              <w:rPr>
                <w:rFonts w:ascii="Arial" w:cs="Arial" w:eastAsia="Arial" w:hAnsi="Arial"/>
                <w:sz w:val="43"/>
                <w:szCs w:val="43"/>
                <w:color w:val="auto"/>
              </w:rPr>
              <w:t>•</w:t>
            </w:r>
          </w:p>
        </w:tc>
        <w:tc>
          <w:tcPr>
            <w:tcW w:w="1040" w:type="dxa"/>
            <w:vAlign w:val="bottom"/>
          </w:tcPr>
          <w:p>
            <w:pPr>
              <w:ind w:left="400"/>
              <w:spacing w:after="0"/>
              <w:rPr>
                <w:sz w:val="20"/>
                <w:szCs w:val="20"/>
                <w:color w:val="auto"/>
              </w:rPr>
            </w:pPr>
            <w:r>
              <w:rPr>
                <w:rFonts w:ascii="Arial" w:cs="Arial" w:eastAsia="Arial" w:hAnsi="Arial"/>
                <w:sz w:val="43"/>
                <w:szCs w:val="43"/>
                <w:color w:val="auto"/>
              </w:rPr>
              <w:t>•</w:t>
            </w:r>
          </w:p>
        </w:tc>
        <w:tc>
          <w:tcPr>
            <w:tcW w:w="900" w:type="dxa"/>
            <w:vAlign w:val="bottom"/>
          </w:tcPr>
          <w:p>
            <w:pPr>
              <w:ind w:left="320"/>
              <w:spacing w:after="0"/>
              <w:rPr>
                <w:sz w:val="20"/>
                <w:szCs w:val="20"/>
                <w:color w:val="auto"/>
              </w:rPr>
            </w:pPr>
            <w:r>
              <w:rPr>
                <w:rFonts w:ascii="Arial" w:cs="Arial" w:eastAsia="Arial" w:hAnsi="Arial"/>
                <w:sz w:val="43"/>
                <w:szCs w:val="43"/>
                <w:color w:val="auto"/>
              </w:rPr>
              <w:t>•</w:t>
            </w:r>
          </w:p>
        </w:tc>
        <w:tc>
          <w:tcPr>
            <w:tcW w:w="1000" w:type="dxa"/>
            <w:vAlign w:val="bottom"/>
          </w:tcPr>
          <w:p>
            <w:pPr>
              <w:ind w:left="360"/>
              <w:spacing w:after="0"/>
              <w:rPr>
                <w:sz w:val="20"/>
                <w:szCs w:val="20"/>
                <w:color w:val="auto"/>
              </w:rPr>
            </w:pPr>
            <w:r>
              <w:rPr>
                <w:rFonts w:ascii="Arial" w:cs="Arial" w:eastAsia="Arial" w:hAnsi="Arial"/>
                <w:sz w:val="43"/>
                <w:szCs w:val="43"/>
                <w:color w:val="auto"/>
              </w:rPr>
              <w:t>•</w:t>
            </w:r>
          </w:p>
        </w:tc>
        <w:tc>
          <w:tcPr>
            <w:tcW w:w="1140" w:type="dxa"/>
            <w:vAlign w:val="bottom"/>
          </w:tcPr>
          <w:p>
            <w:pPr>
              <w:ind w:left="460"/>
              <w:spacing w:after="0"/>
              <w:rPr>
                <w:sz w:val="20"/>
                <w:szCs w:val="20"/>
                <w:color w:val="auto"/>
              </w:rPr>
            </w:pPr>
            <w:r>
              <w:rPr>
                <w:rFonts w:ascii="Arial" w:cs="Arial" w:eastAsia="Arial" w:hAnsi="Arial"/>
                <w:sz w:val="43"/>
                <w:szCs w:val="43"/>
                <w:color w:val="auto"/>
              </w:rPr>
              <w:t>•</w:t>
            </w:r>
          </w:p>
        </w:tc>
        <w:tc>
          <w:tcPr>
            <w:tcW w:w="880" w:type="dxa"/>
            <w:vAlign w:val="bottom"/>
          </w:tcPr>
          <w:p>
            <w:pPr>
              <w:ind w:left="300"/>
              <w:spacing w:after="0"/>
              <w:rPr>
                <w:sz w:val="20"/>
                <w:szCs w:val="20"/>
                <w:color w:val="auto"/>
              </w:rPr>
            </w:pPr>
            <w:r>
              <w:rPr>
                <w:rFonts w:ascii="Arial" w:cs="Arial" w:eastAsia="Arial" w:hAnsi="Arial"/>
                <w:sz w:val="43"/>
                <w:szCs w:val="43"/>
                <w:color w:val="auto"/>
              </w:rPr>
              <w:t>•</w:t>
            </w:r>
          </w:p>
        </w:tc>
        <w:tc>
          <w:tcPr>
            <w:tcW w:w="1100" w:type="dxa"/>
            <w:vAlign w:val="bottom"/>
          </w:tcPr>
          <w:p>
            <w:pPr>
              <w:ind w:left="420"/>
              <w:spacing w:after="0"/>
              <w:rPr>
                <w:sz w:val="20"/>
                <w:szCs w:val="20"/>
                <w:color w:val="auto"/>
              </w:rPr>
            </w:pPr>
            <w:r>
              <w:rPr>
                <w:rFonts w:ascii="Arial" w:cs="Arial" w:eastAsia="Arial" w:hAnsi="Arial"/>
                <w:sz w:val="43"/>
                <w:szCs w:val="43"/>
                <w:color w:val="auto"/>
              </w:rPr>
              <w:t>•</w:t>
            </w:r>
          </w:p>
        </w:tc>
        <w:tc>
          <w:tcPr>
            <w:tcW w:w="1100" w:type="dxa"/>
            <w:vAlign w:val="bottom"/>
          </w:tcPr>
          <w:p>
            <w:pPr>
              <w:ind w:left="420"/>
              <w:spacing w:after="0"/>
              <w:rPr>
                <w:sz w:val="20"/>
                <w:szCs w:val="20"/>
                <w:color w:val="auto"/>
              </w:rPr>
            </w:pPr>
            <w:r>
              <w:rPr>
                <w:rFonts w:ascii="Arial" w:cs="Arial" w:eastAsia="Arial" w:hAnsi="Arial"/>
                <w:sz w:val="43"/>
                <w:szCs w:val="43"/>
                <w:color w:val="auto"/>
              </w:rPr>
              <w:t>•</w:t>
            </w:r>
          </w:p>
        </w:tc>
        <w:tc>
          <w:tcPr>
            <w:tcW w:w="700" w:type="dxa"/>
            <w:vAlign w:val="bottom"/>
          </w:tcPr>
          <w:p>
            <w:pPr>
              <w:ind w:left="320"/>
              <w:spacing w:after="0"/>
              <w:rPr>
                <w:sz w:val="20"/>
                <w:szCs w:val="20"/>
                <w:color w:val="auto"/>
              </w:rPr>
            </w:pPr>
            <w:r>
              <w:rPr>
                <w:rFonts w:ascii="Arial" w:cs="Arial" w:eastAsia="Arial" w:hAnsi="Arial"/>
                <w:sz w:val="43"/>
                <w:szCs w:val="43"/>
                <w:color w:val="auto"/>
              </w:rPr>
              <w:t>•</w:t>
            </w:r>
          </w:p>
        </w:tc>
      </w:tr>
      <w:tr>
        <w:trPr>
          <w:trHeight w:val="1067"/>
        </w:trPr>
        <w:tc>
          <w:tcPr>
            <w:tcW w:w="560" w:type="dxa"/>
            <w:vAlign w:val="bottom"/>
          </w:tcPr>
          <w:p>
            <w:pPr>
              <w:ind w:left="60"/>
              <w:spacing w:after="0"/>
              <w:rPr>
                <w:sz w:val="20"/>
                <w:szCs w:val="20"/>
                <w:color w:val="auto"/>
              </w:rPr>
            </w:pPr>
            <w:r>
              <w:rPr>
                <w:rFonts w:ascii="Arial" w:cs="Arial" w:eastAsia="Arial" w:hAnsi="Arial"/>
                <w:sz w:val="43"/>
                <w:szCs w:val="43"/>
                <w:color w:val="auto"/>
              </w:rPr>
              <w:t>•</w:t>
            </w:r>
          </w:p>
        </w:tc>
        <w:tc>
          <w:tcPr>
            <w:tcW w:w="1040" w:type="dxa"/>
            <w:vAlign w:val="bottom"/>
          </w:tcPr>
          <w:p>
            <w:pPr>
              <w:ind w:left="400"/>
              <w:spacing w:after="0"/>
              <w:rPr>
                <w:sz w:val="20"/>
                <w:szCs w:val="20"/>
                <w:color w:val="auto"/>
              </w:rPr>
            </w:pPr>
            <w:r>
              <w:rPr>
                <w:rFonts w:ascii="Arial" w:cs="Arial" w:eastAsia="Arial" w:hAnsi="Arial"/>
                <w:sz w:val="43"/>
                <w:szCs w:val="43"/>
                <w:color w:val="auto"/>
              </w:rPr>
              <w:t>•</w:t>
            </w:r>
          </w:p>
        </w:tc>
        <w:tc>
          <w:tcPr>
            <w:tcW w:w="900" w:type="dxa"/>
            <w:vAlign w:val="bottom"/>
          </w:tcPr>
          <w:p>
            <w:pPr>
              <w:ind w:left="320"/>
              <w:spacing w:after="0"/>
              <w:rPr>
                <w:sz w:val="20"/>
                <w:szCs w:val="20"/>
                <w:color w:val="auto"/>
              </w:rPr>
            </w:pPr>
            <w:r>
              <w:rPr>
                <w:rFonts w:ascii="Arial" w:cs="Arial" w:eastAsia="Arial" w:hAnsi="Arial"/>
                <w:sz w:val="43"/>
                <w:szCs w:val="43"/>
                <w:color w:val="auto"/>
              </w:rPr>
              <w:t>•</w:t>
            </w:r>
          </w:p>
        </w:tc>
        <w:tc>
          <w:tcPr>
            <w:tcW w:w="1000" w:type="dxa"/>
            <w:vAlign w:val="bottom"/>
          </w:tcPr>
          <w:p>
            <w:pPr>
              <w:ind w:left="360"/>
              <w:spacing w:after="0"/>
              <w:rPr>
                <w:sz w:val="20"/>
                <w:szCs w:val="20"/>
                <w:color w:val="auto"/>
              </w:rPr>
            </w:pPr>
            <w:r>
              <w:rPr>
                <w:rFonts w:ascii="Arial" w:cs="Arial" w:eastAsia="Arial" w:hAnsi="Arial"/>
                <w:sz w:val="43"/>
                <w:szCs w:val="43"/>
                <w:color w:val="auto"/>
              </w:rPr>
              <w:t>•</w:t>
            </w:r>
          </w:p>
        </w:tc>
        <w:tc>
          <w:tcPr>
            <w:tcW w:w="1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100" w:type="dxa"/>
            <w:vAlign w:val="bottom"/>
          </w:tcPr>
          <w:p>
            <w:pPr>
              <w:ind w:left="420"/>
              <w:spacing w:after="0"/>
              <w:rPr>
                <w:sz w:val="20"/>
                <w:szCs w:val="20"/>
                <w:color w:val="auto"/>
              </w:rPr>
            </w:pPr>
            <w:r>
              <w:rPr>
                <w:rFonts w:ascii="Arial" w:cs="Arial" w:eastAsia="Arial" w:hAnsi="Arial"/>
                <w:sz w:val="43"/>
                <w:szCs w:val="43"/>
                <w:color w:val="auto"/>
              </w:rPr>
              <w:t>•</w:t>
            </w:r>
          </w:p>
        </w:tc>
        <w:tc>
          <w:tcPr>
            <w:tcW w:w="1100" w:type="dxa"/>
            <w:vAlign w:val="bottom"/>
          </w:tcPr>
          <w:p>
            <w:pPr>
              <w:ind w:left="420"/>
              <w:spacing w:after="0"/>
              <w:rPr>
                <w:sz w:val="20"/>
                <w:szCs w:val="20"/>
                <w:color w:val="auto"/>
              </w:rPr>
            </w:pPr>
            <w:r>
              <w:rPr>
                <w:rFonts w:ascii="Arial" w:cs="Arial" w:eastAsia="Arial" w:hAnsi="Arial"/>
                <w:sz w:val="43"/>
                <w:szCs w:val="43"/>
                <w:color w:val="auto"/>
              </w:rPr>
              <w:t>•</w:t>
            </w:r>
          </w:p>
        </w:tc>
        <w:tc>
          <w:tcPr>
            <w:tcW w:w="700" w:type="dxa"/>
            <w:vAlign w:val="bottom"/>
          </w:tcPr>
          <w:p>
            <w:pPr>
              <w:ind w:left="320"/>
              <w:spacing w:after="0"/>
              <w:rPr>
                <w:sz w:val="20"/>
                <w:szCs w:val="20"/>
                <w:color w:val="auto"/>
              </w:rPr>
            </w:pPr>
            <w:r>
              <w:rPr>
                <w:rFonts w:ascii="Arial" w:cs="Arial" w:eastAsia="Arial" w:hAnsi="Arial"/>
                <w:sz w:val="43"/>
                <w:szCs w:val="43"/>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-1572260</wp:posOffset>
            </wp:positionH>
            <wp:positionV relativeFrom="paragraph">
              <wp:posOffset>-4527550</wp:posOffset>
            </wp:positionV>
            <wp:extent cx="7029450" cy="6686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029450" cy="668655"/>
                    </a:xfrm>
                    <a:prstGeom prst="rect">
                      <a:avLst/>
                    </a:prstGeom>
                    <a:noFill/>
                  </pic:spPr>
                </pic:pic>
              </a:graphicData>
            </a:graphic>
          </wp:anchor>
        </w:drawing>
        <w:drawing>
          <wp:anchor simplePos="0" relativeHeight="251657728" behindDoc="1" locked="0" layoutInCell="0" allowOverlap="1">
            <wp:simplePos x="0" y="0"/>
            <wp:positionH relativeFrom="column">
              <wp:posOffset>-1572260</wp:posOffset>
            </wp:positionH>
            <wp:positionV relativeFrom="paragraph">
              <wp:posOffset>-3190240</wp:posOffset>
            </wp:positionV>
            <wp:extent cx="7029450" cy="6686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029450" cy="668655"/>
                    </a:xfrm>
                    <a:prstGeom prst="rect">
                      <a:avLst/>
                    </a:prstGeom>
                    <a:noFill/>
                  </pic:spPr>
                </pic:pic>
              </a:graphicData>
            </a:graphic>
          </wp:anchor>
        </w:drawing>
        <w:drawing>
          <wp:anchor simplePos="0" relativeHeight="251657728" behindDoc="1" locked="0" layoutInCell="0" allowOverlap="1">
            <wp:simplePos x="0" y="0"/>
            <wp:positionH relativeFrom="column">
              <wp:posOffset>-1572260</wp:posOffset>
            </wp:positionH>
            <wp:positionV relativeFrom="paragraph">
              <wp:posOffset>-1852930</wp:posOffset>
            </wp:positionV>
            <wp:extent cx="7029450" cy="6686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029450" cy="668655"/>
                    </a:xfrm>
                    <a:prstGeom prst="rect">
                      <a:avLst/>
                    </a:prstGeom>
                    <a:noFill/>
                  </pic:spPr>
                </pic:pic>
              </a:graphicData>
            </a:graphic>
          </wp:anchor>
        </w:drawing>
        <w:drawing>
          <wp:anchor simplePos="0" relativeHeight="251657728" behindDoc="1" locked="0" layoutInCell="0" allowOverlap="1">
            <wp:simplePos x="0" y="0"/>
            <wp:positionH relativeFrom="column">
              <wp:posOffset>-1572260</wp:posOffset>
            </wp:positionH>
            <wp:positionV relativeFrom="paragraph">
              <wp:posOffset>-515620</wp:posOffset>
            </wp:positionV>
            <wp:extent cx="7029450" cy="6686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029450" cy="6686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260" w:space="360"/>
            <w:col w:w="8620"/>
          </w:cols>
          <w:pgMar w:left="320" w:top="901" w:right="339" w:bottom="150" w:gutter="0" w:footer="0" w:header="0"/>
          <w:type w:val="continuous"/>
        </w:sectPr>
      </w:pPr>
    </w:p>
    <w:p>
      <w:pPr>
        <w:spacing w:after="0" w:line="36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Attribute and Skills Definitions</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2840" w:type="dxa"/>
            <w:vAlign w:val="bottom"/>
            <w:tcBorders>
              <w:bottom w:val="single" w:sz="8" w:color="auto"/>
            </w:tcBorders>
            <w:gridSpan w:val="2"/>
            <w:shd w:val="clear" w:color="auto" w:fill="E8F7F7"/>
          </w:tcPr>
          <w:p>
            <w:pPr>
              <w:ind w:left="20"/>
              <w:spacing w:after="0"/>
              <w:rPr>
                <w:sz w:val="20"/>
                <w:szCs w:val="20"/>
                <w:color w:val="auto"/>
              </w:rPr>
            </w:pPr>
            <w:r>
              <w:rPr>
                <w:rFonts w:ascii="Arial" w:cs="Arial" w:eastAsia="Arial" w:hAnsi="Arial"/>
                <w:sz w:val="20"/>
                <w:szCs w:val="20"/>
                <w:color w:val="auto"/>
              </w:rPr>
              <w:t>Attribute or Skill</w:t>
            </w:r>
          </w:p>
        </w:tc>
        <w:tc>
          <w:tcPr>
            <w:tcW w:w="8400" w:type="dxa"/>
            <w:vAlign w:val="bottom"/>
            <w:tcBorders>
              <w:bottom w:val="single" w:sz="8" w:color="auto"/>
            </w:tcBorders>
            <w:shd w:val="clear" w:color="auto" w:fill="E8F7F7"/>
          </w:tcPr>
          <w:p>
            <w:pPr>
              <w:ind w:left="240"/>
              <w:spacing w:after="0"/>
              <w:rPr>
                <w:sz w:val="20"/>
                <w:szCs w:val="20"/>
                <w:color w:val="auto"/>
              </w:rPr>
            </w:pPr>
            <w:r>
              <w:rPr>
                <w:rFonts w:ascii="Arial" w:cs="Arial" w:eastAsia="Arial" w:hAnsi="Arial"/>
                <w:sz w:val="20"/>
                <w:szCs w:val="20"/>
                <w:color w:val="auto"/>
              </w:rPr>
              <w:t>Definition</w:t>
            </w:r>
          </w:p>
        </w:tc>
        <w:tc>
          <w:tcPr>
            <w:tcW w:w="0" w:type="dxa"/>
            <w:vAlign w:val="bottom"/>
          </w:tcPr>
          <w:p>
            <w:pPr>
              <w:spacing w:after="0"/>
              <w:rPr>
                <w:sz w:val="1"/>
                <w:szCs w:val="1"/>
                <w:color w:val="auto"/>
              </w:rPr>
            </w:pPr>
          </w:p>
        </w:tc>
      </w:tr>
      <w:tr>
        <w:trPr>
          <w:trHeight w:val="250"/>
        </w:trPr>
        <w:tc>
          <w:tcPr>
            <w:tcW w:w="2840" w:type="dxa"/>
            <w:vAlign w:val="bottom"/>
            <w:gridSpan w:val="2"/>
          </w:tcPr>
          <w:p>
            <w:pPr>
              <w:ind w:left="20"/>
              <w:spacing w:after="0"/>
              <w:rPr>
                <w:sz w:val="20"/>
                <w:szCs w:val="20"/>
                <w:color w:val="auto"/>
              </w:rPr>
            </w:pPr>
            <w:r>
              <w:rPr>
                <w:rFonts w:ascii="Arial" w:cs="Arial" w:eastAsia="Arial" w:hAnsi="Arial"/>
                <w:sz w:val="20"/>
                <w:szCs w:val="20"/>
                <w:color w:val="auto"/>
              </w:rPr>
              <w:t>Leadership</w:t>
            </w:r>
          </w:p>
        </w:tc>
        <w:tc>
          <w:tcPr>
            <w:tcW w:w="8400" w:type="dxa"/>
            <w:vAlign w:val="bottom"/>
          </w:tcPr>
          <w:p>
            <w:pPr>
              <w:ind w:left="240"/>
              <w:spacing w:after="0"/>
              <w:rPr>
                <w:sz w:val="20"/>
                <w:szCs w:val="20"/>
                <w:color w:val="auto"/>
              </w:rPr>
            </w:pPr>
            <w:r>
              <w:rPr>
                <w:rFonts w:ascii="Arial" w:cs="Arial" w:eastAsia="Arial" w:hAnsi="Arial"/>
                <w:sz w:val="20"/>
                <w:szCs w:val="20"/>
                <w:color w:val="auto"/>
              </w:rPr>
              <w:t>Experience in senior leadership roles at a large organization</w:t>
            </w:r>
          </w:p>
        </w:tc>
        <w:tc>
          <w:tcPr>
            <w:tcW w:w="0" w:type="dxa"/>
            <w:vAlign w:val="bottom"/>
          </w:tcPr>
          <w:p>
            <w:pPr>
              <w:spacing w:after="0"/>
              <w:rPr>
                <w:sz w:val="1"/>
                <w:szCs w:val="1"/>
                <w:color w:val="auto"/>
              </w:rPr>
            </w:pPr>
          </w:p>
        </w:tc>
      </w:tr>
      <w:tr>
        <w:trPr>
          <w:trHeight w:val="256"/>
        </w:trPr>
        <w:tc>
          <w:tcPr>
            <w:tcW w:w="2840" w:type="dxa"/>
            <w:vAlign w:val="bottom"/>
            <w:gridSpan w:val="2"/>
            <w:shd w:val="clear" w:color="auto" w:fill="E7ECF0"/>
          </w:tcPr>
          <w:p>
            <w:pPr>
              <w:ind w:left="20"/>
              <w:spacing w:after="0"/>
              <w:rPr>
                <w:sz w:val="20"/>
                <w:szCs w:val="20"/>
                <w:color w:val="auto"/>
              </w:rPr>
            </w:pPr>
            <w:r>
              <w:rPr>
                <w:rFonts w:ascii="Arial" w:cs="Arial" w:eastAsia="Arial" w:hAnsi="Arial"/>
                <w:sz w:val="20"/>
                <w:szCs w:val="20"/>
                <w:color w:val="auto"/>
              </w:rPr>
              <w:t>Finance</w:t>
            </w:r>
          </w:p>
        </w:tc>
        <w:tc>
          <w:tcPr>
            <w:tcW w:w="8400" w:type="dxa"/>
            <w:vAlign w:val="bottom"/>
            <w:shd w:val="clear" w:color="auto" w:fill="E7ECF0"/>
          </w:tcPr>
          <w:p>
            <w:pPr>
              <w:ind w:left="240"/>
              <w:spacing w:after="0"/>
              <w:rPr>
                <w:sz w:val="20"/>
                <w:szCs w:val="20"/>
                <w:color w:val="auto"/>
              </w:rPr>
            </w:pPr>
            <w:r>
              <w:rPr>
                <w:rFonts w:ascii="Arial" w:cs="Arial" w:eastAsia="Arial" w:hAnsi="Arial"/>
                <w:sz w:val="20"/>
                <w:szCs w:val="20"/>
                <w:color w:val="auto"/>
              </w:rPr>
              <w:t>Experience or expertise in corporate finance, financial accounting, or financial management</w:t>
            </w:r>
          </w:p>
        </w:tc>
        <w:tc>
          <w:tcPr>
            <w:tcW w:w="0" w:type="dxa"/>
            <w:vAlign w:val="bottom"/>
          </w:tcPr>
          <w:p>
            <w:pPr>
              <w:spacing w:after="0"/>
              <w:rPr>
                <w:sz w:val="1"/>
                <w:szCs w:val="1"/>
                <w:color w:val="auto"/>
              </w:rPr>
            </w:pPr>
          </w:p>
        </w:tc>
      </w:tr>
      <w:tr>
        <w:trPr>
          <w:trHeight w:val="256"/>
        </w:trPr>
        <w:tc>
          <w:tcPr>
            <w:tcW w:w="2840" w:type="dxa"/>
            <w:vAlign w:val="bottom"/>
            <w:gridSpan w:val="2"/>
          </w:tcPr>
          <w:p>
            <w:pPr>
              <w:ind w:left="20"/>
              <w:spacing w:after="0"/>
              <w:rPr>
                <w:sz w:val="20"/>
                <w:szCs w:val="20"/>
                <w:color w:val="auto"/>
              </w:rPr>
            </w:pPr>
            <w:r>
              <w:rPr>
                <w:rFonts w:ascii="Arial" w:cs="Arial" w:eastAsia="Arial" w:hAnsi="Arial"/>
                <w:sz w:val="20"/>
                <w:szCs w:val="20"/>
                <w:color w:val="auto"/>
              </w:rPr>
              <w:t>Financial Services Industry</w:t>
            </w:r>
          </w:p>
        </w:tc>
        <w:tc>
          <w:tcPr>
            <w:tcW w:w="8400" w:type="dxa"/>
            <w:vAlign w:val="bottom"/>
          </w:tcPr>
          <w:p>
            <w:pPr>
              <w:ind w:left="240"/>
              <w:spacing w:after="0"/>
              <w:rPr>
                <w:sz w:val="20"/>
                <w:szCs w:val="20"/>
                <w:color w:val="auto"/>
              </w:rPr>
            </w:pPr>
            <w:r>
              <w:rPr>
                <w:rFonts w:ascii="Arial" w:cs="Arial" w:eastAsia="Arial" w:hAnsi="Arial"/>
                <w:sz w:val="20"/>
                <w:szCs w:val="20"/>
                <w:color w:val="auto"/>
              </w:rPr>
              <w:t>Experience in the financial services industry, including banks, credit unions, or payments</w:t>
            </w:r>
          </w:p>
        </w:tc>
        <w:tc>
          <w:tcPr>
            <w:tcW w:w="0" w:type="dxa"/>
            <w:vAlign w:val="bottom"/>
          </w:tcPr>
          <w:p>
            <w:pPr>
              <w:spacing w:after="0"/>
              <w:rPr>
                <w:sz w:val="1"/>
                <w:szCs w:val="1"/>
                <w:color w:val="auto"/>
              </w:rPr>
            </w:pPr>
          </w:p>
        </w:tc>
      </w:tr>
      <w:tr>
        <w:trPr>
          <w:trHeight w:val="194"/>
        </w:trPr>
        <w:tc>
          <w:tcPr>
            <w:tcW w:w="2840" w:type="dxa"/>
            <w:vAlign w:val="bottom"/>
            <w:gridSpan w:val="2"/>
            <w:shd w:val="clear" w:color="auto" w:fill="E7ECF0"/>
          </w:tcPr>
          <w:p>
            <w:pPr>
              <w:ind w:left="20"/>
              <w:spacing w:after="0" w:line="194" w:lineRule="exact"/>
              <w:rPr>
                <w:sz w:val="20"/>
                <w:szCs w:val="20"/>
                <w:color w:val="auto"/>
              </w:rPr>
            </w:pPr>
            <w:r>
              <w:rPr>
                <w:rFonts w:ascii="Arial" w:cs="Arial" w:eastAsia="Arial" w:hAnsi="Arial"/>
                <w:sz w:val="20"/>
                <w:szCs w:val="20"/>
                <w:color w:val="auto"/>
              </w:rPr>
              <w:t>Regulatory Compliance</w:t>
            </w:r>
          </w:p>
        </w:tc>
        <w:tc>
          <w:tcPr>
            <w:tcW w:w="8400" w:type="dxa"/>
            <w:vAlign w:val="bottom"/>
            <w:shd w:val="clear" w:color="auto" w:fill="E7ECF0"/>
          </w:tcPr>
          <w:p>
            <w:pPr>
              <w:ind w:left="240"/>
              <w:spacing w:after="0" w:line="194" w:lineRule="exact"/>
              <w:rPr>
                <w:sz w:val="20"/>
                <w:szCs w:val="20"/>
                <w:color w:val="auto"/>
              </w:rPr>
            </w:pPr>
            <w:r>
              <w:rPr>
                <w:rFonts w:ascii="Arial" w:cs="Arial" w:eastAsia="Arial" w:hAnsi="Arial"/>
                <w:sz w:val="20"/>
                <w:szCs w:val="20"/>
                <w:color w:val="auto"/>
              </w:rPr>
              <w:t>Experience  in  overseeing  compliance  programs  or  engagement  with  government  or</w:t>
            </w:r>
          </w:p>
        </w:tc>
        <w:tc>
          <w:tcPr>
            <w:tcW w:w="0" w:type="dxa"/>
            <w:vAlign w:val="bottom"/>
          </w:tcPr>
          <w:p>
            <w:pPr>
              <w:spacing w:after="0"/>
              <w:rPr>
                <w:sz w:val="1"/>
                <w:szCs w:val="1"/>
                <w:color w:val="auto"/>
              </w:rPr>
            </w:pPr>
          </w:p>
        </w:tc>
      </w:tr>
      <w:tr>
        <w:trPr>
          <w:trHeight w:val="251"/>
        </w:trPr>
        <w:tc>
          <w:tcPr>
            <w:tcW w:w="300" w:type="dxa"/>
            <w:vAlign w:val="bottom"/>
            <w:shd w:val="clear" w:color="auto" w:fill="E7ECF0"/>
          </w:tcPr>
          <w:p>
            <w:pPr>
              <w:spacing w:after="0"/>
              <w:rPr>
                <w:sz w:val="21"/>
                <w:szCs w:val="21"/>
                <w:color w:val="auto"/>
              </w:rPr>
            </w:pPr>
          </w:p>
        </w:tc>
        <w:tc>
          <w:tcPr>
            <w:tcW w:w="2540" w:type="dxa"/>
            <w:vAlign w:val="bottom"/>
            <w:shd w:val="clear" w:color="auto" w:fill="E7ECF0"/>
          </w:tcPr>
          <w:p>
            <w:pPr>
              <w:spacing w:after="0"/>
              <w:rPr>
                <w:sz w:val="21"/>
                <w:szCs w:val="21"/>
                <w:color w:val="auto"/>
              </w:rPr>
            </w:pPr>
          </w:p>
        </w:tc>
        <w:tc>
          <w:tcPr>
            <w:tcW w:w="8400" w:type="dxa"/>
            <w:vAlign w:val="bottom"/>
            <w:shd w:val="clear" w:color="auto" w:fill="E7ECF0"/>
          </w:tcPr>
          <w:p>
            <w:pPr>
              <w:ind w:left="240"/>
              <w:spacing w:after="0"/>
              <w:rPr>
                <w:sz w:val="20"/>
                <w:szCs w:val="20"/>
                <w:color w:val="auto"/>
              </w:rPr>
            </w:pPr>
            <w:r>
              <w:rPr>
                <w:rFonts w:ascii="Arial" w:cs="Arial" w:eastAsia="Arial" w:hAnsi="Arial"/>
                <w:sz w:val="20"/>
                <w:szCs w:val="20"/>
                <w:color w:val="auto"/>
              </w:rPr>
              <w:t>regulatory bodies</w:t>
            </w:r>
          </w:p>
        </w:tc>
        <w:tc>
          <w:tcPr>
            <w:tcW w:w="0" w:type="dxa"/>
            <w:vAlign w:val="bottom"/>
          </w:tcPr>
          <w:p>
            <w:pPr>
              <w:spacing w:after="0"/>
              <w:rPr>
                <w:sz w:val="1"/>
                <w:szCs w:val="1"/>
                <w:color w:val="auto"/>
              </w:rPr>
            </w:pPr>
          </w:p>
        </w:tc>
      </w:tr>
      <w:tr>
        <w:trPr>
          <w:trHeight w:val="194"/>
        </w:trPr>
        <w:tc>
          <w:tcPr>
            <w:tcW w:w="2840" w:type="dxa"/>
            <w:vAlign w:val="bottom"/>
            <w:gridSpan w:val="2"/>
          </w:tcPr>
          <w:p>
            <w:pPr>
              <w:ind w:left="20"/>
              <w:spacing w:after="0" w:line="194" w:lineRule="exact"/>
              <w:rPr>
                <w:sz w:val="20"/>
                <w:szCs w:val="20"/>
                <w:color w:val="auto"/>
              </w:rPr>
            </w:pPr>
            <w:r>
              <w:rPr>
                <w:rFonts w:ascii="Arial" w:cs="Arial" w:eastAsia="Arial" w:hAnsi="Arial"/>
                <w:sz w:val="20"/>
                <w:szCs w:val="20"/>
                <w:color w:val="auto"/>
              </w:rPr>
              <w:t>Other Public Company Board</w:t>
            </w:r>
          </w:p>
        </w:tc>
        <w:tc>
          <w:tcPr>
            <w:tcW w:w="8400" w:type="dxa"/>
            <w:vAlign w:val="bottom"/>
          </w:tcPr>
          <w:p>
            <w:pPr>
              <w:ind w:left="240"/>
              <w:spacing w:after="0" w:line="194" w:lineRule="exact"/>
              <w:rPr>
                <w:sz w:val="20"/>
                <w:szCs w:val="20"/>
                <w:color w:val="auto"/>
              </w:rPr>
            </w:pPr>
            <w:r>
              <w:rPr>
                <w:rFonts w:ascii="Arial" w:cs="Arial" w:eastAsia="Arial" w:hAnsi="Arial"/>
                <w:sz w:val="20"/>
                <w:szCs w:val="20"/>
                <w:color w:val="auto"/>
              </w:rPr>
              <w:t>Experience  on  another  public  company  board  or  significant  corporate  governance</w:t>
            </w:r>
          </w:p>
        </w:tc>
        <w:tc>
          <w:tcPr>
            <w:tcW w:w="0" w:type="dxa"/>
            <w:vAlign w:val="bottom"/>
          </w:tcPr>
          <w:p>
            <w:pPr>
              <w:spacing w:after="0"/>
              <w:rPr>
                <w:sz w:val="1"/>
                <w:szCs w:val="1"/>
                <w:color w:val="auto"/>
              </w:rPr>
            </w:pPr>
          </w:p>
        </w:tc>
      </w:tr>
      <w:tr>
        <w:trPr>
          <w:trHeight w:val="251"/>
        </w:trPr>
        <w:tc>
          <w:tcPr>
            <w:tcW w:w="2840" w:type="dxa"/>
            <w:vAlign w:val="bottom"/>
            <w:gridSpan w:val="2"/>
          </w:tcPr>
          <w:p>
            <w:pPr>
              <w:ind w:left="20"/>
              <w:spacing w:after="0"/>
              <w:rPr>
                <w:sz w:val="20"/>
                <w:szCs w:val="20"/>
                <w:color w:val="auto"/>
              </w:rPr>
            </w:pPr>
            <w:r>
              <w:rPr>
                <w:rFonts w:ascii="Arial" w:cs="Arial" w:eastAsia="Arial" w:hAnsi="Arial"/>
                <w:sz w:val="20"/>
                <w:szCs w:val="20"/>
                <w:color w:val="auto"/>
              </w:rPr>
              <w:t>or Governance</w:t>
            </w:r>
          </w:p>
        </w:tc>
        <w:tc>
          <w:tcPr>
            <w:tcW w:w="8400" w:type="dxa"/>
            <w:vAlign w:val="bottom"/>
          </w:tcPr>
          <w:p>
            <w:pPr>
              <w:ind w:left="240"/>
              <w:spacing w:after="0"/>
              <w:rPr>
                <w:sz w:val="20"/>
                <w:szCs w:val="20"/>
                <w:color w:val="auto"/>
              </w:rPr>
            </w:pPr>
            <w:r>
              <w:rPr>
                <w:rFonts w:ascii="Arial" w:cs="Arial" w:eastAsia="Arial" w:hAnsi="Arial"/>
                <w:sz w:val="20"/>
                <w:szCs w:val="20"/>
                <w:color w:val="auto"/>
              </w:rPr>
              <w:t>experience</w:t>
            </w:r>
          </w:p>
        </w:tc>
        <w:tc>
          <w:tcPr>
            <w:tcW w:w="0" w:type="dxa"/>
            <w:vAlign w:val="bottom"/>
          </w:tcPr>
          <w:p>
            <w:pPr>
              <w:spacing w:after="0"/>
              <w:rPr>
                <w:sz w:val="1"/>
                <w:szCs w:val="1"/>
                <w:color w:val="auto"/>
              </w:rPr>
            </w:pPr>
          </w:p>
        </w:tc>
      </w:tr>
      <w:tr>
        <w:trPr>
          <w:trHeight w:val="194"/>
        </w:trPr>
        <w:tc>
          <w:tcPr>
            <w:tcW w:w="2840" w:type="dxa"/>
            <w:vAlign w:val="bottom"/>
            <w:gridSpan w:val="2"/>
            <w:shd w:val="clear" w:color="auto" w:fill="E7ECF0"/>
          </w:tcPr>
          <w:p>
            <w:pPr>
              <w:ind w:left="20"/>
              <w:spacing w:after="0" w:line="194" w:lineRule="exact"/>
              <w:rPr>
                <w:sz w:val="20"/>
                <w:szCs w:val="20"/>
                <w:color w:val="auto"/>
              </w:rPr>
            </w:pPr>
            <w:r>
              <w:rPr>
                <w:rFonts w:ascii="Arial" w:cs="Arial" w:eastAsia="Arial" w:hAnsi="Arial"/>
                <w:sz w:val="20"/>
                <w:szCs w:val="20"/>
                <w:color w:val="auto"/>
              </w:rPr>
              <w:t>Technology and Innovation</w:t>
            </w:r>
          </w:p>
        </w:tc>
        <w:tc>
          <w:tcPr>
            <w:tcW w:w="8400" w:type="dxa"/>
            <w:vAlign w:val="bottom"/>
            <w:shd w:val="clear" w:color="auto" w:fill="E7ECF0"/>
          </w:tcPr>
          <w:p>
            <w:pPr>
              <w:ind w:left="240"/>
              <w:spacing w:after="0" w:line="194" w:lineRule="exact"/>
              <w:rPr>
                <w:sz w:val="20"/>
                <w:szCs w:val="20"/>
                <w:color w:val="auto"/>
              </w:rPr>
            </w:pPr>
            <w:r>
              <w:rPr>
                <w:rFonts w:ascii="Arial" w:cs="Arial" w:eastAsia="Arial" w:hAnsi="Arial"/>
                <w:sz w:val="20"/>
                <w:szCs w:val="20"/>
                <w:color w:val="auto"/>
              </w:rPr>
              <w:t>Experience managing technological change or driving technological innovation within an</w:t>
            </w:r>
          </w:p>
        </w:tc>
        <w:tc>
          <w:tcPr>
            <w:tcW w:w="0" w:type="dxa"/>
            <w:vAlign w:val="bottom"/>
          </w:tcPr>
          <w:p>
            <w:pPr>
              <w:spacing w:after="0"/>
              <w:rPr>
                <w:sz w:val="1"/>
                <w:szCs w:val="1"/>
                <w:color w:val="auto"/>
              </w:rPr>
            </w:pPr>
          </w:p>
        </w:tc>
      </w:tr>
      <w:tr>
        <w:trPr>
          <w:trHeight w:val="251"/>
        </w:trPr>
        <w:tc>
          <w:tcPr>
            <w:tcW w:w="300" w:type="dxa"/>
            <w:vAlign w:val="bottom"/>
            <w:shd w:val="clear" w:color="auto" w:fill="E7ECF0"/>
          </w:tcPr>
          <w:p>
            <w:pPr>
              <w:spacing w:after="0"/>
              <w:rPr>
                <w:sz w:val="21"/>
                <w:szCs w:val="21"/>
                <w:color w:val="auto"/>
              </w:rPr>
            </w:pPr>
          </w:p>
        </w:tc>
        <w:tc>
          <w:tcPr>
            <w:tcW w:w="2540" w:type="dxa"/>
            <w:vAlign w:val="bottom"/>
            <w:shd w:val="clear" w:color="auto" w:fill="E7ECF0"/>
          </w:tcPr>
          <w:p>
            <w:pPr>
              <w:spacing w:after="0"/>
              <w:rPr>
                <w:sz w:val="21"/>
                <w:szCs w:val="21"/>
                <w:color w:val="auto"/>
              </w:rPr>
            </w:pPr>
          </w:p>
        </w:tc>
        <w:tc>
          <w:tcPr>
            <w:tcW w:w="8400" w:type="dxa"/>
            <w:vAlign w:val="bottom"/>
            <w:shd w:val="clear" w:color="auto" w:fill="E7ECF0"/>
          </w:tcPr>
          <w:p>
            <w:pPr>
              <w:ind w:left="240"/>
              <w:spacing w:after="0"/>
              <w:rPr>
                <w:sz w:val="20"/>
                <w:szCs w:val="20"/>
                <w:color w:val="auto"/>
              </w:rPr>
            </w:pPr>
            <w:r>
              <w:rPr>
                <w:rFonts w:ascii="Arial" w:cs="Arial" w:eastAsia="Arial" w:hAnsi="Arial"/>
                <w:sz w:val="20"/>
                <w:szCs w:val="20"/>
                <w:color w:val="auto"/>
              </w:rPr>
              <w:t>organization</w:t>
            </w:r>
          </w:p>
        </w:tc>
        <w:tc>
          <w:tcPr>
            <w:tcW w:w="0" w:type="dxa"/>
            <w:vAlign w:val="bottom"/>
          </w:tcPr>
          <w:p>
            <w:pPr>
              <w:spacing w:after="0"/>
              <w:rPr>
                <w:sz w:val="1"/>
                <w:szCs w:val="1"/>
                <w:color w:val="auto"/>
              </w:rPr>
            </w:pPr>
          </w:p>
        </w:tc>
      </w:tr>
      <w:tr>
        <w:trPr>
          <w:trHeight w:val="194"/>
        </w:trPr>
        <w:tc>
          <w:tcPr>
            <w:tcW w:w="2840" w:type="dxa"/>
            <w:vAlign w:val="bottom"/>
            <w:gridSpan w:val="2"/>
          </w:tcPr>
          <w:p>
            <w:pPr>
              <w:ind w:left="20"/>
              <w:spacing w:after="0" w:line="194" w:lineRule="exact"/>
              <w:rPr>
                <w:sz w:val="20"/>
                <w:szCs w:val="20"/>
                <w:color w:val="auto"/>
              </w:rPr>
            </w:pPr>
            <w:r>
              <w:rPr>
                <w:rFonts w:ascii="Arial" w:cs="Arial" w:eastAsia="Arial" w:hAnsi="Arial"/>
                <w:sz w:val="20"/>
                <w:szCs w:val="20"/>
                <w:color w:val="auto"/>
              </w:rPr>
              <w:t>Strategy and Mergers and</w:t>
            </w:r>
          </w:p>
        </w:tc>
        <w:tc>
          <w:tcPr>
            <w:tcW w:w="8400" w:type="dxa"/>
            <w:vAlign w:val="bottom"/>
            <w:vMerge w:val="restart"/>
          </w:tcPr>
          <w:p>
            <w:pPr>
              <w:ind w:left="240"/>
              <w:spacing w:after="0"/>
              <w:rPr>
                <w:sz w:val="20"/>
                <w:szCs w:val="20"/>
                <w:color w:val="auto"/>
              </w:rPr>
            </w:pPr>
            <w:r>
              <w:rPr>
                <w:rFonts w:ascii="Arial" w:cs="Arial" w:eastAsia="Arial" w:hAnsi="Arial"/>
                <w:sz w:val="20"/>
                <w:szCs w:val="20"/>
                <w:color w:val="auto"/>
              </w:rPr>
              <w:t>Experience in strategic planning, business development, or mergers and acquisitions</w:t>
            </w:r>
          </w:p>
        </w:tc>
        <w:tc>
          <w:tcPr>
            <w:tcW w:w="0" w:type="dxa"/>
            <w:vAlign w:val="bottom"/>
          </w:tcPr>
          <w:p>
            <w:pPr>
              <w:spacing w:after="0"/>
              <w:rPr>
                <w:sz w:val="1"/>
                <w:szCs w:val="1"/>
                <w:color w:val="auto"/>
              </w:rPr>
            </w:pPr>
          </w:p>
        </w:tc>
      </w:tr>
      <w:tr>
        <w:trPr>
          <w:trHeight w:val="251"/>
        </w:trPr>
        <w:tc>
          <w:tcPr>
            <w:tcW w:w="2840" w:type="dxa"/>
            <w:vAlign w:val="bottom"/>
            <w:gridSpan w:val="2"/>
          </w:tcPr>
          <w:p>
            <w:pPr>
              <w:ind w:left="20"/>
              <w:spacing w:after="0"/>
              <w:rPr>
                <w:sz w:val="20"/>
                <w:szCs w:val="20"/>
                <w:color w:val="auto"/>
              </w:rPr>
            </w:pPr>
            <w:r>
              <w:rPr>
                <w:rFonts w:ascii="Arial" w:cs="Arial" w:eastAsia="Arial" w:hAnsi="Arial"/>
                <w:sz w:val="20"/>
                <w:szCs w:val="20"/>
                <w:color w:val="auto"/>
              </w:rPr>
              <w:t>Acquisitions</w:t>
            </w:r>
          </w:p>
        </w:tc>
        <w:tc>
          <w:tcPr>
            <w:tcW w:w="8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94"/>
        </w:trPr>
        <w:tc>
          <w:tcPr>
            <w:tcW w:w="2840" w:type="dxa"/>
            <w:vAlign w:val="bottom"/>
            <w:gridSpan w:val="2"/>
            <w:shd w:val="clear" w:color="auto" w:fill="E7ECF0"/>
          </w:tcPr>
          <w:p>
            <w:pPr>
              <w:ind w:left="20"/>
              <w:spacing w:after="0" w:line="194" w:lineRule="exact"/>
              <w:rPr>
                <w:sz w:val="20"/>
                <w:szCs w:val="20"/>
                <w:color w:val="auto"/>
              </w:rPr>
            </w:pPr>
            <w:r>
              <w:rPr>
                <w:rFonts w:ascii="Arial" w:cs="Arial" w:eastAsia="Arial" w:hAnsi="Arial"/>
                <w:sz w:val="20"/>
                <w:szCs w:val="20"/>
                <w:color w:val="auto"/>
              </w:rPr>
              <w:t>Risk Management and</w:t>
            </w:r>
          </w:p>
        </w:tc>
        <w:tc>
          <w:tcPr>
            <w:tcW w:w="8400" w:type="dxa"/>
            <w:vAlign w:val="bottom"/>
            <w:vMerge w:val="restart"/>
            <w:shd w:val="clear" w:color="auto" w:fill="E7ECF0"/>
          </w:tcPr>
          <w:p>
            <w:pPr>
              <w:ind w:left="240"/>
              <w:spacing w:after="0"/>
              <w:rPr>
                <w:sz w:val="20"/>
                <w:szCs w:val="20"/>
                <w:color w:val="auto"/>
              </w:rPr>
            </w:pPr>
            <w:r>
              <w:rPr>
                <w:rFonts w:ascii="Arial" w:cs="Arial" w:eastAsia="Arial" w:hAnsi="Arial"/>
                <w:sz w:val="20"/>
                <w:szCs w:val="20"/>
                <w:color w:val="auto"/>
              </w:rPr>
              <w:t>Experience in risk management, cybersecurity, information security, or data privacy</w:t>
            </w:r>
          </w:p>
        </w:tc>
        <w:tc>
          <w:tcPr>
            <w:tcW w:w="0" w:type="dxa"/>
            <w:vAlign w:val="bottom"/>
          </w:tcPr>
          <w:p>
            <w:pPr>
              <w:spacing w:after="0"/>
              <w:rPr>
                <w:sz w:val="1"/>
                <w:szCs w:val="1"/>
                <w:color w:val="auto"/>
              </w:rPr>
            </w:pPr>
          </w:p>
        </w:tc>
      </w:tr>
      <w:tr>
        <w:trPr>
          <w:trHeight w:val="251"/>
        </w:trPr>
        <w:tc>
          <w:tcPr>
            <w:tcW w:w="2840" w:type="dxa"/>
            <w:vAlign w:val="bottom"/>
            <w:gridSpan w:val="2"/>
            <w:shd w:val="clear" w:color="auto" w:fill="E7ECF0"/>
          </w:tcPr>
          <w:p>
            <w:pPr>
              <w:ind w:left="20"/>
              <w:spacing w:after="0"/>
              <w:rPr>
                <w:sz w:val="20"/>
                <w:szCs w:val="20"/>
                <w:color w:val="auto"/>
              </w:rPr>
            </w:pPr>
            <w:r>
              <w:rPr>
                <w:rFonts w:ascii="Arial" w:cs="Arial" w:eastAsia="Arial" w:hAnsi="Arial"/>
                <w:sz w:val="20"/>
                <w:szCs w:val="20"/>
                <w:color w:val="auto"/>
              </w:rPr>
              <w:t>Cybersecurity</w:t>
            </w:r>
          </w:p>
        </w:tc>
        <w:tc>
          <w:tcPr>
            <w:tcW w:w="8400" w:type="dxa"/>
            <w:vAlign w:val="bottom"/>
            <w:vMerge w:val="continue"/>
            <w:shd w:val="clear" w:color="auto" w:fill="E7ECF0"/>
          </w:tcPr>
          <w:p>
            <w:pPr>
              <w:spacing w:after="0"/>
              <w:rPr>
                <w:sz w:val="21"/>
                <w:szCs w:val="21"/>
                <w:color w:val="auto"/>
              </w:rPr>
            </w:pPr>
          </w:p>
        </w:tc>
        <w:tc>
          <w:tcPr>
            <w:tcW w:w="0" w:type="dxa"/>
            <w:vAlign w:val="bottom"/>
          </w:tcPr>
          <w:p>
            <w:pPr>
              <w:spacing w:after="0"/>
              <w:rPr>
                <w:sz w:val="1"/>
                <w:szCs w:val="1"/>
                <w:color w:val="auto"/>
              </w:rPr>
            </w:pPr>
          </w:p>
        </w:tc>
      </w:tr>
      <w:tr>
        <w:trPr>
          <w:trHeight w:val="162"/>
        </w:trPr>
        <w:tc>
          <w:tcPr>
            <w:tcW w:w="300" w:type="dxa"/>
            <w:vAlign w:val="bottom"/>
            <w:tcBorders>
              <w:bottom w:val="single" w:sz="8" w:color="005DA6"/>
            </w:tcBorders>
          </w:tcPr>
          <w:p>
            <w:pPr>
              <w:spacing w:after="0"/>
              <w:rPr>
                <w:sz w:val="14"/>
                <w:szCs w:val="14"/>
                <w:color w:val="auto"/>
              </w:rPr>
            </w:pPr>
          </w:p>
        </w:tc>
        <w:tc>
          <w:tcPr>
            <w:tcW w:w="2540" w:type="dxa"/>
            <w:vAlign w:val="bottom"/>
            <w:tcBorders>
              <w:bottom w:val="single" w:sz="8" w:color="005DA6"/>
            </w:tcBorders>
          </w:tcPr>
          <w:p>
            <w:pPr>
              <w:spacing w:after="0"/>
              <w:rPr>
                <w:sz w:val="14"/>
                <w:szCs w:val="14"/>
                <w:color w:val="auto"/>
              </w:rPr>
            </w:pPr>
          </w:p>
        </w:tc>
        <w:tc>
          <w:tcPr>
            <w:tcW w:w="8400" w:type="dxa"/>
            <w:vAlign w:val="bottom"/>
            <w:tcBorders>
              <w:bottom w:val="single" w:sz="8" w:color="005DA6"/>
            </w:tcBorders>
          </w:tcPr>
          <w:p>
            <w:pPr>
              <w:spacing w:after="0"/>
              <w:rPr>
                <w:sz w:val="14"/>
                <w:szCs w:val="14"/>
                <w:color w:val="auto"/>
              </w:rPr>
            </w:pPr>
          </w:p>
        </w:tc>
        <w:tc>
          <w:tcPr>
            <w:tcW w:w="0" w:type="dxa"/>
            <w:vAlign w:val="bottom"/>
          </w:tcPr>
          <w:p>
            <w:pPr>
              <w:spacing w:after="0"/>
              <w:rPr>
                <w:sz w:val="1"/>
                <w:szCs w:val="1"/>
                <w:color w:val="auto"/>
              </w:rPr>
            </w:pPr>
          </w:p>
        </w:tc>
      </w:tr>
      <w:tr>
        <w:trPr>
          <w:trHeight w:val="429"/>
        </w:trPr>
        <w:tc>
          <w:tcPr>
            <w:tcW w:w="300" w:type="dxa"/>
            <w:vAlign w:val="bottom"/>
          </w:tcPr>
          <w:p>
            <w:pPr>
              <w:ind w:left="20"/>
              <w:spacing w:after="0"/>
              <w:rPr>
                <w:sz w:val="20"/>
                <w:szCs w:val="20"/>
                <w:color w:val="auto"/>
              </w:rPr>
            </w:pPr>
            <w:r>
              <w:rPr>
                <w:rFonts w:ascii="Arial" w:cs="Arial" w:eastAsia="Arial" w:hAnsi="Arial"/>
                <w:sz w:val="18"/>
                <w:szCs w:val="18"/>
                <w:color w:val="auto"/>
              </w:rPr>
              <w:t>6</w:t>
            </w:r>
          </w:p>
        </w:tc>
        <w:tc>
          <w:tcPr>
            <w:tcW w:w="2540" w:type="dxa"/>
            <w:vAlign w:val="bottom"/>
          </w:tcPr>
          <w:p>
            <w:pPr>
              <w:ind w:left="160"/>
              <w:spacing w:after="0"/>
              <w:rPr>
                <w:sz w:val="20"/>
                <w:szCs w:val="20"/>
                <w:color w:val="auto"/>
              </w:rPr>
            </w:pPr>
            <w:r>
              <w:rPr>
                <w:rFonts w:ascii="Arial" w:cs="Arial" w:eastAsia="Arial" w:hAnsi="Arial"/>
                <w:sz w:val="18"/>
                <w:szCs w:val="18"/>
                <w:color w:val="auto"/>
              </w:rPr>
              <w:t>2024 Proxy Statement</w:t>
            </w:r>
          </w:p>
        </w:tc>
        <w:tc>
          <w:tcPr>
            <w:tcW w:w="8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8"/>
        </w:trPr>
        <w:tc>
          <w:tcPr>
            <w:tcW w:w="300" w:type="dxa"/>
            <w:vAlign w:val="bottom"/>
            <w:tcBorders>
              <w:bottom w:val="single" w:sz="8" w:color="9A9A9A"/>
            </w:tcBorders>
          </w:tcPr>
          <w:p>
            <w:pPr>
              <w:spacing w:after="0"/>
              <w:rPr>
                <w:sz w:val="24"/>
                <w:szCs w:val="24"/>
                <w:color w:val="auto"/>
              </w:rPr>
            </w:pPr>
          </w:p>
        </w:tc>
        <w:tc>
          <w:tcPr>
            <w:tcW w:w="2540" w:type="dxa"/>
            <w:vAlign w:val="bottom"/>
            <w:tcBorders>
              <w:bottom w:val="single" w:sz="8" w:color="9A9A9A"/>
            </w:tcBorders>
          </w:tcPr>
          <w:p>
            <w:pPr>
              <w:spacing w:after="0"/>
              <w:rPr>
                <w:sz w:val="24"/>
                <w:szCs w:val="24"/>
                <w:color w:val="auto"/>
              </w:rPr>
            </w:pPr>
          </w:p>
        </w:tc>
        <w:tc>
          <w:tcPr>
            <w:tcW w:w="84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3065145</wp:posOffset>
            </wp:positionH>
            <wp:positionV relativeFrom="paragraph">
              <wp:posOffset>-548005</wp:posOffset>
            </wp:positionV>
            <wp:extent cx="1508760" cy="3429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508760" cy="342900"/>
                    </a:xfrm>
                    <a:prstGeom prst="rect">
                      <a:avLst/>
                    </a:prstGeom>
                    <a:noFill/>
                  </pic:spPr>
                </pic:pic>
              </a:graphicData>
            </a:graphic>
          </wp:anchor>
        </w:drawing>
      </w:r>
    </w:p>
    <w:p>
      <w:pPr>
        <w:sectPr>
          <w:pgSz w:w="11900" w:h="16838" w:orient="portrait"/>
          <w:cols w:equalWidth="0" w:num="1">
            <w:col w:w="11240"/>
          </w:cols>
          <w:pgMar w:left="320" w:top="901" w:right="339" w:bottom="150" w:gutter="0" w:footer="0" w:header="0"/>
          <w:type w:val="continuous"/>
        </w:sectPr>
      </w:pPr>
    </w:p>
    <w:bookmarkStart w:id="9" w:name="page10"/>
    <w:bookmarkEnd w:id="9"/>
    <w:p>
      <w:pPr>
        <w:spacing w:after="0"/>
        <w:rPr>
          <w:sz w:val="20"/>
          <w:szCs w:val="20"/>
          <w:color w:val="auto"/>
        </w:rPr>
      </w:pPr>
      <w:r>
        <w:rPr>
          <w:rFonts w:ascii="Arial" w:cs="Arial" w:eastAsia="Arial" w:hAnsi="Arial"/>
          <w:sz w:val="20"/>
          <w:szCs w:val="20"/>
          <w:b w:val="1"/>
          <w:bCs w:val="1"/>
          <w:color w:val="auto"/>
        </w:rPr>
        <w:t>Board Diversity Matrix</w:t>
      </w:r>
    </w:p>
    <w:p>
      <w:pPr>
        <w:spacing w:after="0" w:line="245" w:lineRule="exact"/>
        <w:rPr>
          <w:sz w:val="20"/>
          <w:szCs w:val="20"/>
          <w:color w:val="auto"/>
        </w:rPr>
      </w:pPr>
    </w:p>
    <w:p>
      <w:pPr>
        <w:spacing w:after="0"/>
        <w:rPr>
          <w:sz w:val="20"/>
          <w:szCs w:val="20"/>
          <w:color w:val="auto"/>
        </w:rPr>
      </w:pPr>
      <w:r>
        <w:rPr>
          <w:rFonts w:ascii="Arial" w:cs="Arial" w:eastAsia="Arial" w:hAnsi="Arial"/>
          <w:sz w:val="20"/>
          <w:szCs w:val="20"/>
          <w:color w:val="auto"/>
        </w:rPr>
        <w:t>The matrix below summarizes the self-identified gender and ethnic diverse attributes of the directors on our Board.</w:t>
      </w: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Board Diversity Matrix (As of September 16,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904875</wp:posOffset>
            </wp:positionH>
            <wp:positionV relativeFrom="paragraph">
              <wp:posOffset>-127635</wp:posOffset>
            </wp:positionV>
            <wp:extent cx="5332095" cy="14605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332095" cy="146050"/>
                    </a:xfrm>
                    <a:prstGeom prst="rect">
                      <a:avLst/>
                    </a:prstGeom>
                    <a:noFill/>
                  </pic:spPr>
                </pic:pic>
              </a:graphicData>
            </a:graphic>
          </wp:anchor>
        </w:drawing>
      </w:r>
    </w:p>
    <w:p>
      <w:pPr>
        <w:spacing w:after="0" w:line="8" w:lineRule="exact"/>
        <w:rPr>
          <w:sz w:val="20"/>
          <w:szCs w:val="20"/>
          <w:color w:val="auto"/>
        </w:rPr>
      </w:pPr>
    </w:p>
    <w:tbl>
      <w:tblPr>
        <w:tblLayout w:type="fixed"/>
        <w:tblInd w:w="1420" w:type="dxa"/>
        <w:tblCellMar>
          <w:top w:w="0" w:type="dxa"/>
          <w:left w:w="0" w:type="dxa"/>
          <w:bottom w:w="0" w:type="dxa"/>
          <w:right w:w="0" w:type="dxa"/>
        </w:tblCellMar>
      </w:tblPr>
      <w:tr>
        <w:trPr>
          <w:trHeight w:val="223"/>
        </w:trPr>
        <w:tc>
          <w:tcPr>
            <w:tcW w:w="360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Total Number of Directors</w:t>
            </w:r>
          </w:p>
        </w:tc>
        <w:tc>
          <w:tcPr>
            <w:tcW w:w="192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1320" w:type="dxa"/>
            <w:vAlign w:val="bottom"/>
            <w:tcBorders>
              <w:top w:val="single" w:sz="8" w:color="auto"/>
            </w:tcBorders>
          </w:tcPr>
          <w:p>
            <w:pPr>
              <w:jc w:val="center"/>
              <w:ind w:right="790"/>
              <w:spacing w:after="0"/>
              <w:rPr>
                <w:sz w:val="20"/>
                <w:szCs w:val="20"/>
                <w:color w:val="auto"/>
              </w:rPr>
            </w:pPr>
            <w:r>
              <w:rPr>
                <w:rFonts w:ascii="Arial" w:cs="Arial" w:eastAsia="Arial" w:hAnsi="Arial"/>
                <w:sz w:val="18"/>
                <w:szCs w:val="18"/>
                <w:color w:val="auto"/>
                <w:w w:val="99"/>
              </w:rPr>
              <w:t>10</w:t>
            </w:r>
          </w:p>
        </w:tc>
        <w:tc>
          <w:tcPr>
            <w:tcW w:w="100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3600" w:type="dxa"/>
            <w:vAlign w:val="bottom"/>
            <w:shd w:val="clear" w:color="auto" w:fill="E8F7F7"/>
          </w:tcPr>
          <w:p>
            <w:pPr>
              <w:spacing w:after="0"/>
              <w:rPr>
                <w:sz w:val="15"/>
                <w:szCs w:val="15"/>
                <w:color w:val="auto"/>
              </w:rPr>
            </w:pPr>
          </w:p>
        </w:tc>
        <w:tc>
          <w:tcPr>
            <w:tcW w:w="1920" w:type="dxa"/>
            <w:vAlign w:val="bottom"/>
            <w:shd w:val="clear" w:color="auto" w:fill="E8F7F7"/>
          </w:tcPr>
          <w:p>
            <w:pPr>
              <w:spacing w:after="0"/>
              <w:rPr>
                <w:sz w:val="15"/>
                <w:szCs w:val="15"/>
                <w:color w:val="auto"/>
              </w:rPr>
            </w:pPr>
          </w:p>
        </w:tc>
        <w:tc>
          <w:tcPr>
            <w:tcW w:w="560" w:type="dxa"/>
            <w:vAlign w:val="bottom"/>
            <w:shd w:val="clear" w:color="auto" w:fill="E8F7F7"/>
          </w:tcPr>
          <w:p>
            <w:pPr>
              <w:spacing w:after="0"/>
              <w:rPr>
                <w:sz w:val="15"/>
                <w:szCs w:val="15"/>
                <w:color w:val="auto"/>
              </w:rPr>
            </w:pPr>
          </w:p>
        </w:tc>
        <w:tc>
          <w:tcPr>
            <w:tcW w:w="1320" w:type="dxa"/>
            <w:vAlign w:val="bottom"/>
            <w:shd w:val="clear" w:color="auto" w:fill="E8F7F7"/>
          </w:tcPr>
          <w:p>
            <w:pPr>
              <w:spacing w:after="0"/>
              <w:rPr>
                <w:sz w:val="15"/>
                <w:szCs w:val="15"/>
                <w:color w:val="auto"/>
              </w:rPr>
            </w:pPr>
          </w:p>
        </w:tc>
        <w:tc>
          <w:tcPr>
            <w:tcW w:w="1000" w:type="dxa"/>
            <w:vAlign w:val="bottom"/>
            <w:shd w:val="clear" w:color="auto" w:fill="E8F7F7"/>
          </w:tcPr>
          <w:p>
            <w:pPr>
              <w:jc w:val="center"/>
              <w:spacing w:after="0" w:line="176" w:lineRule="exact"/>
              <w:rPr>
                <w:sz w:val="20"/>
                <w:szCs w:val="20"/>
                <w:color w:val="auto"/>
              </w:rPr>
            </w:pPr>
            <w:r>
              <w:rPr>
                <w:rFonts w:ascii="Arial" w:cs="Arial" w:eastAsia="Arial" w:hAnsi="Arial"/>
                <w:sz w:val="18"/>
                <w:szCs w:val="18"/>
                <w:b w:val="1"/>
                <w:bCs w:val="1"/>
                <w:color w:val="auto"/>
                <w:w w:val="99"/>
              </w:rPr>
              <w:t>Did Not</w:t>
            </w:r>
          </w:p>
        </w:tc>
        <w:tc>
          <w:tcPr>
            <w:tcW w:w="0" w:type="dxa"/>
            <w:vAlign w:val="bottom"/>
          </w:tcPr>
          <w:p>
            <w:pPr>
              <w:spacing w:after="0"/>
              <w:rPr>
                <w:sz w:val="1"/>
                <w:szCs w:val="1"/>
                <w:color w:val="auto"/>
              </w:rPr>
            </w:pPr>
          </w:p>
        </w:tc>
      </w:tr>
      <w:tr>
        <w:trPr>
          <w:trHeight w:val="176"/>
        </w:trPr>
        <w:tc>
          <w:tcPr>
            <w:tcW w:w="3600" w:type="dxa"/>
            <w:vAlign w:val="bottom"/>
            <w:shd w:val="clear" w:color="auto" w:fill="E8F7F7"/>
          </w:tcPr>
          <w:p>
            <w:pPr>
              <w:spacing w:after="0"/>
              <w:rPr>
                <w:sz w:val="15"/>
                <w:szCs w:val="15"/>
                <w:color w:val="auto"/>
              </w:rPr>
            </w:pPr>
          </w:p>
        </w:tc>
        <w:tc>
          <w:tcPr>
            <w:tcW w:w="1920" w:type="dxa"/>
            <w:vAlign w:val="bottom"/>
            <w:vMerge w:val="restart"/>
            <w:shd w:val="clear" w:color="auto" w:fill="E8F7F7"/>
          </w:tcPr>
          <w:p>
            <w:pPr>
              <w:ind w:left="800"/>
              <w:spacing w:after="0"/>
              <w:rPr>
                <w:sz w:val="20"/>
                <w:szCs w:val="20"/>
                <w:color w:val="auto"/>
              </w:rPr>
            </w:pPr>
            <w:r>
              <w:rPr>
                <w:rFonts w:ascii="Arial" w:cs="Arial" w:eastAsia="Arial" w:hAnsi="Arial"/>
                <w:sz w:val="18"/>
                <w:szCs w:val="18"/>
                <w:b w:val="1"/>
                <w:bCs w:val="1"/>
                <w:color w:val="auto"/>
              </w:rPr>
              <w:t>Female</w:t>
            </w:r>
          </w:p>
        </w:tc>
        <w:tc>
          <w:tcPr>
            <w:tcW w:w="560" w:type="dxa"/>
            <w:vAlign w:val="bottom"/>
            <w:vMerge w:val="restart"/>
            <w:shd w:val="clear" w:color="auto" w:fill="E8F7F7"/>
          </w:tcPr>
          <w:p>
            <w:pPr>
              <w:ind w:left="60"/>
              <w:spacing w:after="0"/>
              <w:rPr>
                <w:sz w:val="20"/>
                <w:szCs w:val="20"/>
                <w:color w:val="auto"/>
              </w:rPr>
            </w:pPr>
            <w:r>
              <w:rPr>
                <w:rFonts w:ascii="Arial" w:cs="Arial" w:eastAsia="Arial" w:hAnsi="Arial"/>
                <w:sz w:val="18"/>
                <w:szCs w:val="18"/>
                <w:b w:val="1"/>
                <w:bCs w:val="1"/>
                <w:color w:val="auto"/>
              </w:rPr>
              <w:t>Male</w:t>
            </w:r>
          </w:p>
        </w:tc>
        <w:tc>
          <w:tcPr>
            <w:tcW w:w="1320" w:type="dxa"/>
            <w:vAlign w:val="bottom"/>
            <w:vMerge w:val="restart"/>
            <w:shd w:val="clear" w:color="auto" w:fill="E8F7F7"/>
          </w:tcPr>
          <w:p>
            <w:pPr>
              <w:jc w:val="center"/>
              <w:ind w:left="70"/>
              <w:spacing w:after="0"/>
              <w:rPr>
                <w:sz w:val="20"/>
                <w:szCs w:val="20"/>
                <w:color w:val="auto"/>
              </w:rPr>
            </w:pPr>
            <w:r>
              <w:rPr>
                <w:rFonts w:ascii="Arial" w:cs="Arial" w:eastAsia="Arial" w:hAnsi="Arial"/>
                <w:sz w:val="18"/>
                <w:szCs w:val="18"/>
                <w:b w:val="1"/>
                <w:bCs w:val="1"/>
                <w:color w:val="auto"/>
                <w:w w:val="98"/>
              </w:rPr>
              <w:t>Non-Binary</w:t>
            </w:r>
          </w:p>
        </w:tc>
        <w:tc>
          <w:tcPr>
            <w:tcW w:w="1000" w:type="dxa"/>
            <w:vAlign w:val="bottom"/>
            <w:shd w:val="clear" w:color="auto" w:fill="E8F7F7"/>
          </w:tcPr>
          <w:p>
            <w:pPr>
              <w:jc w:val="center"/>
              <w:spacing w:after="0" w:line="176" w:lineRule="exact"/>
              <w:rPr>
                <w:sz w:val="20"/>
                <w:szCs w:val="20"/>
                <w:color w:val="auto"/>
              </w:rPr>
            </w:pPr>
            <w:r>
              <w:rPr>
                <w:rFonts w:ascii="Arial" w:cs="Arial" w:eastAsia="Arial" w:hAnsi="Arial"/>
                <w:sz w:val="18"/>
                <w:szCs w:val="18"/>
                <w:b w:val="1"/>
                <w:bCs w:val="1"/>
                <w:color w:val="auto"/>
                <w:w w:val="99"/>
              </w:rPr>
              <w:t>Disclose</w:t>
            </w:r>
          </w:p>
        </w:tc>
        <w:tc>
          <w:tcPr>
            <w:tcW w:w="0" w:type="dxa"/>
            <w:vAlign w:val="bottom"/>
          </w:tcPr>
          <w:p>
            <w:pPr>
              <w:spacing w:after="0"/>
              <w:rPr>
                <w:sz w:val="1"/>
                <w:szCs w:val="1"/>
                <w:color w:val="auto"/>
              </w:rPr>
            </w:pPr>
          </w:p>
        </w:tc>
      </w:tr>
      <w:tr>
        <w:trPr>
          <w:trHeight w:val="243"/>
        </w:trPr>
        <w:tc>
          <w:tcPr>
            <w:tcW w:w="3600" w:type="dxa"/>
            <w:vAlign w:val="bottom"/>
            <w:tcBorders>
              <w:bottom w:val="single" w:sz="8" w:color="auto"/>
            </w:tcBorders>
            <w:shd w:val="clear" w:color="auto" w:fill="E8F7F7"/>
          </w:tcPr>
          <w:p>
            <w:pPr>
              <w:spacing w:after="0"/>
              <w:rPr>
                <w:sz w:val="21"/>
                <w:szCs w:val="21"/>
                <w:color w:val="auto"/>
              </w:rPr>
            </w:pPr>
          </w:p>
        </w:tc>
        <w:tc>
          <w:tcPr>
            <w:tcW w:w="1920" w:type="dxa"/>
            <w:vAlign w:val="bottom"/>
            <w:tcBorders>
              <w:bottom w:val="single" w:sz="8" w:color="auto"/>
            </w:tcBorders>
            <w:vMerge w:val="continue"/>
            <w:shd w:val="clear" w:color="auto" w:fill="E8F7F7"/>
          </w:tcPr>
          <w:p>
            <w:pPr>
              <w:spacing w:after="0"/>
              <w:rPr>
                <w:sz w:val="21"/>
                <w:szCs w:val="21"/>
                <w:color w:val="auto"/>
              </w:rPr>
            </w:pPr>
          </w:p>
        </w:tc>
        <w:tc>
          <w:tcPr>
            <w:tcW w:w="560" w:type="dxa"/>
            <w:vAlign w:val="bottom"/>
            <w:tcBorders>
              <w:bottom w:val="single" w:sz="8" w:color="auto"/>
            </w:tcBorders>
            <w:vMerge w:val="continue"/>
            <w:shd w:val="clear" w:color="auto" w:fill="E8F7F7"/>
          </w:tcPr>
          <w:p>
            <w:pPr>
              <w:spacing w:after="0"/>
              <w:rPr>
                <w:sz w:val="21"/>
                <w:szCs w:val="21"/>
                <w:color w:val="auto"/>
              </w:rPr>
            </w:pPr>
          </w:p>
        </w:tc>
        <w:tc>
          <w:tcPr>
            <w:tcW w:w="1320" w:type="dxa"/>
            <w:vAlign w:val="bottom"/>
            <w:tcBorders>
              <w:bottom w:val="single" w:sz="8" w:color="auto"/>
            </w:tcBorders>
            <w:vMerge w:val="continue"/>
            <w:shd w:val="clear" w:color="auto" w:fill="E8F7F7"/>
          </w:tcPr>
          <w:p>
            <w:pPr>
              <w:spacing w:after="0"/>
              <w:rPr>
                <w:sz w:val="21"/>
                <w:szCs w:val="21"/>
                <w:color w:val="auto"/>
              </w:rPr>
            </w:pPr>
          </w:p>
        </w:tc>
        <w:tc>
          <w:tcPr>
            <w:tcW w:w="1000" w:type="dxa"/>
            <w:vAlign w:val="bottom"/>
            <w:tcBorders>
              <w:bottom w:val="single" w:sz="8" w:color="auto"/>
            </w:tcBorders>
            <w:shd w:val="clear" w:color="auto" w:fill="E8F7F7"/>
          </w:tcPr>
          <w:p>
            <w:pPr>
              <w:jc w:val="center"/>
              <w:spacing w:after="0"/>
              <w:rPr>
                <w:sz w:val="20"/>
                <w:szCs w:val="20"/>
                <w:color w:val="auto"/>
              </w:rPr>
            </w:pPr>
            <w:r>
              <w:rPr>
                <w:rFonts w:ascii="Arial" w:cs="Arial" w:eastAsia="Arial" w:hAnsi="Arial"/>
                <w:sz w:val="18"/>
                <w:szCs w:val="18"/>
                <w:b w:val="1"/>
                <w:bCs w:val="1"/>
                <w:color w:val="auto"/>
              </w:rPr>
              <w:t>Gender</w:t>
            </w:r>
          </w:p>
        </w:tc>
        <w:tc>
          <w:tcPr>
            <w:tcW w:w="0" w:type="dxa"/>
            <w:vAlign w:val="bottom"/>
          </w:tcPr>
          <w:p>
            <w:pPr>
              <w:spacing w:after="0"/>
              <w:rPr>
                <w:sz w:val="1"/>
                <w:szCs w:val="1"/>
                <w:color w:val="auto"/>
              </w:rPr>
            </w:pPr>
          </w:p>
        </w:tc>
      </w:tr>
      <w:tr>
        <w:trPr>
          <w:trHeight w:val="223"/>
        </w:trPr>
        <w:tc>
          <w:tcPr>
            <w:tcW w:w="3600" w:type="dxa"/>
            <w:vAlign w:val="bottom"/>
          </w:tcPr>
          <w:p>
            <w:pPr>
              <w:ind w:left="20"/>
              <w:spacing w:after="0"/>
              <w:rPr>
                <w:sz w:val="20"/>
                <w:szCs w:val="20"/>
                <w:color w:val="auto"/>
              </w:rPr>
            </w:pPr>
            <w:r>
              <w:rPr>
                <w:rFonts w:ascii="Arial" w:cs="Arial" w:eastAsia="Arial" w:hAnsi="Arial"/>
                <w:sz w:val="18"/>
                <w:szCs w:val="18"/>
                <w:color w:val="auto"/>
              </w:rPr>
              <w:t>Directors</w:t>
            </w:r>
          </w:p>
        </w:tc>
        <w:tc>
          <w:tcPr>
            <w:tcW w:w="1920" w:type="dxa"/>
            <w:vAlign w:val="bottom"/>
          </w:tcPr>
          <w:p>
            <w:pPr>
              <w:jc w:val="center"/>
              <w:ind w:left="210"/>
              <w:spacing w:after="0"/>
              <w:rPr>
                <w:sz w:val="20"/>
                <w:szCs w:val="20"/>
                <w:color w:val="auto"/>
              </w:rPr>
            </w:pPr>
            <w:r>
              <w:rPr>
                <w:rFonts w:ascii="Arial" w:cs="Arial" w:eastAsia="Arial" w:hAnsi="Arial"/>
                <w:sz w:val="18"/>
                <w:szCs w:val="18"/>
                <w:color w:val="auto"/>
                <w:w w:val="99"/>
              </w:rPr>
              <w:t>4</w:t>
            </w:r>
          </w:p>
        </w:tc>
        <w:tc>
          <w:tcPr>
            <w:tcW w:w="560" w:type="dxa"/>
            <w:vAlign w:val="bottom"/>
          </w:tcPr>
          <w:p>
            <w:pPr>
              <w:jc w:val="center"/>
              <w:spacing w:after="0"/>
              <w:rPr>
                <w:sz w:val="20"/>
                <w:szCs w:val="20"/>
                <w:color w:val="auto"/>
              </w:rPr>
            </w:pPr>
            <w:r>
              <w:rPr>
                <w:rFonts w:ascii="Arial" w:cs="Arial" w:eastAsia="Arial" w:hAnsi="Arial"/>
                <w:sz w:val="18"/>
                <w:szCs w:val="18"/>
                <w:color w:val="auto"/>
                <w:w w:val="99"/>
              </w:rPr>
              <w:t>6</w:t>
            </w:r>
          </w:p>
        </w:tc>
        <w:tc>
          <w:tcPr>
            <w:tcW w:w="1320" w:type="dxa"/>
            <w:vAlign w:val="bottom"/>
          </w:tcPr>
          <w:p>
            <w:pPr>
              <w:jc w:val="center"/>
              <w:ind w:left="9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29"/>
        </w:trPr>
        <w:tc>
          <w:tcPr>
            <w:tcW w:w="5520" w:type="dxa"/>
            <w:vAlign w:val="bottom"/>
            <w:tcBorders>
              <w:bottom w:val="single" w:sz="8" w:color="auto"/>
            </w:tcBorders>
            <w:gridSpan w:val="2"/>
            <w:shd w:val="clear" w:color="auto" w:fill="E8F7F7"/>
          </w:tcPr>
          <w:p>
            <w:pPr>
              <w:ind w:left="20"/>
              <w:spacing w:after="0"/>
              <w:rPr>
                <w:sz w:val="20"/>
                <w:szCs w:val="20"/>
                <w:color w:val="auto"/>
              </w:rPr>
            </w:pPr>
            <w:r>
              <w:rPr>
                <w:rFonts w:ascii="Arial" w:cs="Arial" w:eastAsia="Arial" w:hAnsi="Arial"/>
                <w:sz w:val="18"/>
                <w:szCs w:val="18"/>
                <w:b w:val="1"/>
                <w:bCs w:val="1"/>
                <w:color w:val="auto"/>
              </w:rPr>
              <w:t>Number of Directors who identify in any of the categories below</w:t>
            </w:r>
          </w:p>
        </w:tc>
        <w:tc>
          <w:tcPr>
            <w:tcW w:w="560" w:type="dxa"/>
            <w:vAlign w:val="bottom"/>
            <w:tcBorders>
              <w:bottom w:val="single" w:sz="8" w:color="auto"/>
            </w:tcBorders>
            <w:shd w:val="clear" w:color="auto" w:fill="E8F7F7"/>
          </w:tcPr>
          <w:p>
            <w:pPr>
              <w:spacing w:after="0"/>
              <w:rPr>
                <w:sz w:val="19"/>
                <w:szCs w:val="19"/>
                <w:color w:val="auto"/>
              </w:rPr>
            </w:pPr>
          </w:p>
        </w:tc>
        <w:tc>
          <w:tcPr>
            <w:tcW w:w="1320" w:type="dxa"/>
            <w:vAlign w:val="bottom"/>
            <w:tcBorders>
              <w:bottom w:val="single" w:sz="8" w:color="auto"/>
            </w:tcBorders>
            <w:shd w:val="clear" w:color="auto" w:fill="E8F7F7"/>
          </w:tcPr>
          <w:p>
            <w:pPr>
              <w:spacing w:after="0"/>
              <w:rPr>
                <w:sz w:val="19"/>
                <w:szCs w:val="19"/>
                <w:color w:val="auto"/>
              </w:rPr>
            </w:pPr>
          </w:p>
        </w:tc>
        <w:tc>
          <w:tcPr>
            <w:tcW w:w="1000" w:type="dxa"/>
            <w:vAlign w:val="bottom"/>
            <w:tcBorders>
              <w:bottom w:val="single" w:sz="8" w:color="auto"/>
            </w:tcBorders>
            <w:shd w:val="clear" w:color="auto" w:fill="E8F7F7"/>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600" w:type="dxa"/>
            <w:vAlign w:val="bottom"/>
            <w:tcBorders>
              <w:bottom w:val="single" w:sz="8" w:color="DBDBDB"/>
            </w:tcBorders>
          </w:tcPr>
          <w:p>
            <w:pPr>
              <w:ind w:left="20"/>
              <w:spacing w:after="0"/>
              <w:rPr>
                <w:sz w:val="20"/>
                <w:szCs w:val="20"/>
                <w:color w:val="auto"/>
              </w:rPr>
            </w:pPr>
            <w:r>
              <w:rPr>
                <w:rFonts w:ascii="Arial" w:cs="Arial" w:eastAsia="Arial" w:hAnsi="Arial"/>
                <w:sz w:val="18"/>
                <w:szCs w:val="18"/>
                <w:color w:val="auto"/>
              </w:rPr>
              <w:t>African American or Black</w:t>
            </w:r>
          </w:p>
        </w:tc>
        <w:tc>
          <w:tcPr>
            <w:tcW w:w="1920" w:type="dxa"/>
            <w:vAlign w:val="bottom"/>
            <w:tcBorders>
              <w:bottom w:val="single" w:sz="8" w:color="DBDBDB"/>
            </w:tcBorders>
          </w:tcPr>
          <w:p>
            <w:pPr>
              <w:jc w:val="center"/>
              <w:ind w:left="210"/>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DBDBDB"/>
            </w:tcBorders>
          </w:tcPr>
          <w:p>
            <w:pPr>
              <w:jc w:val="center"/>
              <w:spacing w:after="0"/>
              <w:rPr>
                <w:sz w:val="20"/>
                <w:szCs w:val="20"/>
                <w:color w:val="auto"/>
              </w:rPr>
            </w:pPr>
            <w:r>
              <w:rPr>
                <w:rFonts w:ascii="Arial" w:cs="Arial" w:eastAsia="Arial" w:hAnsi="Arial"/>
                <w:sz w:val="18"/>
                <w:szCs w:val="18"/>
                <w:color w:val="auto"/>
                <w:w w:val="99"/>
              </w:rPr>
              <w:t>1</w:t>
            </w:r>
          </w:p>
        </w:tc>
        <w:tc>
          <w:tcPr>
            <w:tcW w:w="1320" w:type="dxa"/>
            <w:vAlign w:val="bottom"/>
            <w:tcBorders>
              <w:bottom w:val="single" w:sz="8" w:color="DBDBDB"/>
            </w:tcBorders>
          </w:tcPr>
          <w:p>
            <w:pPr>
              <w:jc w:val="center"/>
              <w:ind w:left="9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DBDBDB"/>
            </w:tcBorders>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23"/>
        </w:trPr>
        <w:tc>
          <w:tcPr>
            <w:tcW w:w="3600" w:type="dxa"/>
            <w:vAlign w:val="bottom"/>
            <w:tcBorders>
              <w:bottom w:val="single" w:sz="8" w:color="DBDBDB"/>
            </w:tcBorders>
            <w:shd w:val="clear" w:color="auto" w:fill="E7ECF0"/>
          </w:tcPr>
          <w:p>
            <w:pPr>
              <w:ind w:left="20"/>
              <w:spacing w:after="0"/>
              <w:rPr>
                <w:sz w:val="20"/>
                <w:szCs w:val="20"/>
                <w:color w:val="auto"/>
              </w:rPr>
            </w:pPr>
            <w:r>
              <w:rPr>
                <w:rFonts w:ascii="Arial" w:cs="Arial" w:eastAsia="Arial" w:hAnsi="Arial"/>
                <w:sz w:val="18"/>
                <w:szCs w:val="18"/>
                <w:color w:val="auto"/>
              </w:rPr>
              <w:t>Alaskan Native or Native American</w:t>
            </w:r>
          </w:p>
        </w:tc>
        <w:tc>
          <w:tcPr>
            <w:tcW w:w="1920" w:type="dxa"/>
            <w:vAlign w:val="bottom"/>
            <w:tcBorders>
              <w:bottom w:val="single" w:sz="8" w:color="DBDBDB"/>
            </w:tcBorders>
            <w:shd w:val="clear" w:color="auto" w:fill="E7ECF0"/>
          </w:tcPr>
          <w:p>
            <w:pPr>
              <w:jc w:val="center"/>
              <w:ind w:left="210"/>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DBDBDB"/>
            </w:tcBorders>
            <w:shd w:val="clear" w:color="auto" w:fill="E7ECF0"/>
          </w:tcPr>
          <w:p>
            <w:pPr>
              <w:jc w:val="center"/>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DBDBDB"/>
            </w:tcBorders>
            <w:shd w:val="clear" w:color="auto" w:fill="E7ECF0"/>
          </w:tcPr>
          <w:p>
            <w:pPr>
              <w:jc w:val="center"/>
              <w:ind w:left="9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DBDBDB"/>
            </w:tcBorders>
            <w:shd w:val="clear" w:color="auto" w:fill="E7ECF0"/>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23"/>
        </w:trPr>
        <w:tc>
          <w:tcPr>
            <w:tcW w:w="3600" w:type="dxa"/>
            <w:vAlign w:val="bottom"/>
            <w:tcBorders>
              <w:bottom w:val="single" w:sz="8" w:color="DBDBDB"/>
            </w:tcBorders>
          </w:tcPr>
          <w:p>
            <w:pPr>
              <w:ind w:left="20"/>
              <w:spacing w:after="0"/>
              <w:rPr>
                <w:sz w:val="20"/>
                <w:szCs w:val="20"/>
                <w:color w:val="auto"/>
              </w:rPr>
            </w:pPr>
            <w:r>
              <w:rPr>
                <w:rFonts w:ascii="Arial" w:cs="Arial" w:eastAsia="Arial" w:hAnsi="Arial"/>
                <w:sz w:val="18"/>
                <w:szCs w:val="18"/>
                <w:color w:val="auto"/>
              </w:rPr>
              <w:t>Asian</w:t>
            </w:r>
          </w:p>
        </w:tc>
        <w:tc>
          <w:tcPr>
            <w:tcW w:w="1920" w:type="dxa"/>
            <w:vAlign w:val="bottom"/>
            <w:tcBorders>
              <w:bottom w:val="single" w:sz="8" w:color="DBDBDB"/>
            </w:tcBorders>
          </w:tcPr>
          <w:p>
            <w:pPr>
              <w:jc w:val="center"/>
              <w:ind w:left="210"/>
              <w:spacing w:after="0"/>
              <w:rPr>
                <w:sz w:val="20"/>
                <w:szCs w:val="20"/>
                <w:color w:val="auto"/>
              </w:rPr>
            </w:pPr>
            <w:r>
              <w:rPr>
                <w:rFonts w:ascii="Arial" w:cs="Arial" w:eastAsia="Arial" w:hAnsi="Arial"/>
                <w:sz w:val="18"/>
                <w:szCs w:val="18"/>
                <w:color w:val="auto"/>
                <w:w w:val="99"/>
              </w:rPr>
              <w:t>1</w:t>
            </w:r>
          </w:p>
        </w:tc>
        <w:tc>
          <w:tcPr>
            <w:tcW w:w="560" w:type="dxa"/>
            <w:vAlign w:val="bottom"/>
            <w:tcBorders>
              <w:bottom w:val="single" w:sz="8" w:color="DBDBDB"/>
            </w:tcBorders>
          </w:tcPr>
          <w:p>
            <w:pPr>
              <w:jc w:val="center"/>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DBDBDB"/>
            </w:tcBorders>
          </w:tcPr>
          <w:p>
            <w:pPr>
              <w:jc w:val="center"/>
              <w:ind w:left="9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DBDBDB"/>
            </w:tcBorders>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23"/>
        </w:trPr>
        <w:tc>
          <w:tcPr>
            <w:tcW w:w="3600" w:type="dxa"/>
            <w:vAlign w:val="bottom"/>
            <w:tcBorders>
              <w:bottom w:val="single" w:sz="8" w:color="DBDBDB"/>
            </w:tcBorders>
            <w:shd w:val="clear" w:color="auto" w:fill="E7ECF0"/>
          </w:tcPr>
          <w:p>
            <w:pPr>
              <w:ind w:left="20"/>
              <w:spacing w:after="0"/>
              <w:rPr>
                <w:sz w:val="20"/>
                <w:szCs w:val="20"/>
                <w:color w:val="auto"/>
              </w:rPr>
            </w:pPr>
            <w:r>
              <w:rPr>
                <w:rFonts w:ascii="Arial" w:cs="Arial" w:eastAsia="Arial" w:hAnsi="Arial"/>
                <w:sz w:val="18"/>
                <w:szCs w:val="18"/>
                <w:color w:val="auto"/>
              </w:rPr>
              <w:t>Hispanic or Latinx</w:t>
            </w:r>
          </w:p>
        </w:tc>
        <w:tc>
          <w:tcPr>
            <w:tcW w:w="1920" w:type="dxa"/>
            <w:vAlign w:val="bottom"/>
            <w:tcBorders>
              <w:bottom w:val="single" w:sz="8" w:color="DBDBDB"/>
            </w:tcBorders>
            <w:shd w:val="clear" w:color="auto" w:fill="E7ECF0"/>
          </w:tcPr>
          <w:p>
            <w:pPr>
              <w:jc w:val="center"/>
              <w:ind w:left="210"/>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DBDBDB"/>
            </w:tcBorders>
            <w:shd w:val="clear" w:color="auto" w:fill="E7ECF0"/>
          </w:tcPr>
          <w:p>
            <w:pPr>
              <w:jc w:val="center"/>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DBDBDB"/>
            </w:tcBorders>
            <w:shd w:val="clear" w:color="auto" w:fill="E7ECF0"/>
          </w:tcPr>
          <w:p>
            <w:pPr>
              <w:jc w:val="center"/>
              <w:ind w:left="9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DBDBDB"/>
            </w:tcBorders>
            <w:shd w:val="clear" w:color="auto" w:fill="E7ECF0"/>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23"/>
        </w:trPr>
        <w:tc>
          <w:tcPr>
            <w:tcW w:w="3600" w:type="dxa"/>
            <w:vAlign w:val="bottom"/>
            <w:tcBorders>
              <w:bottom w:val="single" w:sz="8" w:color="DBDBDB"/>
            </w:tcBorders>
          </w:tcPr>
          <w:p>
            <w:pPr>
              <w:ind w:left="20"/>
              <w:spacing w:after="0"/>
              <w:rPr>
                <w:sz w:val="20"/>
                <w:szCs w:val="20"/>
                <w:color w:val="auto"/>
              </w:rPr>
            </w:pPr>
            <w:r>
              <w:rPr>
                <w:rFonts w:ascii="Arial" w:cs="Arial" w:eastAsia="Arial" w:hAnsi="Arial"/>
                <w:sz w:val="18"/>
                <w:szCs w:val="18"/>
                <w:color w:val="auto"/>
              </w:rPr>
              <w:t>Native Hawaiian or Pacific Islander</w:t>
            </w:r>
          </w:p>
        </w:tc>
        <w:tc>
          <w:tcPr>
            <w:tcW w:w="1920" w:type="dxa"/>
            <w:vAlign w:val="bottom"/>
            <w:tcBorders>
              <w:bottom w:val="single" w:sz="8" w:color="DBDBDB"/>
            </w:tcBorders>
          </w:tcPr>
          <w:p>
            <w:pPr>
              <w:jc w:val="center"/>
              <w:ind w:left="210"/>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DBDBDB"/>
            </w:tcBorders>
          </w:tcPr>
          <w:p>
            <w:pPr>
              <w:jc w:val="center"/>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DBDBDB"/>
            </w:tcBorders>
          </w:tcPr>
          <w:p>
            <w:pPr>
              <w:jc w:val="center"/>
              <w:ind w:left="9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DBDBDB"/>
            </w:tcBorders>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23"/>
        </w:trPr>
        <w:tc>
          <w:tcPr>
            <w:tcW w:w="3600" w:type="dxa"/>
            <w:vAlign w:val="bottom"/>
            <w:tcBorders>
              <w:bottom w:val="single" w:sz="8" w:color="DBDBDB"/>
            </w:tcBorders>
            <w:shd w:val="clear" w:color="auto" w:fill="E7ECF0"/>
          </w:tcPr>
          <w:p>
            <w:pPr>
              <w:ind w:left="20"/>
              <w:spacing w:after="0"/>
              <w:rPr>
                <w:sz w:val="20"/>
                <w:szCs w:val="20"/>
                <w:color w:val="auto"/>
              </w:rPr>
            </w:pPr>
            <w:r>
              <w:rPr>
                <w:rFonts w:ascii="Arial" w:cs="Arial" w:eastAsia="Arial" w:hAnsi="Arial"/>
                <w:sz w:val="18"/>
                <w:szCs w:val="18"/>
                <w:color w:val="auto"/>
              </w:rPr>
              <w:t>White</w:t>
            </w:r>
          </w:p>
        </w:tc>
        <w:tc>
          <w:tcPr>
            <w:tcW w:w="1920" w:type="dxa"/>
            <w:vAlign w:val="bottom"/>
            <w:tcBorders>
              <w:bottom w:val="single" w:sz="8" w:color="DBDBDB"/>
            </w:tcBorders>
            <w:shd w:val="clear" w:color="auto" w:fill="E7ECF0"/>
          </w:tcPr>
          <w:p>
            <w:pPr>
              <w:jc w:val="center"/>
              <w:ind w:left="210"/>
              <w:spacing w:after="0"/>
              <w:rPr>
                <w:sz w:val="20"/>
                <w:szCs w:val="20"/>
                <w:color w:val="auto"/>
              </w:rPr>
            </w:pPr>
            <w:r>
              <w:rPr>
                <w:rFonts w:ascii="Arial" w:cs="Arial" w:eastAsia="Arial" w:hAnsi="Arial"/>
                <w:sz w:val="18"/>
                <w:szCs w:val="18"/>
                <w:color w:val="auto"/>
                <w:w w:val="99"/>
              </w:rPr>
              <w:t>3</w:t>
            </w:r>
          </w:p>
        </w:tc>
        <w:tc>
          <w:tcPr>
            <w:tcW w:w="560" w:type="dxa"/>
            <w:vAlign w:val="bottom"/>
            <w:tcBorders>
              <w:bottom w:val="single" w:sz="8" w:color="DBDBDB"/>
            </w:tcBorders>
            <w:shd w:val="clear" w:color="auto" w:fill="E7ECF0"/>
          </w:tcPr>
          <w:p>
            <w:pPr>
              <w:jc w:val="center"/>
              <w:spacing w:after="0"/>
              <w:rPr>
                <w:sz w:val="20"/>
                <w:szCs w:val="20"/>
                <w:color w:val="auto"/>
              </w:rPr>
            </w:pPr>
            <w:r>
              <w:rPr>
                <w:rFonts w:ascii="Arial" w:cs="Arial" w:eastAsia="Arial" w:hAnsi="Arial"/>
                <w:sz w:val="18"/>
                <w:szCs w:val="18"/>
                <w:color w:val="auto"/>
                <w:w w:val="99"/>
              </w:rPr>
              <w:t>5</w:t>
            </w:r>
          </w:p>
        </w:tc>
        <w:tc>
          <w:tcPr>
            <w:tcW w:w="1320" w:type="dxa"/>
            <w:vAlign w:val="bottom"/>
            <w:tcBorders>
              <w:bottom w:val="single" w:sz="8" w:color="DBDBDB"/>
            </w:tcBorders>
            <w:shd w:val="clear" w:color="auto" w:fill="E7ECF0"/>
          </w:tcPr>
          <w:p>
            <w:pPr>
              <w:jc w:val="center"/>
              <w:ind w:left="9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DBDBDB"/>
            </w:tcBorders>
            <w:shd w:val="clear" w:color="auto" w:fill="E7ECF0"/>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23"/>
        </w:trPr>
        <w:tc>
          <w:tcPr>
            <w:tcW w:w="36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Two or More Races or Ethnicities</w:t>
            </w:r>
          </w:p>
        </w:tc>
        <w:tc>
          <w:tcPr>
            <w:tcW w:w="1920" w:type="dxa"/>
            <w:vAlign w:val="bottom"/>
            <w:tcBorders>
              <w:bottom w:val="single" w:sz="8" w:color="auto"/>
            </w:tcBorders>
          </w:tcPr>
          <w:p>
            <w:pPr>
              <w:jc w:val="center"/>
              <w:ind w:left="210"/>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tcPr>
          <w:p>
            <w:pPr>
              <w:jc w:val="center"/>
              <w:ind w:left="9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23"/>
        </w:trPr>
        <w:tc>
          <w:tcPr>
            <w:tcW w:w="3600" w:type="dxa"/>
            <w:vAlign w:val="bottom"/>
            <w:tcBorders>
              <w:bottom w:val="single" w:sz="8" w:color="DBDBDB"/>
            </w:tcBorders>
            <w:shd w:val="clear" w:color="auto" w:fill="E7ECF0"/>
          </w:tcPr>
          <w:p>
            <w:pPr>
              <w:ind w:left="20"/>
              <w:spacing w:after="0"/>
              <w:rPr>
                <w:sz w:val="20"/>
                <w:szCs w:val="20"/>
                <w:color w:val="auto"/>
              </w:rPr>
            </w:pPr>
            <w:r>
              <w:rPr>
                <w:rFonts w:ascii="Arial" w:cs="Arial" w:eastAsia="Arial" w:hAnsi="Arial"/>
                <w:sz w:val="18"/>
                <w:szCs w:val="18"/>
                <w:color w:val="auto"/>
              </w:rPr>
              <w:t>LGBTQ+</w:t>
            </w:r>
          </w:p>
        </w:tc>
        <w:tc>
          <w:tcPr>
            <w:tcW w:w="1920" w:type="dxa"/>
            <w:vAlign w:val="bottom"/>
            <w:tcBorders>
              <w:bottom w:val="single" w:sz="8" w:color="DBDBDB"/>
            </w:tcBorders>
            <w:shd w:val="clear" w:color="auto" w:fill="E7ECF0"/>
          </w:tcPr>
          <w:p>
            <w:pPr>
              <w:spacing w:after="0"/>
              <w:rPr>
                <w:sz w:val="19"/>
                <w:szCs w:val="19"/>
                <w:color w:val="auto"/>
              </w:rPr>
            </w:pPr>
          </w:p>
        </w:tc>
        <w:tc>
          <w:tcPr>
            <w:tcW w:w="560" w:type="dxa"/>
            <w:vAlign w:val="bottom"/>
            <w:tcBorders>
              <w:bottom w:val="single" w:sz="8" w:color="DBDBDB"/>
            </w:tcBorders>
            <w:shd w:val="clear" w:color="auto" w:fill="E7ECF0"/>
          </w:tcPr>
          <w:p>
            <w:pPr>
              <w:spacing w:after="0"/>
              <w:rPr>
                <w:sz w:val="19"/>
                <w:szCs w:val="19"/>
                <w:color w:val="auto"/>
              </w:rPr>
            </w:pPr>
          </w:p>
        </w:tc>
        <w:tc>
          <w:tcPr>
            <w:tcW w:w="1320" w:type="dxa"/>
            <w:vAlign w:val="bottom"/>
            <w:tcBorders>
              <w:bottom w:val="single" w:sz="8" w:color="DBDBDB"/>
            </w:tcBorders>
            <w:shd w:val="clear" w:color="auto" w:fill="E7ECF0"/>
          </w:tcPr>
          <w:p>
            <w:pPr>
              <w:jc w:val="center"/>
              <w:ind w:right="8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DBDBDB"/>
            </w:tcBorders>
            <w:shd w:val="clear" w:color="auto" w:fill="E7ECF0"/>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600" w:type="dxa"/>
            <w:vAlign w:val="bottom"/>
            <w:tcBorders>
              <w:bottom w:val="single" w:sz="8" w:color="DBDBDB"/>
            </w:tcBorders>
          </w:tcPr>
          <w:p>
            <w:pPr>
              <w:ind w:left="20"/>
              <w:spacing w:after="0"/>
              <w:rPr>
                <w:sz w:val="20"/>
                <w:szCs w:val="20"/>
                <w:color w:val="auto"/>
              </w:rPr>
            </w:pPr>
            <w:r>
              <w:rPr>
                <w:rFonts w:ascii="Arial" w:cs="Arial" w:eastAsia="Arial" w:hAnsi="Arial"/>
                <w:sz w:val="18"/>
                <w:szCs w:val="18"/>
                <w:color w:val="auto"/>
              </w:rPr>
              <w:t>Undisclosed</w:t>
            </w:r>
          </w:p>
        </w:tc>
        <w:tc>
          <w:tcPr>
            <w:tcW w:w="1920" w:type="dxa"/>
            <w:vAlign w:val="bottom"/>
            <w:tcBorders>
              <w:bottom w:val="single" w:sz="8" w:color="DBDBDB"/>
            </w:tcBorders>
          </w:tcPr>
          <w:p>
            <w:pPr>
              <w:spacing w:after="0"/>
              <w:rPr>
                <w:sz w:val="19"/>
                <w:szCs w:val="19"/>
                <w:color w:val="auto"/>
              </w:rPr>
            </w:pPr>
          </w:p>
        </w:tc>
        <w:tc>
          <w:tcPr>
            <w:tcW w:w="560" w:type="dxa"/>
            <w:vAlign w:val="bottom"/>
            <w:tcBorders>
              <w:bottom w:val="single" w:sz="8" w:color="DBDBDB"/>
            </w:tcBorders>
          </w:tcPr>
          <w:p>
            <w:pPr>
              <w:spacing w:after="0"/>
              <w:rPr>
                <w:sz w:val="19"/>
                <w:szCs w:val="19"/>
                <w:color w:val="auto"/>
              </w:rPr>
            </w:pPr>
          </w:p>
        </w:tc>
        <w:tc>
          <w:tcPr>
            <w:tcW w:w="1320" w:type="dxa"/>
            <w:vAlign w:val="bottom"/>
            <w:tcBorders>
              <w:bottom w:val="single" w:sz="8" w:color="DBDBDB"/>
            </w:tcBorders>
          </w:tcPr>
          <w:p>
            <w:pPr>
              <w:jc w:val="center"/>
              <w:ind w:right="8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DBDBDB"/>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7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Board Nominee Snapshot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460311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46031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10940" w:type="dxa"/>
            <w:vAlign w:val="bottom"/>
          </w:tcPr>
          <w:p>
            <w:pPr>
              <w:ind w:left="9000"/>
              <w:spacing w:after="0"/>
              <w:rPr>
                <w:sz w:val="20"/>
                <w:szCs w:val="20"/>
                <w:color w:val="auto"/>
              </w:rPr>
            </w:pPr>
            <w:r>
              <w:rPr>
                <w:rFonts w:ascii="Arial" w:cs="Arial" w:eastAsia="Arial" w:hAnsi="Arial"/>
                <w:sz w:val="18"/>
                <w:szCs w:val="18"/>
                <w:color w:val="auto"/>
              </w:rPr>
              <w:t>2024 Proxy Statement</w:t>
            </w:r>
          </w:p>
        </w:tc>
        <w:tc>
          <w:tcPr>
            <w:tcW w:w="300" w:type="dxa"/>
            <w:vAlign w:val="bottom"/>
          </w:tcPr>
          <w:p>
            <w:pPr>
              <w:jc w:val="right"/>
              <w:spacing w:after="0"/>
              <w:rPr>
                <w:sz w:val="20"/>
                <w:szCs w:val="20"/>
                <w:color w:val="auto"/>
              </w:rPr>
            </w:pPr>
            <w:r>
              <w:rPr>
                <w:rFonts w:ascii="Arial" w:cs="Arial" w:eastAsia="Arial" w:hAnsi="Arial"/>
                <w:sz w:val="18"/>
                <w:szCs w:val="18"/>
                <w:color w:val="1E3767"/>
              </w:rPr>
              <w:t>7</w:t>
            </w:r>
          </w:p>
        </w:tc>
      </w:tr>
      <w:tr>
        <w:trPr>
          <w:trHeight w:val="395"/>
        </w:trPr>
        <w:tc>
          <w:tcPr>
            <w:tcW w:w="1094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85" w:right="339" w:bottom="1440" w:gutter="0" w:footer="0" w:header="0"/>
        </w:sectPr>
      </w:pPr>
    </w:p>
    <w:bookmarkStart w:id="10" w:name="page11"/>
    <w:bookmarkEnd w:id="10"/>
    <w:p>
      <w:pPr>
        <w:spacing w:after="0"/>
        <w:rPr>
          <w:sz w:val="20"/>
          <w:szCs w:val="20"/>
          <w:color w:val="auto"/>
        </w:rPr>
      </w:pPr>
      <w:r>
        <w:rPr>
          <w:rFonts w:ascii="Arial" w:cs="Arial" w:eastAsia="Arial" w:hAnsi="Arial"/>
          <w:sz w:val="20"/>
          <w:szCs w:val="20"/>
          <w:b w:val="1"/>
          <w:bCs w:val="1"/>
          <w:color w:val="auto"/>
        </w:rPr>
        <w:t>Nominee Information</w:t>
      </w:r>
    </w:p>
    <w:p>
      <w:pPr>
        <w:spacing w:after="0" w:line="258" w:lineRule="exact"/>
        <w:rPr>
          <w:sz w:val="20"/>
          <w:szCs w:val="20"/>
          <w:color w:val="auto"/>
        </w:rPr>
      </w:pPr>
    </w:p>
    <w:p>
      <w:pPr>
        <w:jc w:val="both"/>
        <w:spacing w:after="0" w:line="276" w:lineRule="auto"/>
        <w:rPr>
          <w:sz w:val="20"/>
          <w:szCs w:val="20"/>
          <w:color w:val="auto"/>
        </w:rPr>
      </w:pPr>
      <w:r>
        <w:rPr>
          <w:rFonts w:ascii="Arial" w:cs="Arial" w:eastAsia="Arial" w:hAnsi="Arial"/>
          <w:sz w:val="20"/>
          <w:szCs w:val="20"/>
          <w:color w:val="auto"/>
        </w:rPr>
        <w:t>The following information relating to the Company’s director nominees details their principal occupations, business experience, and positions during the past five years, as well as the specific experiences, qualifications, attributes, and skills that led to the conclusion that they should serve as directors of the Company:</w:t>
      </w:r>
    </w:p>
    <w:p>
      <w:pPr>
        <w:sectPr>
          <w:pgSz w:w="11900" w:h="16838" w:orient="portrait"/>
          <w:cols w:equalWidth="0" w:num="1">
            <w:col w:w="11240"/>
          </w:cols>
          <w:pgMar w:left="320" w:top="899" w:right="339" w:bottom="1440" w:gutter="0" w:footer="0" w:header="0"/>
        </w:sectPr>
      </w:pPr>
    </w:p>
    <w:p>
      <w:pPr>
        <w:spacing w:after="0" w:line="357" w:lineRule="exact"/>
        <w:rPr>
          <w:sz w:val="20"/>
          <w:szCs w:val="20"/>
          <w:color w:val="auto"/>
        </w:rPr>
      </w:pPr>
    </w:p>
    <w:p>
      <w:pPr>
        <w:ind w:left="20" w:right="320"/>
        <w:spacing w:after="0" w:line="358" w:lineRule="auto"/>
        <w:rPr>
          <w:sz w:val="20"/>
          <w:szCs w:val="20"/>
          <w:color w:val="auto"/>
        </w:rPr>
      </w:pPr>
      <w:r>
        <w:rPr>
          <w:rFonts w:ascii="Arial" w:cs="Arial" w:eastAsia="Arial" w:hAnsi="Arial"/>
          <w:sz w:val="18"/>
          <w:szCs w:val="18"/>
          <w:b w:val="1"/>
          <w:bCs w:val="1"/>
          <w:color w:val="085CE5"/>
        </w:rPr>
        <w:t>David B. Foss Age: 63</w:t>
      </w:r>
    </w:p>
    <w:p>
      <w:pPr>
        <w:spacing w:after="0" w:line="20" w:lineRule="exact"/>
        <w:rPr>
          <w:sz w:val="20"/>
          <w:szCs w:val="20"/>
          <w:color w:val="auto"/>
        </w:rPr>
      </w:pPr>
      <w:r>
        <w:rPr>
          <w:sz w:val="20"/>
          <w:szCs w:val="20"/>
          <w:color w:val="auto"/>
        </w:rPr>
        <w:br w:type="column"/>
      </w:r>
    </w:p>
    <w:p>
      <w:pPr>
        <w:spacing w:after="0" w:line="20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Executive Board Chair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-1429385</wp:posOffset>
            </wp:positionH>
            <wp:positionV relativeFrom="paragraph">
              <wp:posOffset>-120015</wp:posOffset>
            </wp:positionV>
            <wp:extent cx="7132320" cy="46291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462915"/>
                    </a:xfrm>
                    <a:prstGeom prst="rect">
                      <a:avLst/>
                    </a:prstGeom>
                    <a:noFill/>
                  </pic:spPr>
                </pic:pic>
              </a:graphicData>
            </a:graphic>
          </wp:anchor>
        </w:drawing>
      </w:r>
    </w:p>
    <w:p>
      <w:pPr>
        <w:spacing w:after="0" w:line="558" w:lineRule="exact"/>
        <w:rPr>
          <w:sz w:val="20"/>
          <w:szCs w:val="20"/>
          <w:color w:val="auto"/>
        </w:rPr>
      </w:pPr>
    </w:p>
    <w:p>
      <w:pPr>
        <w:sectPr>
          <w:pgSz w:w="11900" w:h="16838" w:orient="portrait"/>
          <w:cols w:equalWidth="0" w:num="2">
            <w:col w:w="1540" w:space="720"/>
            <w:col w:w="8980"/>
          </w:cols>
          <w:pgMar w:left="320" w:top="899" w:right="339" w:bottom="1440" w:gutter="0" w:footer="0" w:header="0"/>
          <w:type w:val="continuous"/>
        </w:sectPr>
      </w:pPr>
    </w:p>
    <w:p>
      <w:pPr>
        <w:jc w:val="both"/>
        <w:ind w:left="20" w:right="20"/>
        <w:spacing w:after="0" w:line="262" w:lineRule="auto"/>
        <w:rPr>
          <w:sz w:val="20"/>
          <w:szCs w:val="20"/>
          <w:color w:val="auto"/>
        </w:rPr>
      </w:pPr>
      <w:r>
        <w:rPr>
          <w:rFonts w:ascii="Arial" w:cs="Arial" w:eastAsia="Arial" w:hAnsi="Arial"/>
          <w:sz w:val="20"/>
          <w:szCs w:val="20"/>
          <w:color w:val="auto"/>
        </w:rPr>
        <w:t>Mr. Foss was named Executive Board Chair on July 1, 2024 and was previously appointed Board Chair on July 1, 2021. Mr. Foss served as Chief Executive Officer of the Company from July 1, 2016 to June 30, 2024. He also served as President of the Company from 2014 until January 2022. Mr. Foss’s prior positions with the Company include: President of the Company’s ProfitStars Division from 2009 to 2014; General Manager of ProfitStars from 2006 to 2009; General Manager of the Company’s Acquisition and Business Integration unit from 2004 to 2006, during which time the Company completed 10 acquisitions; General Manager of the Complementary Solutions Group from 2000 to 2004; and President of the Open Systems Group from 1999 to 2004. He is also currently serving as a director of CNO Financial Group, Inc. (NYSE: CNO). Before joining the Company in 1999, Mr. Foss held a variety of positions in the financial services industry including senior operations management, sales management, and supervisory roles at BancTec, Advanced Computer Systems, and NCR. His long tenure in the industry and variety of leadership roles provide significant experience to the Company and its products, employees, and customers.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342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2260"/>
        <w:spacing w:after="0"/>
        <w:rPr>
          <w:sz w:val="20"/>
          <w:szCs w:val="20"/>
          <w:color w:val="auto"/>
        </w:rPr>
      </w:pPr>
      <w:r>
        <w:rPr>
          <w:rFonts w:ascii="Arial" w:cs="Arial" w:eastAsia="Arial" w:hAnsi="Arial"/>
          <w:sz w:val="18"/>
          <w:szCs w:val="18"/>
          <w:b w:val="1"/>
          <w:bCs w:val="1"/>
          <w:color w:val="auto"/>
        </w:rPr>
        <w:t>Vice Chair and Lead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57467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574675"/>
                    </a:xfrm>
                    <a:prstGeom prst="rect">
                      <a:avLst/>
                    </a:prstGeom>
                    <a:noFill/>
                  </pic:spPr>
                </pic:pic>
              </a:graphicData>
            </a:graphic>
          </wp:anchor>
        </w:drawing>
      </w:r>
    </w:p>
    <w:p>
      <w:pPr>
        <w:spacing w:after="0" w:line="84"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085CE5"/>
        </w:rPr>
        <w:t>Matthew C. Flanigan</w:t>
      </w:r>
    </w:p>
    <w:p>
      <w:pPr>
        <w:spacing w:after="0" w:line="158"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085CE5"/>
        </w:rPr>
        <w:t>Age: 62</w:t>
      </w:r>
    </w:p>
    <w:p>
      <w:pPr>
        <w:spacing w:after="0" w:line="47" w:lineRule="exact"/>
        <w:rPr>
          <w:sz w:val="20"/>
          <w:szCs w:val="20"/>
          <w:color w:val="auto"/>
        </w:rPr>
      </w:pPr>
    </w:p>
    <w:p>
      <w:pPr>
        <w:jc w:val="both"/>
        <w:ind w:left="20" w:right="20"/>
        <w:spacing w:after="0" w:line="261" w:lineRule="auto"/>
        <w:rPr>
          <w:sz w:val="20"/>
          <w:szCs w:val="20"/>
          <w:color w:val="auto"/>
        </w:rPr>
      </w:pPr>
      <w:r>
        <w:rPr>
          <w:rFonts w:ascii="Arial" w:cs="Arial" w:eastAsia="Arial" w:hAnsi="Arial"/>
          <w:sz w:val="20"/>
          <w:szCs w:val="20"/>
          <w:color w:val="auto"/>
        </w:rPr>
        <w:t>Mr. Flanigan is former Executive Vice President, Chief Financial Officer and nine-year Board Member of Leggett &amp; Platt, Incorporated (NYSE: LEG), having retired from those positions in 2019. Headquartered in Carthage, Missouri, Leggett &amp; Platt is a leading manufacturer of engineered components and products found in many homes, offices, automobiles, and airplanes. Mr. Flanigan became Chief Financial Officer in 2003, was appointed Executive Vice President in 2009, and elected to Leggett &amp; Platt’s Board of Directors in 2010. From 1999 until 2003, he served as President of the Office Furniture and Plastics Components Groups of Leggett. Prior to joining Leggett in 1997, Mr. Flanigan was employed in the banking industry for 13 years, the last 10 of which as First Vice President and Manager for Societe Generale S.A. in Dallas, the largest non-U.S. lending institution in the Southwestern United States at that time. Mr. Flanigan currently serves as a director of Performance Food Group Company (NYSE: PFGC), one of the nation’s largest food distribution businesses and a Fortune 100 company. Mr. Flanigan brings to our Board expertise in banking and finance, risk, and compliance as well as a unique perspective coming from his broad experience at a large, global manufacturer as both an executive and board member, and having served on several public company boards. Mr. Flanigan was appointed “Lead Director” by the independent directors in 2012.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132320" cy="342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448310</wp:posOffset>
            </wp:positionV>
            <wp:extent cx="7132320" cy="3511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3511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20"/>
        <w:spacing w:after="0"/>
        <w:tabs>
          <w:tab w:leader="none" w:pos="440" w:val="left"/>
        </w:tabs>
        <w:rPr>
          <w:sz w:val="20"/>
          <w:szCs w:val="20"/>
          <w:color w:val="auto"/>
        </w:rPr>
      </w:pPr>
      <w:r>
        <w:rPr>
          <w:rFonts w:ascii="Arial" w:cs="Arial" w:eastAsia="Arial" w:hAnsi="Arial"/>
          <w:sz w:val="18"/>
          <w:szCs w:val="18"/>
          <w:color w:val="auto"/>
        </w:rPr>
        <w:t>8</w:t>
      </w:r>
      <w:r>
        <w:rPr>
          <w:sz w:val="20"/>
          <w:szCs w:val="20"/>
          <w:color w:val="auto"/>
        </w:rPr>
        <w:tab/>
      </w:r>
      <w:r>
        <w:rPr>
          <w:rFonts w:ascii="Arial" w:cs="Arial" w:eastAsia="Arial" w:hAnsi="Arial"/>
          <w:sz w:val="18"/>
          <w:szCs w:val="18"/>
          <w:color w:val="auto"/>
        </w:rPr>
        <w:t>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262255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9" w:right="339" w:bottom="1440" w:gutter="0" w:footer="0" w:header="0"/>
          <w:type w:val="continuous"/>
        </w:sectPr>
      </w:pPr>
    </w:p>
    <w:bookmarkStart w:id="11" w:name="page12"/>
    <w:bookmarkEnd w:id="11"/>
    <w:p>
      <w:pPr>
        <w:ind w:left="2320"/>
        <w:spacing w:after="0"/>
        <w:rPr>
          <w:sz w:val="20"/>
          <w:szCs w:val="20"/>
          <w:color w:val="auto"/>
        </w:rPr>
      </w:pPr>
      <w:r>
        <w:rPr>
          <w:rFonts w:ascii="Arial" w:cs="Arial" w:eastAsia="Arial" w:hAnsi="Arial"/>
          <w:sz w:val="18"/>
          <w:szCs w:val="18"/>
          <w:b w:val="1"/>
          <w:bCs w:val="1"/>
          <w:color w:val="auto"/>
        </w:rPr>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57404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574040"/>
                    </a:xfrm>
                    <a:prstGeom prst="rect">
                      <a:avLst/>
                    </a:prstGeom>
                    <a:noFill/>
                  </pic:spPr>
                </pic:pic>
              </a:graphicData>
            </a:graphic>
          </wp:anchor>
        </w:drawing>
      </w:r>
    </w:p>
    <w:p>
      <w:pPr>
        <w:spacing w:after="0" w:line="84"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085CE5"/>
        </w:rPr>
        <w:t>Thomas H. Wilson, Jr.</w:t>
      </w:r>
    </w:p>
    <w:p>
      <w:pPr>
        <w:spacing w:after="0" w:line="158"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085CE5"/>
        </w:rPr>
        <w:t>Age: 63</w:t>
      </w:r>
    </w:p>
    <w:p>
      <w:pPr>
        <w:spacing w:after="0" w:line="47" w:lineRule="exact"/>
        <w:rPr>
          <w:sz w:val="20"/>
          <w:szCs w:val="20"/>
          <w:color w:val="auto"/>
        </w:rPr>
      </w:pPr>
    </w:p>
    <w:p>
      <w:pPr>
        <w:jc w:val="both"/>
        <w:ind w:left="20" w:right="20"/>
        <w:spacing w:after="0" w:line="261" w:lineRule="auto"/>
        <w:rPr>
          <w:sz w:val="20"/>
          <w:szCs w:val="20"/>
          <w:color w:val="auto"/>
        </w:rPr>
      </w:pPr>
      <w:r>
        <w:rPr>
          <w:rFonts w:ascii="Arial" w:cs="Arial" w:eastAsia="Arial" w:hAnsi="Arial"/>
          <w:sz w:val="20"/>
          <w:szCs w:val="20"/>
          <w:color w:val="auto"/>
        </w:rPr>
        <w:t>Mr. Wilson is a Managing Partner at DecisionPoint Advisors, LLC in Charlotte, N.C., a specialized merger and acquisition advisory firm for mid-market technology companies and currently serves as a director of NN, Inc. (Nasdaq: NNBR), a diversified industrial company. Prior to joining DecisionPoint in 2008, he served as Chairman and CEO of NuTech Solutions from 2004 to 2008, a business intelligence software company that was acquired by Neteeza. From 1997 to 2004, Mr. Wilson was President of Osprey, a consulting and systems integration firm. Prior to his work at Osprey, Mr. Wilson was employed by IBM for 14 years in a variety of management and sales positions. Mr. Wilson earned a Master’s in Business Administration from Duke University and has served on the boards of various non-profit and community organizations, including North Carolina Innovative Development for Economic Advancement (NC IDEA), Junior Achievement, the Charlotte United Way, and the National Association of Corporate Directors Carolinas Chapter. Mr. Wilson brings to the Board extensive management and sales experience in technology companies, as well as expertise in technology-oriented investment banking and mergers and acquisitions.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161290</wp:posOffset>
            </wp:positionV>
            <wp:extent cx="7132320" cy="342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20"/>
        <w:spacing w:after="0"/>
        <w:tabs>
          <w:tab w:leader="none" w:pos="2300" w:val="left"/>
        </w:tabs>
        <w:rPr>
          <w:sz w:val="20"/>
          <w:szCs w:val="20"/>
          <w:color w:val="auto"/>
        </w:rPr>
      </w:pPr>
      <w:r>
        <w:rPr>
          <w:rFonts w:ascii="Arial" w:cs="Arial" w:eastAsia="Arial" w:hAnsi="Arial"/>
          <w:sz w:val="18"/>
          <w:szCs w:val="18"/>
          <w:b w:val="1"/>
          <w:bCs w:val="1"/>
          <w:color w:val="085CE5"/>
        </w:rPr>
        <w:t>Thomas A. Wimsett</w:t>
      </w:r>
      <w:r>
        <w:rPr>
          <w:sz w:val="20"/>
          <w:szCs w:val="20"/>
          <w:color w:val="auto"/>
        </w:rPr>
        <w:tab/>
      </w:r>
      <w:r>
        <w:rPr>
          <w:rFonts w:ascii="Arial" w:cs="Arial" w:eastAsia="Arial" w:hAnsi="Arial"/>
          <w:sz w:val="17"/>
          <w:szCs w:val="17"/>
          <w:b w:val="1"/>
          <w:bCs w:val="1"/>
          <w:color w:val="auto"/>
        </w:rPr>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46291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462915"/>
                    </a:xfrm>
                    <a:prstGeom prst="rect">
                      <a:avLst/>
                    </a:prstGeom>
                    <a:noFill/>
                  </pic:spPr>
                </pic:pic>
              </a:graphicData>
            </a:graphic>
          </wp:anchor>
        </w:drawing>
      </w:r>
    </w:p>
    <w:p>
      <w:pPr>
        <w:spacing w:after="0" w:line="273"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085CE5"/>
        </w:rPr>
        <w:t>Age: 60</w:t>
      </w:r>
    </w:p>
    <w:p>
      <w:pPr>
        <w:spacing w:after="0" w:line="47" w:lineRule="exact"/>
        <w:rPr>
          <w:sz w:val="20"/>
          <w:szCs w:val="20"/>
          <w:color w:val="auto"/>
        </w:rPr>
      </w:pPr>
    </w:p>
    <w:p>
      <w:pPr>
        <w:jc w:val="both"/>
        <w:ind w:left="20" w:right="20"/>
        <w:spacing w:after="0" w:line="277" w:lineRule="auto"/>
        <w:rPr>
          <w:sz w:val="20"/>
          <w:szCs w:val="20"/>
          <w:color w:val="auto"/>
        </w:rPr>
      </w:pPr>
      <w:r>
        <w:rPr>
          <w:rFonts w:ascii="Arial" w:cs="Arial" w:eastAsia="Arial" w:hAnsi="Arial"/>
          <w:sz w:val="19"/>
          <w:szCs w:val="19"/>
          <w:color w:val="auto"/>
        </w:rPr>
        <w:t>Mr. Wimsett is the Founder and Chairman of Merchant’s PACT, a fintech, payments program management, and consulting firm he formed in 2012. He also served as Executive Chairman of ControlScan, Inc., a payment card compliance, network, and managed security services firm, from 2014 through 2020. He is a 35+ year veteran of the payments industry, the founder and former Chairman and Chief Executive Officer of Iron Triangle Payment Systems, a leading merchant payment processor, which was acquired by Vantiv (now Fidelity National Information Services, Inc.) in late 2010. Prior managerial and executive positions in the payments industry include President and CEO of National Processing Company (now owned by Bank of America Corp) from 1999 to 2002. He formerly served as Chairman and director of Town &amp; Country Bank and Trust Company in Bardstown, Kentucky. Mr. Wimsett brings deep knowledge and experience in the payments industry to the Board, including service for more than 10 years as a director or advisory board member of the Electronic Transaction Association, an international trade association, and prior roles as a director of MasterCard’s US Board and on advisory boards for both Discover Card and Visa.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144145</wp:posOffset>
            </wp:positionV>
            <wp:extent cx="7132320" cy="342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435610</wp:posOffset>
            </wp:positionV>
            <wp:extent cx="7132320" cy="3511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3511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10940" w:type="dxa"/>
            <w:vAlign w:val="bottom"/>
          </w:tcPr>
          <w:p>
            <w:pPr>
              <w:ind w:left="9000"/>
              <w:spacing w:after="0"/>
              <w:rPr>
                <w:sz w:val="20"/>
                <w:szCs w:val="20"/>
                <w:color w:val="auto"/>
              </w:rPr>
            </w:pPr>
            <w:r>
              <w:rPr>
                <w:rFonts w:ascii="Arial" w:cs="Arial" w:eastAsia="Arial" w:hAnsi="Arial"/>
                <w:sz w:val="18"/>
                <w:szCs w:val="18"/>
                <w:color w:val="auto"/>
              </w:rPr>
              <w:t>2024 Proxy Statement</w:t>
            </w:r>
          </w:p>
        </w:tc>
        <w:tc>
          <w:tcPr>
            <w:tcW w:w="300" w:type="dxa"/>
            <w:vAlign w:val="bottom"/>
          </w:tcPr>
          <w:p>
            <w:pPr>
              <w:jc w:val="right"/>
              <w:spacing w:after="0"/>
              <w:rPr>
                <w:sz w:val="20"/>
                <w:szCs w:val="20"/>
                <w:color w:val="auto"/>
              </w:rPr>
            </w:pPr>
            <w:r>
              <w:rPr>
                <w:rFonts w:ascii="Arial" w:cs="Arial" w:eastAsia="Arial" w:hAnsi="Arial"/>
                <w:sz w:val="18"/>
                <w:szCs w:val="18"/>
                <w:color w:val="1E3767"/>
              </w:rPr>
              <w:t>9</w:t>
            </w:r>
          </w:p>
        </w:tc>
      </w:tr>
      <w:tr>
        <w:trPr>
          <w:trHeight w:val="395"/>
        </w:trPr>
        <w:tc>
          <w:tcPr>
            <w:tcW w:w="1094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12" w:name="page13"/>
    <w:bookmarkEnd w:id="12"/>
    <w:p>
      <w:pPr>
        <w:spacing w:after="0"/>
        <w:tabs>
          <w:tab w:leader="none" w:pos="2280" w:val="left"/>
        </w:tabs>
        <w:rPr>
          <w:sz w:val="20"/>
          <w:szCs w:val="20"/>
          <w:color w:val="auto"/>
        </w:rPr>
      </w:pPr>
      <w:r>
        <w:rPr>
          <w:rFonts w:ascii="Arial" w:cs="Arial" w:eastAsia="Arial" w:hAnsi="Arial"/>
          <w:sz w:val="18"/>
          <w:szCs w:val="18"/>
          <w:b w:val="1"/>
          <w:bCs w:val="1"/>
          <w:color w:val="085CE5"/>
        </w:rPr>
        <w:t>Shruti S. Miyashiro</w:t>
      </w:r>
      <w:r>
        <w:rPr>
          <w:sz w:val="20"/>
          <w:szCs w:val="20"/>
          <w:color w:val="auto"/>
        </w:rPr>
        <w:tab/>
      </w:r>
      <w:r>
        <w:rPr>
          <w:rFonts w:ascii="Arial" w:cs="Arial" w:eastAsia="Arial" w:hAnsi="Arial"/>
          <w:sz w:val="17"/>
          <w:szCs w:val="17"/>
          <w:b w:val="1"/>
          <w:bCs w:val="1"/>
          <w:color w:val="auto"/>
        </w:rPr>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-127635</wp:posOffset>
            </wp:positionV>
            <wp:extent cx="7132320" cy="46291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462915"/>
                    </a:xfrm>
                    <a:prstGeom prst="rect">
                      <a:avLst/>
                    </a:prstGeom>
                    <a:noFill/>
                  </pic:spPr>
                </pic:pic>
              </a:graphicData>
            </a:graphic>
          </wp:anchor>
        </w:drawing>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color w:val="085CE5"/>
        </w:rPr>
        <w:t>Age: 53</w:t>
      </w:r>
    </w:p>
    <w:p>
      <w:pPr>
        <w:spacing w:after="0" w:line="47" w:lineRule="exact"/>
        <w:rPr>
          <w:sz w:val="20"/>
          <w:szCs w:val="20"/>
          <w:color w:val="auto"/>
        </w:rPr>
      </w:pPr>
    </w:p>
    <w:p>
      <w:pPr>
        <w:jc w:val="both"/>
        <w:spacing w:after="0" w:line="261" w:lineRule="auto"/>
        <w:rPr>
          <w:sz w:val="20"/>
          <w:szCs w:val="20"/>
          <w:color w:val="auto"/>
        </w:rPr>
      </w:pPr>
      <w:r>
        <w:rPr>
          <w:rFonts w:ascii="Arial" w:cs="Arial" w:eastAsia="Arial" w:hAnsi="Arial"/>
          <w:sz w:val="20"/>
          <w:szCs w:val="20"/>
          <w:color w:val="auto"/>
        </w:rPr>
        <w:t>Ms. Miyashiro is President and Chief Executive Officer of Digital Federal Credit Union, which she has led since 2022. Ms. Miyashiro also served as President and CEO of Orange County’s Credit Union, which she led from 2007 through 2022. Ms. Miyashiro has served in numerous leadership positions, including as a past Board Director of the Federal Home Loan Bank of San Francisco, past Board Director of CO-OP Financial Services, a large credit union services organization which serves institutions nationwide, past appointee to the Advisory Committee for the California Department of Financial Protection and Oversight, as well as numerous state and national committees for credit unions. Ms. Miyashiro brings to the Board the perspective and experience of one of the largest credit unions in the nation and a current Company customer, as well as that of a past customer from her time at Orange County’s Credit Union, which used the Company’s core software system and many of its complementary products and services during her tenure. Ms. Miyashiro earned a Master’s in Business Administration from the University of Redlands.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157480</wp:posOffset>
            </wp:positionV>
            <wp:extent cx="7132320" cy="342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tabs>
          <w:tab w:leader="none" w:pos="2280" w:val="left"/>
        </w:tabs>
        <w:rPr>
          <w:sz w:val="20"/>
          <w:szCs w:val="20"/>
          <w:color w:val="auto"/>
        </w:rPr>
      </w:pPr>
      <w:r>
        <w:rPr>
          <w:rFonts w:ascii="Arial" w:cs="Arial" w:eastAsia="Arial" w:hAnsi="Arial"/>
          <w:sz w:val="18"/>
          <w:szCs w:val="18"/>
          <w:b w:val="1"/>
          <w:bCs w:val="1"/>
          <w:color w:val="085CE5"/>
        </w:rPr>
        <w:t>Wesley A. Brown</w:t>
      </w:r>
      <w:r>
        <w:rPr>
          <w:sz w:val="20"/>
          <w:szCs w:val="20"/>
          <w:color w:val="auto"/>
        </w:rPr>
        <w:tab/>
      </w:r>
      <w:r>
        <w:rPr>
          <w:rFonts w:ascii="Arial" w:cs="Arial" w:eastAsia="Arial" w:hAnsi="Arial"/>
          <w:sz w:val="17"/>
          <w:szCs w:val="17"/>
          <w:b w:val="1"/>
          <w:bCs w:val="1"/>
          <w:color w:val="auto"/>
        </w:rPr>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-127635</wp:posOffset>
            </wp:positionV>
            <wp:extent cx="7132320" cy="46291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462915"/>
                    </a:xfrm>
                    <a:prstGeom prst="rect">
                      <a:avLst/>
                    </a:prstGeom>
                    <a:noFill/>
                  </pic:spPr>
                </pic:pic>
              </a:graphicData>
            </a:graphic>
          </wp:anchor>
        </w:drawing>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color w:val="085CE5"/>
        </w:rPr>
        <w:t>Age: 70</w:t>
      </w:r>
    </w:p>
    <w:p>
      <w:pPr>
        <w:spacing w:after="0" w:line="47"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Mr. Brown currently serves as President of Bent St. Vrain &amp; Company, LLC, a Denver-based bank consulting firm that he formed in 2015, and as director of FirstBank Holding Company, a $27 billion asset bank holding company based in Lakewood, CO. Mr. Brown served KPMG, LLP as Managing Director in its Corporate Finance subsidiary from June 2014 to his retirement in October 2015. From 2004 to 2014, Mr. Brown was a co-founder and Managing Director of St. Charles Capital, LLC in Denver, Colorado, where he also served as its first President and Compliance Officer. Mr. Brown has specialized in merger transactions and financings for financial institutions, completing over 125 transactions totaling in excess of $3.5 billion over his career. His connections with and to the community banking industry in the Rocky Mountain Region are extensive, as he has personally worked on approximately half of all Colorado bank and thrift merger transactions from 1993 through 2015. Prior to founding St. Charles Capital, he served as Managing Director of McDonald Investments, Inc. (2001-2004) and Executive Vice President of The Wallach Company (1991-2000). Mr. Brown previously served as a Director from 2005 to 2014, when he resigned due to changes in the terms and requirements of his employment by the national accounting and consulting firm KPMG. In addition to experience with finance and compliance, Mr. Brown brings a deep knowledge of the banking industry to the Board as well as unique insight to the Company’s mergers and acquisitions. Mr. Brown earned a Master’s in Business Administration with Honors from the University of Chicago.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165100</wp:posOffset>
            </wp:positionV>
            <wp:extent cx="7132320" cy="342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456565</wp:posOffset>
            </wp:positionV>
            <wp:extent cx="7132320" cy="3511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3511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spacing w:after="0"/>
        <w:tabs>
          <w:tab w:leader="none" w:pos="420" w:val="left"/>
        </w:tabs>
        <w:rPr>
          <w:sz w:val="20"/>
          <w:szCs w:val="20"/>
          <w:color w:val="auto"/>
        </w:rPr>
      </w:pPr>
      <w:r>
        <w:rPr>
          <w:rFonts w:ascii="Arial" w:cs="Arial" w:eastAsia="Arial" w:hAnsi="Arial"/>
          <w:sz w:val="18"/>
          <w:szCs w:val="18"/>
          <w:color w:val="auto"/>
        </w:rPr>
        <w:t>10</w:t>
        <w:tab/>
        <w:t>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253365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931" w:right="359" w:bottom="1440" w:gutter="0" w:footer="0" w:header="0"/>
        </w:sectPr>
      </w:pPr>
    </w:p>
    <w:bookmarkStart w:id="13" w:name="page14"/>
    <w:bookmarkEnd w:id="13"/>
    <w:p>
      <w:pPr>
        <w:spacing w:after="0"/>
        <w:tabs>
          <w:tab w:leader="none" w:pos="2280" w:val="left"/>
        </w:tabs>
        <w:rPr>
          <w:sz w:val="20"/>
          <w:szCs w:val="20"/>
          <w:color w:val="auto"/>
        </w:rPr>
      </w:pPr>
      <w:r>
        <w:rPr>
          <w:rFonts w:ascii="Arial" w:cs="Arial" w:eastAsia="Arial" w:hAnsi="Arial"/>
          <w:sz w:val="18"/>
          <w:szCs w:val="18"/>
          <w:b w:val="1"/>
          <w:bCs w:val="1"/>
          <w:color w:val="085CE5"/>
        </w:rPr>
        <w:t>Curtis A. Campbell</w:t>
      </w:r>
      <w:r>
        <w:rPr>
          <w:sz w:val="20"/>
          <w:szCs w:val="20"/>
          <w:color w:val="auto"/>
        </w:rPr>
        <w:tab/>
      </w:r>
      <w:r>
        <w:rPr>
          <w:rFonts w:ascii="Arial" w:cs="Arial" w:eastAsia="Arial" w:hAnsi="Arial"/>
          <w:sz w:val="17"/>
          <w:szCs w:val="17"/>
          <w:b w:val="1"/>
          <w:bCs w:val="1"/>
          <w:color w:val="auto"/>
        </w:rPr>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-127635</wp:posOffset>
            </wp:positionV>
            <wp:extent cx="7132320" cy="46291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462915"/>
                    </a:xfrm>
                    <a:prstGeom prst="rect">
                      <a:avLst/>
                    </a:prstGeom>
                    <a:noFill/>
                  </pic:spPr>
                </pic:pic>
              </a:graphicData>
            </a:graphic>
          </wp:anchor>
        </w:drawing>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color w:val="085CE5"/>
        </w:rPr>
        <w:t>Age: 52</w:t>
      </w:r>
    </w:p>
    <w:p>
      <w:pPr>
        <w:spacing w:after="0" w:line="47" w:lineRule="exact"/>
        <w:rPr>
          <w:sz w:val="20"/>
          <w:szCs w:val="20"/>
          <w:color w:val="auto"/>
        </w:rPr>
      </w:pPr>
    </w:p>
    <w:p>
      <w:pPr>
        <w:jc w:val="both"/>
        <w:ind w:firstLine="55"/>
        <w:spacing w:after="0" w:line="261" w:lineRule="auto"/>
        <w:rPr>
          <w:sz w:val="20"/>
          <w:szCs w:val="20"/>
          <w:color w:val="auto"/>
        </w:rPr>
      </w:pPr>
      <w:r>
        <w:rPr>
          <w:rFonts w:ascii="Arial" w:cs="Arial" w:eastAsia="Arial" w:hAnsi="Arial"/>
          <w:sz w:val="20"/>
          <w:szCs w:val="20"/>
          <w:color w:val="auto"/>
        </w:rPr>
        <w:t>Mr. Campbell is President of Global Consumer Tax and Chief Product Officer of H&amp;R Block, Inc. (NYSE: HRB), where he has served since 2024. Mr. Campbell is the former CEO of TaxAct, a provider of technology-enabled tax focused financial solutions. He also previously served as President of Software at Blucora, Inc. where he ran TaxAct from 2018 until it was sold by Blucora in 2022. He continued to lead TaxAct after the sale until 2023. Prior to TaxAct, Mr. Campbell served Capital One Financial Corporation (NYSE: COF), a diversified financial services holding company, as a Managing Vice President of Consumer Auto from 2017 to 2018 and Intuit Inc. (Nasdaq: INTU), a financial technology company serving consumers and small businesses, where he served in Vice President roles leading Product Management and Strategy from 2014 to 2017. Mr. Campbell brings extensive experience with infrastructure and cloud computing as well as digital development and a keen focus on customer experience from his leadership roles at several technology companies. Mr. Campbell earned a Master’s in International Business from the University of South Carolina.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157480</wp:posOffset>
            </wp:positionV>
            <wp:extent cx="7132320" cy="342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spacing w:after="0"/>
        <w:tabs>
          <w:tab w:leader="none" w:pos="2280" w:val="left"/>
        </w:tabs>
        <w:rPr>
          <w:sz w:val="20"/>
          <w:szCs w:val="20"/>
          <w:color w:val="auto"/>
        </w:rPr>
      </w:pPr>
      <w:r>
        <w:rPr>
          <w:rFonts w:ascii="Arial" w:cs="Arial" w:eastAsia="Arial" w:hAnsi="Arial"/>
          <w:sz w:val="18"/>
          <w:szCs w:val="18"/>
          <w:b w:val="1"/>
          <w:bCs w:val="1"/>
          <w:color w:val="085CE5"/>
        </w:rPr>
        <w:t>Tammy S. LoCascio</w:t>
      </w:r>
      <w:r>
        <w:rPr>
          <w:sz w:val="20"/>
          <w:szCs w:val="20"/>
          <w:color w:val="auto"/>
        </w:rPr>
        <w:tab/>
      </w:r>
      <w:r>
        <w:rPr>
          <w:rFonts w:ascii="Arial" w:cs="Arial" w:eastAsia="Arial" w:hAnsi="Arial"/>
          <w:sz w:val="17"/>
          <w:szCs w:val="17"/>
          <w:b w:val="1"/>
          <w:bCs w:val="1"/>
          <w:color w:val="auto"/>
        </w:rPr>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-127635</wp:posOffset>
            </wp:positionV>
            <wp:extent cx="7132320" cy="46291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462915"/>
                    </a:xfrm>
                    <a:prstGeom prst="rect">
                      <a:avLst/>
                    </a:prstGeom>
                    <a:noFill/>
                  </pic:spPr>
                </pic:pic>
              </a:graphicData>
            </a:graphic>
          </wp:anchor>
        </w:drawing>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color w:val="085CE5"/>
        </w:rPr>
        <w:t>Age: 55</w:t>
      </w:r>
    </w:p>
    <w:p>
      <w:pPr>
        <w:spacing w:after="0" w:line="47" w:lineRule="exact"/>
        <w:rPr>
          <w:sz w:val="20"/>
          <w:szCs w:val="20"/>
          <w:color w:val="auto"/>
        </w:rPr>
      </w:pPr>
    </w:p>
    <w:p>
      <w:pPr>
        <w:jc w:val="both"/>
        <w:spacing w:after="0" w:line="263" w:lineRule="auto"/>
        <w:rPr>
          <w:sz w:val="20"/>
          <w:szCs w:val="20"/>
          <w:color w:val="auto"/>
        </w:rPr>
      </w:pPr>
      <w:r>
        <w:rPr>
          <w:rFonts w:ascii="Arial" w:cs="Arial" w:eastAsia="Arial" w:hAnsi="Arial"/>
          <w:sz w:val="20"/>
          <w:szCs w:val="20"/>
          <w:color w:val="auto"/>
        </w:rPr>
        <w:t>Ms. LoCascio is Senior Executive Vice President and Chief Operating Officer of First Horizon Corporation (NYSE: FHN), the holding company for First Horizon Bank, where she also previously served as Chief Human Resources Officer, and Executive Vice President of Consumer Banking. Prior to joining First Horizon in 2011, Ms. LoCascio worked in management consulting as well as held leadership roles at various regional banks. Ms. LoCascio brings extensive experience with banking strategy, technology, and operations as well as human capital management. Ms. LoCascio is engaged in the communities she serves and was named a Woman of Impact by the American Heart Association of the Mid South in 2024 and was honored as one of Memphis’ most influential women in business by the Memphis Business Journal in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153670</wp:posOffset>
            </wp:positionV>
            <wp:extent cx="7132320" cy="342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tabs>
          <w:tab w:leader="none" w:pos="2280" w:val="left"/>
        </w:tabs>
        <w:rPr>
          <w:sz w:val="20"/>
          <w:szCs w:val="20"/>
          <w:color w:val="auto"/>
        </w:rPr>
      </w:pPr>
      <w:r>
        <w:rPr>
          <w:rFonts w:ascii="Arial" w:cs="Arial" w:eastAsia="Arial" w:hAnsi="Arial"/>
          <w:sz w:val="18"/>
          <w:szCs w:val="18"/>
          <w:b w:val="1"/>
          <w:bCs w:val="1"/>
          <w:color w:val="085CE5"/>
        </w:rPr>
        <w:t>Lisa M. Nelson</w:t>
      </w:r>
      <w:r>
        <w:rPr>
          <w:sz w:val="20"/>
          <w:szCs w:val="20"/>
          <w:color w:val="auto"/>
        </w:rPr>
        <w:tab/>
      </w:r>
      <w:r>
        <w:rPr>
          <w:rFonts w:ascii="Arial" w:cs="Arial" w:eastAsia="Arial" w:hAnsi="Arial"/>
          <w:sz w:val="17"/>
          <w:szCs w:val="17"/>
          <w:b w:val="1"/>
          <w:bCs w:val="1"/>
          <w:color w:val="auto"/>
        </w:rPr>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-127635</wp:posOffset>
            </wp:positionV>
            <wp:extent cx="7132320" cy="46291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462915"/>
                    </a:xfrm>
                    <a:prstGeom prst="rect">
                      <a:avLst/>
                    </a:prstGeom>
                    <a:noFill/>
                  </pic:spPr>
                </pic:pic>
              </a:graphicData>
            </a:graphic>
          </wp:anchor>
        </w:drawing>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color w:val="085CE5"/>
        </w:rPr>
        <w:t>Age: 61</w:t>
      </w:r>
    </w:p>
    <w:p>
      <w:pPr>
        <w:spacing w:after="0" w:line="47" w:lineRule="exact"/>
        <w:rPr>
          <w:sz w:val="20"/>
          <w:szCs w:val="20"/>
          <w:color w:val="auto"/>
        </w:rPr>
      </w:pPr>
    </w:p>
    <w:p>
      <w:pPr>
        <w:jc w:val="both"/>
        <w:spacing w:after="0" w:line="264" w:lineRule="auto"/>
        <w:rPr>
          <w:sz w:val="20"/>
          <w:szCs w:val="20"/>
          <w:color w:val="auto"/>
        </w:rPr>
      </w:pPr>
      <w:r>
        <w:rPr>
          <w:rFonts w:ascii="Arial" w:cs="Arial" w:eastAsia="Arial" w:hAnsi="Arial"/>
          <w:sz w:val="20"/>
          <w:szCs w:val="20"/>
          <w:color w:val="auto"/>
        </w:rPr>
        <w:t>Ms. Nelson is President, International at Equifax, Inc. (NYSE: EFX), where she also previously served as President of Equifax Australia and New Zealand, President and General Manager of Equifax Canada, and Corporate Senior Vice President and Enterprise Alliance Leader. Prior to joining Equifax in 2011, Ms. Nelson held various executive leadership positions at Fair Isaac Corporation (NYSE: FICO) from 2004 to 2011, and from 1998 to 2003 held executive positions at EFunds Corporation, a payments services company that was acquired by Fidelity National Information Services, Inc. (NYSE: FIS) in 2007. Ms. Nelson brings to the Board a deep knowledge and experience of global management of technology companies, in addition to strategic acquisitions and implementation of growth initiatives. Ms. Nelson earned a Master’s in Business Administration from the University of St. Thomas. She currently serves on the private board of Equifax do Brazil.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151765</wp:posOffset>
            </wp:positionV>
            <wp:extent cx="7132320" cy="342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597535</wp:posOffset>
            </wp:positionV>
            <wp:extent cx="7132320" cy="3511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3511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right"/>
        <w:spacing w:after="0"/>
        <w:tabs>
          <w:tab w:leader="none" w:pos="160" w:val="left"/>
        </w:tabs>
        <w:rPr>
          <w:sz w:val="20"/>
          <w:szCs w:val="20"/>
          <w:color w:val="auto"/>
        </w:rPr>
      </w:pPr>
      <w:r>
        <w:rPr>
          <w:rFonts w:ascii="Arial" w:cs="Arial" w:eastAsia="Arial" w:hAnsi="Arial"/>
          <w:sz w:val="18"/>
          <w:szCs w:val="18"/>
          <w:color w:val="auto"/>
        </w:rPr>
        <w:t>2024 Proxy Statement</w:t>
      </w:r>
      <w:r>
        <w:rPr>
          <w:sz w:val="20"/>
          <w:szCs w:val="20"/>
          <w:color w:val="auto"/>
        </w:rPr>
        <w:tab/>
      </w:r>
      <w:r>
        <w:rPr>
          <w:rFonts w:ascii="Arial" w:cs="Arial" w:eastAsia="Arial" w:hAnsi="Arial"/>
          <w:sz w:val="16"/>
          <w:szCs w:val="16"/>
          <w:color w:val="1E3767"/>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262255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931" w:right="359" w:bottom="1440" w:gutter="0" w:footer="0" w:header="0"/>
        </w:sectPr>
      </w:pPr>
    </w:p>
    <w:bookmarkStart w:id="14" w:name="page15"/>
    <w:bookmarkEnd w:id="14"/>
    <w:p>
      <w:pPr>
        <w:spacing w:after="0"/>
        <w:rPr>
          <w:sz w:val="20"/>
          <w:szCs w:val="20"/>
          <w:color w:val="auto"/>
        </w:rPr>
      </w:pPr>
      <w:r>
        <w:rPr>
          <w:rFonts w:ascii="Arial" w:cs="Arial" w:eastAsia="Arial" w:hAnsi="Arial"/>
          <w:sz w:val="20"/>
          <w:szCs w:val="20"/>
          <w:b w:val="1"/>
          <w:bCs w:val="1"/>
          <w:color w:val="auto"/>
        </w:rPr>
        <w:t>Director Independence</w:t>
      </w:r>
    </w:p>
    <w:p>
      <w:pPr>
        <w:spacing w:after="0" w:line="258" w:lineRule="exact"/>
        <w:rPr>
          <w:sz w:val="20"/>
          <w:szCs w:val="20"/>
          <w:color w:val="auto"/>
        </w:rPr>
      </w:pPr>
    </w:p>
    <w:p>
      <w:pPr>
        <w:jc w:val="both"/>
        <w:spacing w:after="0" w:line="261" w:lineRule="auto"/>
        <w:rPr>
          <w:sz w:val="20"/>
          <w:szCs w:val="20"/>
          <w:color w:val="auto"/>
        </w:rPr>
      </w:pPr>
      <w:r>
        <w:rPr>
          <w:rFonts w:ascii="Arial" w:cs="Arial" w:eastAsia="Arial" w:hAnsi="Arial"/>
          <w:sz w:val="20"/>
          <w:szCs w:val="20"/>
          <w:color w:val="auto"/>
        </w:rPr>
        <w:t>Eight of the nine director nominees are independent. Non-employee director nominees Flanigan, Wilson, Wimsett, Miyashiro, Brown, Campbell, LoCascio, and Nelson qualify as “independent” in accordance with the published listing requirements of Nasdaq. Ms. Fiegel is also independent, though she is not seeking re-election at the Annual Meeting. Mr. Foss does not qualify as independent because Mr. Foss is currently an employee of the Company. The Nasdaq rules have both objective and subjective tests for determining who is an “independent director.” The objective tests state, for example, that a director is not considered independent if he or she is an employee of the company, has been an employee within the prior three years, or is a partner in or executive officer of an entity to which the company made, or from which the company received, payments in any of the past three fiscal years that exceed 5% of the recipient’s consolidated gross revenue for that year. The subjective test states that an independent director must be a person who lacks a relationship that, in the opinion of the Board, would interfere with the exercise of independent judgment in carrying out the responsibilities of a director.</w:t>
      </w:r>
    </w:p>
    <w:p>
      <w:pPr>
        <w:spacing w:after="0" w:line="226" w:lineRule="exact"/>
        <w:rPr>
          <w:sz w:val="20"/>
          <w:szCs w:val="20"/>
          <w:color w:val="auto"/>
        </w:rPr>
      </w:pPr>
    </w:p>
    <w:p>
      <w:pPr>
        <w:jc w:val="both"/>
        <w:spacing w:after="0" w:line="261" w:lineRule="auto"/>
        <w:rPr>
          <w:sz w:val="20"/>
          <w:szCs w:val="20"/>
          <w:color w:val="auto"/>
        </w:rPr>
      </w:pPr>
      <w:r>
        <w:rPr>
          <w:rFonts w:ascii="Arial" w:cs="Arial" w:eastAsia="Arial" w:hAnsi="Arial"/>
          <w:sz w:val="20"/>
          <w:szCs w:val="20"/>
          <w:color w:val="auto"/>
        </w:rPr>
        <w:t>The Board relies upon evaluation of director independence by the Board’s Governance Committee. In assessing independence under the subjective test, the Governance Committee takes into account the standards in the objective tests and reviews additional information provided by the directors with regard to each individual’s business and personal activities as they may relate to the Company and its management. Based on all the foregoing, as required by Nasdaq rules, the Governance Committee made a subjective determination as to each of Mses. Fiegel, Miyashiro, LoCascio, and Nelson and Messrs. Flanigan, Wilson, Wimsett, Brown, and Campbell that no relationship exists, which, in the opinion of the Governance Committee, would interfere with the exercise of independent judgment in carrying out the responsibilities of a director. The Governance Committee has not established categorical standards or guidelines to make these subjective determinations but considers all relevant facts and circumstances.</w:t>
      </w:r>
    </w:p>
    <w:p>
      <w:pPr>
        <w:spacing w:after="0" w:line="220" w:lineRule="exact"/>
        <w:rPr>
          <w:sz w:val="20"/>
          <w:szCs w:val="20"/>
          <w:color w:val="auto"/>
        </w:rPr>
      </w:pPr>
    </w:p>
    <w:p>
      <w:pPr>
        <w:jc w:val="both"/>
        <w:spacing w:after="0" w:line="259" w:lineRule="auto"/>
        <w:rPr>
          <w:sz w:val="20"/>
          <w:szCs w:val="20"/>
          <w:color w:val="auto"/>
        </w:rPr>
      </w:pPr>
      <w:r>
        <w:rPr>
          <w:rFonts w:ascii="Arial" w:cs="Arial" w:eastAsia="Arial" w:hAnsi="Arial"/>
          <w:sz w:val="20"/>
          <w:szCs w:val="20"/>
          <w:color w:val="auto"/>
        </w:rPr>
        <w:t>In making its independence determinations, the Governance Committee considered transactions occurring since the beginning of its 2022 fiscal year between the Company and entities associated with the independent directors or members of their immediate family. The Governance Committee considered the customer relationships between the Company and each of (1) the credit union currently associated and the credit union previously associated with Ms. Miyashiro, (2) the bank associated with Ms. Fiegel, (3) the bank associated with Mr. Brown, (4) the non-financial institution entity associated with Mr. Wimsett that uses complementary solutions from the Company, and (5) the bank associated with Ms. LoCascio. For each of these customer relationships, the Governance Committee has determined that these transactions were on terms no less favorable to the Company than arrangements with other unaffiliated customers and that because of the amounts involved in relation to the total revenues of the Company and the applicable customer, the relationships did not impair the independence of Ms. Miyashiro, Ms. Fiegel, Mr. Brown, Mr. Wimsett, or Ms. LoCascio. In all cases and in all years reviewed, the amounts received by the Company from each of these institutions were less than 1% of the Company’s total revenue for the year. The Governance Committee also considered that Mr. Wimsett is Chairman, Managing Partner, and majority owner of Merchant’s PACT, which has a referral agreement with the Company pursuant to which the Company is paid a fee for referring customers to Merchant’s PACT. The Governance Committee also considered that Ms. Nelson is President, International of Equifax, Inc., which offers linked services to Company customers and has a partner agreement with the Company pursuant to which the Company is paid a fee when Company customers purchase the linked interface solution. Because the amounts produced under these relationship have been well below amounts set in the Company’s Related Party Transactions Policy and constitute far less than 1% of the Company’s total revenue for the year, the Governance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40005</wp:posOffset>
            </wp:positionV>
            <wp:extent cx="7132320" cy="3511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351155"/>
                    </a:xfrm>
                    <a:prstGeom prst="rect">
                      <a:avLst/>
                    </a:prstGeom>
                    <a:noFill/>
                  </pic:spPr>
                </pic:pic>
              </a:graphicData>
            </a:graphic>
          </wp:anchor>
        </w:drawing>
      </w:r>
    </w:p>
    <w:p>
      <w:pPr>
        <w:spacing w:after="0" w:line="254" w:lineRule="exact"/>
        <w:rPr>
          <w:sz w:val="20"/>
          <w:szCs w:val="20"/>
          <w:color w:val="auto"/>
        </w:rPr>
      </w:pPr>
    </w:p>
    <w:p>
      <w:pPr>
        <w:ind w:left="20"/>
        <w:spacing w:after="0"/>
        <w:tabs>
          <w:tab w:leader="none" w:pos="440" w:val="left"/>
        </w:tabs>
        <w:rPr>
          <w:sz w:val="20"/>
          <w:szCs w:val="20"/>
          <w:color w:val="auto"/>
        </w:rPr>
      </w:pPr>
      <w:r>
        <w:rPr>
          <w:rFonts w:ascii="Arial" w:cs="Arial" w:eastAsia="Arial" w:hAnsi="Arial"/>
          <w:sz w:val="18"/>
          <w:szCs w:val="18"/>
          <w:color w:val="auto"/>
        </w:rPr>
        <w:t>12</w:t>
        <w:tab/>
        <w:t>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253365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9" w:right="339" w:bottom="1440" w:gutter="0" w:footer="0" w:header="0"/>
        </w:sectPr>
      </w:pPr>
    </w:p>
    <w:bookmarkStart w:id="15" w:name="page16"/>
    <w:bookmarkEnd w:id="15"/>
    <w:p>
      <w:pPr>
        <w:jc w:val="both"/>
        <w:spacing w:after="0" w:line="286" w:lineRule="auto"/>
        <w:rPr>
          <w:sz w:val="20"/>
          <w:szCs w:val="20"/>
          <w:color w:val="auto"/>
        </w:rPr>
      </w:pPr>
      <w:r>
        <w:rPr>
          <w:rFonts w:ascii="Arial" w:cs="Arial" w:eastAsia="Arial" w:hAnsi="Arial"/>
          <w:sz w:val="20"/>
          <w:szCs w:val="20"/>
          <w:color w:val="auto"/>
        </w:rPr>
        <w:t>has determined the relationships do not impair the independence of Mr. Wimsett or Ms. Nelson. See “Certain Relationships and Related Transactions” below for further information.</w:t>
      </w:r>
    </w:p>
    <w:p>
      <w:pPr>
        <w:spacing w:after="0" w:line="194" w:lineRule="exact"/>
        <w:rPr>
          <w:sz w:val="20"/>
          <w:szCs w:val="20"/>
          <w:color w:val="auto"/>
        </w:rPr>
      </w:pPr>
    </w:p>
    <w:p>
      <w:pPr>
        <w:jc w:val="both"/>
        <w:spacing w:after="0" w:line="269" w:lineRule="auto"/>
        <w:rPr>
          <w:sz w:val="20"/>
          <w:szCs w:val="20"/>
          <w:color w:val="auto"/>
        </w:rPr>
      </w:pPr>
      <w:r>
        <w:rPr>
          <w:rFonts w:ascii="Arial" w:cs="Arial" w:eastAsia="Arial" w:hAnsi="Arial"/>
          <w:sz w:val="20"/>
          <w:szCs w:val="20"/>
          <w:color w:val="auto"/>
        </w:rPr>
        <w:t>In addition to the Board-level standards for director independence, the directors who serve on the Audit Committee each satisfy standards established by the Securities Exchange Commission (the "SEC") providing that to qualify as “independent” for the purposes of membership, members of audit committees may not accept directly or indirectly any consulting, advisory, or other compensatory fee from the Company other than their director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147955</wp:posOffset>
            </wp:positionV>
            <wp:extent cx="7149465" cy="7283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49465" cy="728345"/>
                    </a:xfrm>
                    <a:prstGeom prst="rect">
                      <a:avLst/>
                    </a:prstGeom>
                    <a:noFill/>
                  </pic:spPr>
                </pic:pic>
              </a:graphicData>
            </a:graphic>
          </wp:anchor>
        </w:drawing>
      </w:r>
    </w:p>
    <w:p>
      <w:pPr>
        <w:spacing w:after="0" w:line="283" w:lineRule="exact"/>
        <w:rPr>
          <w:sz w:val="20"/>
          <w:szCs w:val="20"/>
          <w:color w:val="auto"/>
        </w:rPr>
      </w:pPr>
    </w:p>
    <w:p>
      <w:pPr>
        <w:jc w:val="both"/>
        <w:ind w:left="60" w:right="80"/>
        <w:spacing w:after="0" w:line="273" w:lineRule="auto"/>
        <w:rPr>
          <w:sz w:val="20"/>
          <w:szCs w:val="20"/>
          <w:color w:val="auto"/>
        </w:rPr>
      </w:pPr>
      <w:r>
        <w:rPr>
          <w:rFonts w:ascii="Arial" w:cs="Arial" w:eastAsia="Arial" w:hAnsi="Arial"/>
          <w:sz w:val="20"/>
          <w:szCs w:val="20"/>
          <w:b w:val="1"/>
          <w:bCs w:val="1"/>
          <w:color w:val="auto"/>
        </w:rPr>
        <w:t>THE BOARD RECOMMENDS THAT YOU VOTE “FOR” THE ELECTION OF EACH OF THE NOMINEES FOR ELECTION TO THE BOARD. PROXIES RECEIVED BY THE BOARD WILL BE VOTED FOR THE ELECTION OF EACH NOMINEE UNLESS STOCKHOLDERS SPECIFY IN THEIR PROXY CARD A VOTE OF “WITHHOLD” WITH RESPECT TO A NOMINEE.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3511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351155"/>
                    </a:xfrm>
                    <a:prstGeom prst="rect">
                      <a:avLst/>
                    </a:prstGeom>
                    <a:noFill/>
                  </pic:spPr>
                </pic:pic>
              </a:graphicData>
            </a:graphic>
          </wp:anchor>
        </w:drawing>
      </w:r>
    </w:p>
    <w:p>
      <w:pPr>
        <w:spacing w:after="0" w:line="383" w:lineRule="exact"/>
        <w:rPr>
          <w:sz w:val="20"/>
          <w:szCs w:val="20"/>
          <w:color w:val="auto"/>
        </w:rPr>
      </w:pPr>
    </w:p>
    <w:p>
      <w:pPr>
        <w:ind w:left="9000"/>
        <w:spacing w:after="0"/>
        <w:tabs>
          <w:tab w:leader="none" w:pos="11000" w:val="left"/>
        </w:tabs>
        <w:rPr>
          <w:sz w:val="20"/>
          <w:szCs w:val="20"/>
          <w:color w:val="auto"/>
        </w:rPr>
      </w:pPr>
      <w:r>
        <w:rPr>
          <w:rFonts w:ascii="Arial" w:cs="Arial" w:eastAsia="Arial" w:hAnsi="Arial"/>
          <w:sz w:val="18"/>
          <w:szCs w:val="18"/>
          <w:color w:val="auto"/>
        </w:rPr>
        <w:t>2024 Proxy Statement</w:t>
      </w:r>
      <w:r>
        <w:rPr>
          <w:sz w:val="20"/>
          <w:szCs w:val="20"/>
          <w:color w:val="auto"/>
        </w:rPr>
        <w:tab/>
      </w:r>
      <w:r>
        <w:rPr>
          <w:rFonts w:ascii="Arial" w:cs="Arial" w:eastAsia="Arial" w:hAnsi="Arial"/>
          <w:sz w:val="17"/>
          <w:szCs w:val="17"/>
          <w:color w:val="1E3767"/>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262255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01" w:right="339" w:bottom="1440" w:gutter="0" w:footer="0" w:header="0"/>
        </w:sectPr>
      </w:pPr>
    </w:p>
    <w:bookmarkStart w:id="16" w:name="page17"/>
    <w:bookmarkEnd w:id="16"/>
    <w:p>
      <w:pPr>
        <w:jc w:val="center"/>
        <w:spacing w:after="0"/>
        <w:rPr>
          <w:sz w:val="20"/>
          <w:szCs w:val="20"/>
          <w:color w:val="auto"/>
        </w:rPr>
      </w:pPr>
      <w:r>
        <w:rPr>
          <w:rFonts w:ascii="Arial" w:cs="Arial" w:eastAsia="Arial" w:hAnsi="Arial"/>
          <w:sz w:val="22"/>
          <w:szCs w:val="22"/>
          <w:b w:val="1"/>
          <w:bCs w:val="1"/>
          <w:color w:val="auto"/>
        </w:rPr>
        <w:t>CORPORATE GOVERNANCE</w:t>
      </w:r>
    </w:p>
    <w:p>
      <w:pPr>
        <w:spacing w:after="0" w:line="267" w:lineRule="exact"/>
        <w:rPr>
          <w:sz w:val="20"/>
          <w:szCs w:val="20"/>
          <w:color w:val="auto"/>
        </w:rPr>
      </w:pPr>
    </w:p>
    <w:p>
      <w:pPr>
        <w:jc w:val="both"/>
        <w:spacing w:after="0" w:line="286" w:lineRule="auto"/>
        <w:rPr>
          <w:sz w:val="20"/>
          <w:szCs w:val="20"/>
          <w:color w:val="auto"/>
        </w:rPr>
      </w:pPr>
      <w:r>
        <w:rPr>
          <w:rFonts w:ascii="Arial" w:cs="Arial" w:eastAsia="Arial" w:hAnsi="Arial"/>
          <w:sz w:val="20"/>
          <w:szCs w:val="20"/>
          <w:color w:val="auto"/>
        </w:rPr>
        <w:t>The Company and its businesses are managed under the direction of the Board. The Board generally meets a minimum of five times during the year but has complete access to management throughout the year.</w:t>
      </w:r>
    </w:p>
    <w:p>
      <w:pPr>
        <w:spacing w:after="0" w:line="19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Corporate Governance Guidelines</w:t>
      </w:r>
    </w:p>
    <w:p>
      <w:pPr>
        <w:spacing w:after="0" w:line="258" w:lineRule="exact"/>
        <w:rPr>
          <w:sz w:val="20"/>
          <w:szCs w:val="20"/>
          <w:color w:val="auto"/>
        </w:rPr>
      </w:pPr>
    </w:p>
    <w:p>
      <w:pPr>
        <w:jc w:val="both"/>
        <w:spacing w:after="0" w:line="276" w:lineRule="auto"/>
        <w:rPr>
          <w:sz w:val="20"/>
          <w:szCs w:val="20"/>
          <w:color w:val="auto"/>
        </w:rPr>
      </w:pPr>
      <w:r>
        <w:rPr>
          <w:rFonts w:ascii="Arial" w:cs="Arial" w:eastAsia="Arial" w:hAnsi="Arial"/>
          <w:sz w:val="20"/>
          <w:szCs w:val="20"/>
          <w:color w:val="auto"/>
        </w:rPr>
        <w:t>The Board has adopted Corporate Governance Guidelines that include, among others, the following subjects (the following description is a summary as of September 16, 2024 and is qualified in its entirety by the Corporate Governance Guidelines, which may be updated or amended from time to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144145</wp:posOffset>
            </wp:positionV>
            <wp:extent cx="713232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2100" w:type="dxa"/>
            <w:vAlign w:val="bottom"/>
          </w:tcPr>
          <w:p>
            <w:pPr>
              <w:spacing w:after="0"/>
              <w:rPr>
                <w:sz w:val="21"/>
                <w:szCs w:val="21"/>
                <w:color w:val="auto"/>
              </w:rPr>
            </w:pPr>
          </w:p>
        </w:tc>
        <w:tc>
          <w:tcPr>
            <w:tcW w:w="9140" w:type="dxa"/>
            <w:vAlign w:val="bottom"/>
          </w:tcPr>
          <w:p>
            <w:pPr>
              <w:ind w:left="200"/>
              <w:spacing w:after="0"/>
              <w:rPr>
                <w:sz w:val="20"/>
                <w:szCs w:val="20"/>
                <w:color w:val="auto"/>
              </w:rPr>
            </w:pPr>
            <w:r>
              <w:rPr>
                <w:rFonts w:ascii="Arial" w:cs="Arial" w:eastAsia="Arial" w:hAnsi="Arial"/>
                <w:sz w:val="20"/>
                <w:szCs w:val="20"/>
                <w:color w:val="auto"/>
              </w:rPr>
              <w:t>•   The majority of the Board should be independent under relevant Nasdaq standards.</w:t>
            </w:r>
          </w:p>
        </w:tc>
        <w:tc>
          <w:tcPr>
            <w:tcW w:w="0" w:type="dxa"/>
            <w:vAlign w:val="bottom"/>
          </w:tcPr>
          <w:p>
            <w:pPr>
              <w:spacing w:after="0"/>
              <w:rPr>
                <w:sz w:val="1"/>
                <w:szCs w:val="1"/>
                <w:color w:val="auto"/>
              </w:rPr>
            </w:pPr>
          </w:p>
        </w:tc>
      </w:tr>
      <w:tr>
        <w:trPr>
          <w:trHeight w:val="257"/>
        </w:trPr>
        <w:tc>
          <w:tcPr>
            <w:tcW w:w="2100" w:type="dxa"/>
            <w:vAlign w:val="bottom"/>
            <w:vMerge w:val="restart"/>
          </w:tcPr>
          <w:p>
            <w:pPr>
              <w:jc w:val="center"/>
              <w:ind w:right="41"/>
              <w:spacing w:after="0"/>
              <w:rPr>
                <w:sz w:val="20"/>
                <w:szCs w:val="20"/>
                <w:color w:val="auto"/>
              </w:rPr>
            </w:pPr>
            <w:r>
              <w:rPr>
                <w:rFonts w:ascii="Arial" w:cs="Arial" w:eastAsia="Arial" w:hAnsi="Arial"/>
                <w:sz w:val="20"/>
                <w:szCs w:val="20"/>
                <w:b w:val="1"/>
                <w:bCs w:val="1"/>
                <w:color w:val="auto"/>
                <w:w w:val="99"/>
              </w:rPr>
              <w:t>Director</w:t>
            </w:r>
          </w:p>
        </w:tc>
        <w:tc>
          <w:tcPr>
            <w:tcW w:w="9140" w:type="dxa"/>
            <w:vAlign w:val="bottom"/>
          </w:tcPr>
          <w:p>
            <w:pPr>
              <w:ind w:left="200"/>
              <w:spacing w:after="0"/>
              <w:rPr>
                <w:sz w:val="20"/>
                <w:szCs w:val="20"/>
                <w:color w:val="auto"/>
              </w:rPr>
            </w:pPr>
            <w:r>
              <w:rPr>
                <w:rFonts w:ascii="Arial" w:cs="Arial" w:eastAsia="Arial" w:hAnsi="Arial"/>
                <w:sz w:val="20"/>
                <w:szCs w:val="20"/>
                <w:color w:val="auto"/>
              </w:rPr>
              <w:t>•   Independent directors should not be compensated by the Company other than in the form of</w:t>
            </w:r>
          </w:p>
        </w:tc>
        <w:tc>
          <w:tcPr>
            <w:tcW w:w="0" w:type="dxa"/>
            <w:vAlign w:val="bottom"/>
          </w:tcPr>
          <w:p>
            <w:pPr>
              <w:spacing w:after="0"/>
              <w:rPr>
                <w:sz w:val="1"/>
                <w:szCs w:val="1"/>
                <w:color w:val="auto"/>
              </w:rPr>
            </w:pPr>
          </w:p>
        </w:tc>
      </w:tr>
      <w:tr>
        <w:trPr>
          <w:trHeight w:val="93"/>
        </w:trPr>
        <w:tc>
          <w:tcPr>
            <w:tcW w:w="2100" w:type="dxa"/>
            <w:vAlign w:val="bottom"/>
            <w:vMerge w:val="continue"/>
          </w:tcPr>
          <w:p>
            <w:pPr>
              <w:spacing w:after="0"/>
              <w:rPr>
                <w:sz w:val="8"/>
                <w:szCs w:val="8"/>
                <w:color w:val="auto"/>
              </w:rPr>
            </w:pPr>
          </w:p>
        </w:tc>
        <w:tc>
          <w:tcPr>
            <w:tcW w:w="9140" w:type="dxa"/>
            <w:vAlign w:val="bottom"/>
            <w:vMerge w:val="restart"/>
          </w:tcPr>
          <w:p>
            <w:pPr>
              <w:ind w:left="520"/>
              <w:spacing w:after="0"/>
              <w:rPr>
                <w:sz w:val="20"/>
                <w:szCs w:val="20"/>
                <w:color w:val="auto"/>
              </w:rPr>
            </w:pPr>
            <w:r>
              <w:rPr>
                <w:rFonts w:ascii="Arial" w:cs="Arial" w:eastAsia="Arial" w:hAnsi="Arial"/>
                <w:sz w:val="20"/>
                <w:szCs w:val="20"/>
                <w:color w:val="auto"/>
              </w:rPr>
              <w:t>director’s fees (including any equity awards).</w:t>
            </w:r>
          </w:p>
        </w:tc>
        <w:tc>
          <w:tcPr>
            <w:tcW w:w="0" w:type="dxa"/>
            <w:vAlign w:val="bottom"/>
          </w:tcPr>
          <w:p>
            <w:pPr>
              <w:spacing w:after="0"/>
              <w:rPr>
                <w:sz w:val="1"/>
                <w:szCs w:val="1"/>
                <w:color w:val="auto"/>
              </w:rPr>
            </w:pPr>
          </w:p>
        </w:tc>
      </w:tr>
      <w:tr>
        <w:trPr>
          <w:trHeight w:val="151"/>
        </w:trPr>
        <w:tc>
          <w:tcPr>
            <w:tcW w:w="2100" w:type="dxa"/>
            <w:vAlign w:val="bottom"/>
            <w:vMerge w:val="restart"/>
          </w:tcPr>
          <w:p>
            <w:pPr>
              <w:jc w:val="center"/>
              <w:ind w:right="41"/>
              <w:spacing w:after="0"/>
              <w:rPr>
                <w:sz w:val="20"/>
                <w:szCs w:val="20"/>
                <w:color w:val="auto"/>
              </w:rPr>
            </w:pPr>
            <w:r>
              <w:rPr>
                <w:rFonts w:ascii="Arial" w:cs="Arial" w:eastAsia="Arial" w:hAnsi="Arial"/>
                <w:sz w:val="20"/>
                <w:szCs w:val="20"/>
                <w:b w:val="1"/>
                <w:bCs w:val="1"/>
                <w:color w:val="auto"/>
                <w:w w:val="98"/>
              </w:rPr>
              <w:t>Independence</w:t>
            </w:r>
          </w:p>
        </w:tc>
        <w:tc>
          <w:tcPr>
            <w:tcW w:w="9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3"/>
        </w:trPr>
        <w:tc>
          <w:tcPr>
            <w:tcW w:w="2100" w:type="dxa"/>
            <w:vAlign w:val="bottom"/>
            <w:vMerge w:val="continue"/>
          </w:tcPr>
          <w:p>
            <w:pPr>
              <w:spacing w:after="0"/>
              <w:rPr>
                <w:sz w:val="10"/>
                <w:szCs w:val="10"/>
                <w:color w:val="auto"/>
              </w:rPr>
            </w:pPr>
          </w:p>
        </w:tc>
        <w:tc>
          <w:tcPr>
            <w:tcW w:w="9140" w:type="dxa"/>
            <w:vAlign w:val="bottom"/>
            <w:vMerge w:val="restart"/>
          </w:tcPr>
          <w:p>
            <w:pPr>
              <w:ind w:left="200"/>
              <w:spacing w:after="0"/>
              <w:rPr>
                <w:sz w:val="20"/>
                <w:szCs w:val="20"/>
                <w:color w:val="auto"/>
              </w:rPr>
            </w:pPr>
            <w:r>
              <w:rPr>
                <w:rFonts w:ascii="Arial" w:cs="Arial" w:eastAsia="Arial" w:hAnsi="Arial"/>
                <w:sz w:val="20"/>
                <w:szCs w:val="20"/>
                <w:color w:val="auto"/>
              </w:rPr>
              <w:t>•   Membership on the Audit, Human Capital &amp; Compensation, and Governance Committees should</w:t>
            </w:r>
          </w:p>
        </w:tc>
        <w:tc>
          <w:tcPr>
            <w:tcW w:w="0" w:type="dxa"/>
            <w:vAlign w:val="bottom"/>
          </w:tcPr>
          <w:p>
            <w:pPr>
              <w:spacing w:after="0"/>
              <w:rPr>
                <w:sz w:val="1"/>
                <w:szCs w:val="1"/>
                <w:color w:val="auto"/>
              </w:rPr>
            </w:pPr>
          </w:p>
        </w:tc>
      </w:tr>
      <w:tr>
        <w:trPr>
          <w:trHeight w:val="120"/>
        </w:trPr>
        <w:tc>
          <w:tcPr>
            <w:tcW w:w="2100" w:type="dxa"/>
            <w:vAlign w:val="bottom"/>
          </w:tcPr>
          <w:p>
            <w:pPr>
              <w:spacing w:after="0"/>
              <w:rPr>
                <w:sz w:val="10"/>
                <w:szCs w:val="10"/>
                <w:color w:val="auto"/>
              </w:rPr>
            </w:pPr>
          </w:p>
        </w:tc>
        <w:tc>
          <w:tcPr>
            <w:tcW w:w="9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61"/>
        </w:trPr>
        <w:tc>
          <w:tcPr>
            <w:tcW w:w="2100" w:type="dxa"/>
            <w:vAlign w:val="bottom"/>
          </w:tcPr>
          <w:p>
            <w:pPr>
              <w:spacing w:after="0"/>
              <w:rPr>
                <w:sz w:val="22"/>
                <w:szCs w:val="22"/>
                <w:color w:val="auto"/>
              </w:rPr>
            </w:pPr>
          </w:p>
        </w:tc>
        <w:tc>
          <w:tcPr>
            <w:tcW w:w="9140" w:type="dxa"/>
            <w:vAlign w:val="bottom"/>
          </w:tcPr>
          <w:p>
            <w:pPr>
              <w:ind w:left="520"/>
              <w:spacing w:after="0"/>
              <w:rPr>
                <w:sz w:val="20"/>
                <w:szCs w:val="20"/>
                <w:color w:val="auto"/>
              </w:rPr>
            </w:pPr>
            <w:r>
              <w:rPr>
                <w:rFonts w:ascii="Arial" w:cs="Arial" w:eastAsia="Arial" w:hAnsi="Arial"/>
                <w:sz w:val="20"/>
                <w:szCs w:val="20"/>
                <w:color w:val="auto"/>
              </w:rPr>
              <w:t>be limited to independent directors.</w:t>
            </w:r>
          </w:p>
        </w:tc>
        <w:tc>
          <w:tcPr>
            <w:tcW w:w="0" w:type="dxa"/>
            <w:vAlign w:val="bottom"/>
          </w:tcPr>
          <w:p>
            <w:pPr>
              <w:spacing w:after="0"/>
              <w:rPr>
                <w:sz w:val="1"/>
                <w:szCs w:val="1"/>
                <w:color w:val="auto"/>
              </w:rPr>
            </w:pPr>
          </w:p>
        </w:tc>
      </w:tr>
      <w:tr>
        <w:trPr>
          <w:trHeight w:val="30"/>
        </w:trPr>
        <w:tc>
          <w:tcPr>
            <w:tcW w:w="2100" w:type="dxa"/>
            <w:vAlign w:val="bottom"/>
            <w:tcBorders>
              <w:bottom w:val="single" w:sz="8" w:color="DBDBDB"/>
            </w:tcBorders>
          </w:tcPr>
          <w:p>
            <w:pPr>
              <w:spacing w:after="0"/>
              <w:rPr>
                <w:sz w:val="2"/>
                <w:szCs w:val="2"/>
                <w:color w:val="auto"/>
              </w:rPr>
            </w:pPr>
          </w:p>
        </w:tc>
        <w:tc>
          <w:tcPr>
            <w:tcW w:w="9140" w:type="dxa"/>
            <w:vAlign w:val="bottom"/>
            <w:tcBorders>
              <w:bottom w:val="single" w:sz="8" w:color="DBDBDB"/>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2100" w:type="dxa"/>
            <w:vAlign w:val="bottom"/>
          </w:tcPr>
          <w:p>
            <w:pPr>
              <w:spacing w:after="0"/>
              <w:rPr>
                <w:sz w:val="22"/>
                <w:szCs w:val="22"/>
                <w:color w:val="auto"/>
              </w:rPr>
            </w:pPr>
          </w:p>
        </w:tc>
        <w:tc>
          <w:tcPr>
            <w:tcW w:w="9140" w:type="dxa"/>
            <w:vAlign w:val="bottom"/>
          </w:tcPr>
          <w:p>
            <w:pPr>
              <w:ind w:left="200"/>
              <w:spacing w:after="0"/>
              <w:rPr>
                <w:sz w:val="20"/>
                <w:szCs w:val="20"/>
                <w:color w:val="auto"/>
              </w:rPr>
            </w:pPr>
            <w:r>
              <w:rPr>
                <w:rFonts w:ascii="Arial" w:cs="Arial" w:eastAsia="Arial" w:hAnsi="Arial"/>
                <w:sz w:val="20"/>
                <w:szCs w:val="20"/>
                <w:color w:val="auto"/>
              </w:rPr>
              <w:t>•   The Board will not adopt a stockholder rights plan or reprice stock options without a stockholder</w:t>
            </w:r>
          </w:p>
        </w:tc>
        <w:tc>
          <w:tcPr>
            <w:tcW w:w="0" w:type="dxa"/>
            <w:vAlign w:val="bottom"/>
          </w:tcPr>
          <w:p>
            <w:pPr>
              <w:spacing w:after="0"/>
              <w:rPr>
                <w:sz w:val="1"/>
                <w:szCs w:val="1"/>
                <w:color w:val="auto"/>
              </w:rPr>
            </w:pPr>
          </w:p>
        </w:tc>
      </w:tr>
      <w:tr>
        <w:trPr>
          <w:trHeight w:val="256"/>
        </w:trPr>
        <w:tc>
          <w:tcPr>
            <w:tcW w:w="2100" w:type="dxa"/>
            <w:vAlign w:val="bottom"/>
            <w:vMerge w:val="restart"/>
          </w:tcPr>
          <w:p>
            <w:pPr>
              <w:jc w:val="center"/>
              <w:ind w:right="41"/>
              <w:spacing w:after="0"/>
              <w:rPr>
                <w:sz w:val="20"/>
                <w:szCs w:val="20"/>
                <w:color w:val="auto"/>
              </w:rPr>
            </w:pPr>
            <w:r>
              <w:rPr>
                <w:rFonts w:ascii="Arial" w:cs="Arial" w:eastAsia="Arial" w:hAnsi="Arial"/>
                <w:sz w:val="20"/>
                <w:szCs w:val="20"/>
                <w:b w:val="1"/>
                <w:bCs w:val="1"/>
                <w:color w:val="auto"/>
                <w:w w:val="97"/>
              </w:rPr>
              <w:t>Stockholders</w:t>
            </w:r>
          </w:p>
        </w:tc>
        <w:tc>
          <w:tcPr>
            <w:tcW w:w="9140" w:type="dxa"/>
            <w:vAlign w:val="bottom"/>
          </w:tcPr>
          <w:p>
            <w:pPr>
              <w:ind w:left="520"/>
              <w:spacing w:after="0"/>
              <w:rPr>
                <w:sz w:val="20"/>
                <w:szCs w:val="20"/>
                <w:color w:val="auto"/>
              </w:rPr>
            </w:pPr>
            <w:r>
              <w:rPr>
                <w:rFonts w:ascii="Arial" w:cs="Arial" w:eastAsia="Arial" w:hAnsi="Arial"/>
                <w:sz w:val="20"/>
                <w:szCs w:val="20"/>
                <w:color w:val="auto"/>
              </w:rPr>
              <w:t>vote.</w:t>
            </w:r>
          </w:p>
        </w:tc>
        <w:tc>
          <w:tcPr>
            <w:tcW w:w="0" w:type="dxa"/>
            <w:vAlign w:val="bottom"/>
          </w:tcPr>
          <w:p>
            <w:pPr>
              <w:spacing w:after="0"/>
              <w:rPr>
                <w:sz w:val="1"/>
                <w:szCs w:val="1"/>
                <w:color w:val="auto"/>
              </w:rPr>
            </w:pPr>
          </w:p>
        </w:tc>
      </w:tr>
      <w:tr>
        <w:trPr>
          <w:trHeight w:val="93"/>
        </w:trPr>
        <w:tc>
          <w:tcPr>
            <w:tcW w:w="2100" w:type="dxa"/>
            <w:vAlign w:val="bottom"/>
            <w:vMerge w:val="continue"/>
          </w:tcPr>
          <w:p>
            <w:pPr>
              <w:spacing w:after="0"/>
              <w:rPr>
                <w:sz w:val="8"/>
                <w:szCs w:val="8"/>
                <w:color w:val="auto"/>
              </w:rPr>
            </w:pPr>
          </w:p>
        </w:tc>
        <w:tc>
          <w:tcPr>
            <w:tcW w:w="9140" w:type="dxa"/>
            <w:vAlign w:val="bottom"/>
            <w:vMerge w:val="restart"/>
          </w:tcPr>
          <w:p>
            <w:pPr>
              <w:ind w:left="200"/>
              <w:spacing w:after="0"/>
              <w:rPr>
                <w:sz w:val="20"/>
                <w:szCs w:val="20"/>
                <w:color w:val="auto"/>
              </w:rPr>
            </w:pPr>
            <w:r>
              <w:rPr>
                <w:rFonts w:ascii="Arial" w:cs="Arial" w:eastAsia="Arial" w:hAnsi="Arial"/>
                <w:sz w:val="20"/>
                <w:szCs w:val="20"/>
                <w:color w:val="auto"/>
              </w:rPr>
              <w:t>•   Stockholders may communicate with the Board by submitting written comments to the Secretary</w:t>
            </w:r>
          </w:p>
        </w:tc>
        <w:tc>
          <w:tcPr>
            <w:tcW w:w="0" w:type="dxa"/>
            <w:vAlign w:val="bottom"/>
          </w:tcPr>
          <w:p>
            <w:pPr>
              <w:spacing w:after="0"/>
              <w:rPr>
                <w:sz w:val="1"/>
                <w:szCs w:val="1"/>
                <w:color w:val="auto"/>
              </w:rPr>
            </w:pPr>
          </w:p>
        </w:tc>
      </w:tr>
      <w:tr>
        <w:trPr>
          <w:trHeight w:val="150"/>
        </w:trPr>
        <w:tc>
          <w:tcPr>
            <w:tcW w:w="2100" w:type="dxa"/>
            <w:vAlign w:val="bottom"/>
            <w:vMerge w:val="restart"/>
          </w:tcPr>
          <w:p>
            <w:pPr>
              <w:jc w:val="center"/>
              <w:ind w:right="41"/>
              <w:spacing w:after="0"/>
              <w:rPr>
                <w:sz w:val="20"/>
                <w:szCs w:val="20"/>
                <w:color w:val="auto"/>
              </w:rPr>
            </w:pPr>
            <w:r>
              <w:rPr>
                <w:rFonts w:ascii="Arial" w:cs="Arial" w:eastAsia="Arial" w:hAnsi="Arial"/>
                <w:sz w:val="20"/>
                <w:szCs w:val="20"/>
                <w:b w:val="1"/>
                <w:bCs w:val="1"/>
                <w:color w:val="auto"/>
                <w:w w:val="96"/>
              </w:rPr>
              <w:t>Rights</w:t>
            </w:r>
          </w:p>
        </w:tc>
        <w:tc>
          <w:tcPr>
            <w:tcW w:w="9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3"/>
        </w:trPr>
        <w:tc>
          <w:tcPr>
            <w:tcW w:w="2100" w:type="dxa"/>
            <w:vAlign w:val="bottom"/>
            <w:vMerge w:val="continue"/>
          </w:tcPr>
          <w:p>
            <w:pPr>
              <w:spacing w:after="0"/>
              <w:rPr>
                <w:sz w:val="10"/>
                <w:szCs w:val="10"/>
                <w:color w:val="auto"/>
              </w:rPr>
            </w:pPr>
          </w:p>
        </w:tc>
        <w:tc>
          <w:tcPr>
            <w:tcW w:w="9140" w:type="dxa"/>
            <w:vAlign w:val="bottom"/>
            <w:vMerge w:val="restart"/>
          </w:tcPr>
          <w:p>
            <w:pPr>
              <w:ind w:left="520"/>
              <w:spacing w:after="0"/>
              <w:rPr>
                <w:sz w:val="20"/>
                <w:szCs w:val="20"/>
                <w:color w:val="auto"/>
              </w:rPr>
            </w:pPr>
            <w:r>
              <w:rPr>
                <w:rFonts w:ascii="Arial" w:cs="Arial" w:eastAsia="Arial" w:hAnsi="Arial"/>
                <w:sz w:val="20"/>
                <w:szCs w:val="20"/>
                <w:color w:val="auto"/>
              </w:rPr>
              <w:t>of the Company, who will screen out inappropriate communications and forward appropriate</w:t>
            </w:r>
          </w:p>
        </w:tc>
        <w:tc>
          <w:tcPr>
            <w:tcW w:w="0" w:type="dxa"/>
            <w:vAlign w:val="bottom"/>
          </w:tcPr>
          <w:p>
            <w:pPr>
              <w:spacing w:after="0"/>
              <w:rPr>
                <w:sz w:val="1"/>
                <w:szCs w:val="1"/>
                <w:color w:val="auto"/>
              </w:rPr>
            </w:pPr>
          </w:p>
        </w:tc>
      </w:tr>
      <w:tr>
        <w:trPr>
          <w:trHeight w:val="120"/>
        </w:trPr>
        <w:tc>
          <w:tcPr>
            <w:tcW w:w="2100" w:type="dxa"/>
            <w:vAlign w:val="bottom"/>
          </w:tcPr>
          <w:p>
            <w:pPr>
              <w:spacing w:after="0"/>
              <w:rPr>
                <w:sz w:val="10"/>
                <w:szCs w:val="10"/>
                <w:color w:val="auto"/>
              </w:rPr>
            </w:pPr>
          </w:p>
        </w:tc>
        <w:tc>
          <w:tcPr>
            <w:tcW w:w="9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61"/>
        </w:trPr>
        <w:tc>
          <w:tcPr>
            <w:tcW w:w="2100" w:type="dxa"/>
            <w:vAlign w:val="bottom"/>
          </w:tcPr>
          <w:p>
            <w:pPr>
              <w:spacing w:after="0"/>
              <w:rPr>
                <w:sz w:val="22"/>
                <w:szCs w:val="22"/>
                <w:color w:val="auto"/>
              </w:rPr>
            </w:pPr>
          </w:p>
        </w:tc>
        <w:tc>
          <w:tcPr>
            <w:tcW w:w="9140" w:type="dxa"/>
            <w:vAlign w:val="bottom"/>
          </w:tcPr>
          <w:p>
            <w:pPr>
              <w:ind w:left="520"/>
              <w:spacing w:after="0"/>
              <w:rPr>
                <w:sz w:val="20"/>
                <w:szCs w:val="20"/>
                <w:color w:val="auto"/>
              </w:rPr>
            </w:pPr>
            <w:r>
              <w:rPr>
                <w:rFonts w:ascii="Arial" w:cs="Arial" w:eastAsia="Arial" w:hAnsi="Arial"/>
                <w:sz w:val="20"/>
                <w:szCs w:val="20"/>
                <w:color w:val="auto"/>
              </w:rPr>
              <w:t>comments to the directors.</w:t>
            </w:r>
          </w:p>
        </w:tc>
        <w:tc>
          <w:tcPr>
            <w:tcW w:w="0" w:type="dxa"/>
            <w:vAlign w:val="bottom"/>
          </w:tcPr>
          <w:p>
            <w:pPr>
              <w:spacing w:after="0"/>
              <w:rPr>
                <w:sz w:val="1"/>
                <w:szCs w:val="1"/>
                <w:color w:val="auto"/>
              </w:rPr>
            </w:pPr>
          </w:p>
        </w:tc>
      </w:tr>
      <w:tr>
        <w:trPr>
          <w:trHeight w:val="31"/>
        </w:trPr>
        <w:tc>
          <w:tcPr>
            <w:tcW w:w="2100" w:type="dxa"/>
            <w:vAlign w:val="bottom"/>
            <w:tcBorders>
              <w:bottom w:val="single" w:sz="8" w:color="DBDBDB"/>
            </w:tcBorders>
          </w:tcPr>
          <w:p>
            <w:pPr>
              <w:spacing w:after="0"/>
              <w:rPr>
                <w:sz w:val="2"/>
                <w:szCs w:val="2"/>
                <w:color w:val="auto"/>
              </w:rPr>
            </w:pPr>
          </w:p>
        </w:tc>
        <w:tc>
          <w:tcPr>
            <w:tcW w:w="9140" w:type="dxa"/>
            <w:vAlign w:val="bottom"/>
            <w:tcBorders>
              <w:bottom w:val="single" w:sz="8" w:color="DBDBDB"/>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2100" w:type="dxa"/>
            <w:vAlign w:val="bottom"/>
          </w:tcPr>
          <w:p>
            <w:pPr>
              <w:spacing w:after="0"/>
              <w:rPr>
                <w:sz w:val="22"/>
                <w:szCs w:val="22"/>
                <w:color w:val="auto"/>
              </w:rPr>
            </w:pPr>
          </w:p>
        </w:tc>
        <w:tc>
          <w:tcPr>
            <w:tcW w:w="9140" w:type="dxa"/>
            <w:vAlign w:val="bottom"/>
          </w:tcPr>
          <w:p>
            <w:pPr>
              <w:ind w:left="200"/>
              <w:spacing w:after="0"/>
              <w:rPr>
                <w:sz w:val="20"/>
                <w:szCs w:val="20"/>
                <w:color w:val="auto"/>
              </w:rPr>
            </w:pPr>
            <w:r>
              <w:rPr>
                <w:rFonts w:ascii="Arial" w:cs="Arial" w:eastAsia="Arial" w:hAnsi="Arial"/>
                <w:sz w:val="20"/>
                <w:szCs w:val="20"/>
                <w:color w:val="auto"/>
              </w:rPr>
              <w:t>•   Non-management directors may meet in executive session from time to time with or without</w:t>
            </w:r>
          </w:p>
        </w:tc>
        <w:tc>
          <w:tcPr>
            <w:tcW w:w="0" w:type="dxa"/>
            <w:vAlign w:val="bottom"/>
          </w:tcPr>
          <w:p>
            <w:pPr>
              <w:spacing w:after="0"/>
              <w:rPr>
                <w:sz w:val="1"/>
                <w:szCs w:val="1"/>
                <w:color w:val="auto"/>
              </w:rPr>
            </w:pPr>
          </w:p>
        </w:tc>
      </w:tr>
      <w:tr>
        <w:trPr>
          <w:trHeight w:val="256"/>
        </w:trPr>
        <w:tc>
          <w:tcPr>
            <w:tcW w:w="2100" w:type="dxa"/>
            <w:vAlign w:val="bottom"/>
          </w:tcPr>
          <w:p>
            <w:pPr>
              <w:spacing w:after="0"/>
              <w:rPr>
                <w:sz w:val="22"/>
                <w:szCs w:val="22"/>
                <w:color w:val="auto"/>
              </w:rPr>
            </w:pPr>
          </w:p>
        </w:tc>
        <w:tc>
          <w:tcPr>
            <w:tcW w:w="9140" w:type="dxa"/>
            <w:vAlign w:val="bottom"/>
          </w:tcPr>
          <w:p>
            <w:pPr>
              <w:ind w:left="520"/>
              <w:spacing w:after="0"/>
              <w:rPr>
                <w:sz w:val="20"/>
                <w:szCs w:val="20"/>
                <w:color w:val="auto"/>
              </w:rPr>
            </w:pPr>
            <w:r>
              <w:rPr>
                <w:rFonts w:ascii="Arial" w:cs="Arial" w:eastAsia="Arial" w:hAnsi="Arial"/>
                <w:sz w:val="20"/>
                <w:szCs w:val="20"/>
                <w:color w:val="auto"/>
              </w:rPr>
              <w:t>members of management.</w:t>
            </w:r>
          </w:p>
        </w:tc>
        <w:tc>
          <w:tcPr>
            <w:tcW w:w="0" w:type="dxa"/>
            <w:vAlign w:val="bottom"/>
          </w:tcPr>
          <w:p>
            <w:pPr>
              <w:spacing w:after="0"/>
              <w:rPr>
                <w:sz w:val="1"/>
                <w:szCs w:val="1"/>
                <w:color w:val="auto"/>
              </w:rPr>
            </w:pPr>
          </w:p>
        </w:tc>
      </w:tr>
      <w:tr>
        <w:trPr>
          <w:trHeight w:val="214"/>
        </w:trPr>
        <w:tc>
          <w:tcPr>
            <w:tcW w:w="2100" w:type="dxa"/>
            <w:vAlign w:val="bottom"/>
          </w:tcPr>
          <w:p>
            <w:pPr>
              <w:jc w:val="center"/>
              <w:ind w:right="41"/>
              <w:spacing w:after="0" w:line="214" w:lineRule="exact"/>
              <w:rPr>
                <w:sz w:val="20"/>
                <w:szCs w:val="20"/>
                <w:color w:val="auto"/>
              </w:rPr>
            </w:pPr>
            <w:r>
              <w:rPr>
                <w:rFonts w:ascii="Arial" w:cs="Arial" w:eastAsia="Arial" w:hAnsi="Arial"/>
                <w:sz w:val="20"/>
                <w:szCs w:val="20"/>
                <w:b w:val="1"/>
                <w:bCs w:val="1"/>
                <w:color w:val="auto"/>
              </w:rPr>
              <w:t>Meeting</w:t>
            </w:r>
          </w:p>
        </w:tc>
        <w:tc>
          <w:tcPr>
            <w:tcW w:w="9140" w:type="dxa"/>
            <w:vAlign w:val="bottom"/>
          </w:tcPr>
          <w:p>
            <w:pPr>
              <w:ind w:left="200"/>
              <w:spacing w:after="0" w:line="214" w:lineRule="exact"/>
              <w:rPr>
                <w:sz w:val="20"/>
                <w:szCs w:val="20"/>
                <w:color w:val="auto"/>
              </w:rPr>
            </w:pPr>
            <w:r>
              <w:rPr>
                <w:rFonts w:ascii="Arial" w:cs="Arial" w:eastAsia="Arial" w:hAnsi="Arial"/>
                <w:sz w:val="20"/>
                <w:szCs w:val="20"/>
                <w:color w:val="auto"/>
                <w:w w:val="99"/>
              </w:rPr>
              <w:t>•   The Board should have at least four regularly scheduled meetings a year and members are invited</w:t>
            </w:r>
          </w:p>
        </w:tc>
        <w:tc>
          <w:tcPr>
            <w:tcW w:w="0" w:type="dxa"/>
            <w:vAlign w:val="bottom"/>
          </w:tcPr>
          <w:p>
            <w:pPr>
              <w:spacing w:after="0"/>
              <w:rPr>
                <w:sz w:val="1"/>
                <w:szCs w:val="1"/>
                <w:color w:val="auto"/>
              </w:rPr>
            </w:pPr>
          </w:p>
        </w:tc>
      </w:tr>
      <w:tr>
        <w:trPr>
          <w:trHeight w:val="272"/>
        </w:trPr>
        <w:tc>
          <w:tcPr>
            <w:tcW w:w="2100" w:type="dxa"/>
            <w:vAlign w:val="bottom"/>
          </w:tcPr>
          <w:p>
            <w:pPr>
              <w:jc w:val="center"/>
              <w:ind w:right="41"/>
              <w:spacing w:after="0"/>
              <w:rPr>
                <w:sz w:val="20"/>
                <w:szCs w:val="20"/>
                <w:color w:val="auto"/>
              </w:rPr>
            </w:pPr>
            <w:r>
              <w:rPr>
                <w:rFonts w:ascii="Arial" w:cs="Arial" w:eastAsia="Arial" w:hAnsi="Arial"/>
                <w:sz w:val="20"/>
                <w:szCs w:val="20"/>
                <w:b w:val="1"/>
                <w:bCs w:val="1"/>
                <w:color w:val="auto"/>
                <w:w w:val="98"/>
              </w:rPr>
              <w:t>Requirements</w:t>
            </w:r>
          </w:p>
        </w:tc>
        <w:tc>
          <w:tcPr>
            <w:tcW w:w="9140" w:type="dxa"/>
            <w:vAlign w:val="bottom"/>
          </w:tcPr>
          <w:p>
            <w:pPr>
              <w:ind w:left="520"/>
              <w:spacing w:after="0"/>
              <w:rPr>
                <w:sz w:val="20"/>
                <w:szCs w:val="20"/>
                <w:color w:val="auto"/>
              </w:rPr>
            </w:pPr>
            <w:r>
              <w:rPr>
                <w:rFonts w:ascii="Arial" w:cs="Arial" w:eastAsia="Arial" w:hAnsi="Arial"/>
                <w:sz w:val="20"/>
                <w:szCs w:val="20"/>
                <w:color w:val="auto"/>
              </w:rPr>
              <w:t>to attend an annual review of business strategy conducted with senior management.</w:t>
            </w:r>
          </w:p>
        </w:tc>
        <w:tc>
          <w:tcPr>
            <w:tcW w:w="0" w:type="dxa"/>
            <w:vAlign w:val="bottom"/>
          </w:tcPr>
          <w:p>
            <w:pPr>
              <w:spacing w:after="0"/>
              <w:rPr>
                <w:sz w:val="1"/>
                <w:szCs w:val="1"/>
                <w:color w:val="auto"/>
              </w:rPr>
            </w:pPr>
          </w:p>
        </w:tc>
      </w:tr>
      <w:tr>
        <w:trPr>
          <w:trHeight w:val="256"/>
        </w:trPr>
        <w:tc>
          <w:tcPr>
            <w:tcW w:w="2100" w:type="dxa"/>
            <w:vAlign w:val="bottom"/>
          </w:tcPr>
          <w:p>
            <w:pPr>
              <w:spacing w:after="0"/>
              <w:rPr>
                <w:sz w:val="22"/>
                <w:szCs w:val="22"/>
                <w:color w:val="auto"/>
              </w:rPr>
            </w:pPr>
          </w:p>
        </w:tc>
        <w:tc>
          <w:tcPr>
            <w:tcW w:w="9140" w:type="dxa"/>
            <w:vAlign w:val="bottom"/>
          </w:tcPr>
          <w:p>
            <w:pPr>
              <w:ind w:left="200"/>
              <w:spacing w:after="0"/>
              <w:rPr>
                <w:sz w:val="20"/>
                <w:szCs w:val="20"/>
                <w:color w:val="auto"/>
              </w:rPr>
            </w:pPr>
            <w:r>
              <w:rPr>
                <w:rFonts w:ascii="Arial" w:cs="Arial" w:eastAsia="Arial" w:hAnsi="Arial"/>
                <w:sz w:val="20"/>
                <w:szCs w:val="20"/>
                <w:color w:val="auto"/>
              </w:rPr>
              <w:t>•   Board members are expected, absent unusual circumstances, to attend all Annual Meetings of the</w:t>
            </w:r>
          </w:p>
        </w:tc>
        <w:tc>
          <w:tcPr>
            <w:tcW w:w="0" w:type="dxa"/>
            <w:vAlign w:val="bottom"/>
          </w:tcPr>
          <w:p>
            <w:pPr>
              <w:spacing w:after="0"/>
              <w:rPr>
                <w:sz w:val="1"/>
                <w:szCs w:val="1"/>
                <w:color w:val="auto"/>
              </w:rPr>
            </w:pPr>
          </w:p>
        </w:tc>
      </w:tr>
      <w:tr>
        <w:trPr>
          <w:trHeight w:val="272"/>
        </w:trPr>
        <w:tc>
          <w:tcPr>
            <w:tcW w:w="2100" w:type="dxa"/>
            <w:vAlign w:val="bottom"/>
            <w:tcBorders>
              <w:bottom w:val="single" w:sz="8" w:color="DBDBDB"/>
            </w:tcBorders>
          </w:tcPr>
          <w:p>
            <w:pPr>
              <w:spacing w:after="0"/>
              <w:rPr>
                <w:sz w:val="23"/>
                <w:szCs w:val="23"/>
                <w:color w:val="auto"/>
              </w:rPr>
            </w:pPr>
          </w:p>
        </w:tc>
        <w:tc>
          <w:tcPr>
            <w:tcW w:w="9140" w:type="dxa"/>
            <w:vAlign w:val="bottom"/>
            <w:tcBorders>
              <w:bottom w:val="single" w:sz="8" w:color="DBDBDB"/>
            </w:tcBorders>
          </w:tcPr>
          <w:p>
            <w:pPr>
              <w:ind w:left="520"/>
              <w:spacing w:after="0"/>
              <w:rPr>
                <w:sz w:val="20"/>
                <w:szCs w:val="20"/>
                <w:color w:val="auto"/>
              </w:rPr>
            </w:pPr>
            <w:r>
              <w:rPr>
                <w:rFonts w:ascii="Arial" w:cs="Arial" w:eastAsia="Arial" w:hAnsi="Arial"/>
                <w:sz w:val="20"/>
                <w:szCs w:val="20"/>
                <w:color w:val="auto"/>
              </w:rPr>
              <w:t>Stockholders.</w:t>
            </w:r>
          </w:p>
        </w:tc>
        <w:tc>
          <w:tcPr>
            <w:tcW w:w="0" w:type="dxa"/>
            <w:vAlign w:val="bottom"/>
          </w:tcPr>
          <w:p>
            <w:pPr>
              <w:spacing w:after="0"/>
              <w:rPr>
                <w:sz w:val="1"/>
                <w:szCs w:val="1"/>
                <w:color w:val="auto"/>
              </w:rPr>
            </w:pPr>
          </w:p>
        </w:tc>
      </w:tr>
      <w:tr>
        <w:trPr>
          <w:trHeight w:val="262"/>
        </w:trPr>
        <w:tc>
          <w:tcPr>
            <w:tcW w:w="2100" w:type="dxa"/>
            <w:vAlign w:val="bottom"/>
          </w:tcPr>
          <w:p>
            <w:pPr>
              <w:spacing w:after="0"/>
              <w:rPr>
                <w:sz w:val="22"/>
                <w:szCs w:val="22"/>
                <w:color w:val="auto"/>
              </w:rPr>
            </w:pPr>
          </w:p>
        </w:tc>
        <w:tc>
          <w:tcPr>
            <w:tcW w:w="9140" w:type="dxa"/>
            <w:vAlign w:val="bottom"/>
          </w:tcPr>
          <w:p>
            <w:pPr>
              <w:ind w:left="200"/>
              <w:spacing w:after="0"/>
              <w:rPr>
                <w:sz w:val="20"/>
                <w:szCs w:val="20"/>
                <w:color w:val="auto"/>
              </w:rPr>
            </w:pPr>
            <w:r>
              <w:rPr>
                <w:rFonts w:ascii="Arial" w:cs="Arial" w:eastAsia="Arial" w:hAnsi="Arial"/>
                <w:sz w:val="20"/>
                <w:szCs w:val="20"/>
                <w:color w:val="auto"/>
              </w:rPr>
              <w:t>•   The Governance Committee is responsible for determining skills and characteristics of Board</w:t>
            </w:r>
          </w:p>
        </w:tc>
        <w:tc>
          <w:tcPr>
            <w:tcW w:w="0" w:type="dxa"/>
            <w:vAlign w:val="bottom"/>
          </w:tcPr>
          <w:p>
            <w:pPr>
              <w:spacing w:after="0"/>
              <w:rPr>
                <w:sz w:val="1"/>
                <w:szCs w:val="1"/>
                <w:color w:val="auto"/>
              </w:rPr>
            </w:pPr>
          </w:p>
        </w:tc>
      </w:tr>
      <w:tr>
        <w:trPr>
          <w:trHeight w:val="257"/>
        </w:trPr>
        <w:tc>
          <w:tcPr>
            <w:tcW w:w="2100" w:type="dxa"/>
            <w:vAlign w:val="bottom"/>
          </w:tcPr>
          <w:p>
            <w:pPr>
              <w:spacing w:after="0"/>
              <w:rPr>
                <w:sz w:val="22"/>
                <w:szCs w:val="22"/>
                <w:color w:val="auto"/>
              </w:rPr>
            </w:pPr>
          </w:p>
        </w:tc>
        <w:tc>
          <w:tcPr>
            <w:tcW w:w="9140" w:type="dxa"/>
            <w:vAlign w:val="bottom"/>
          </w:tcPr>
          <w:p>
            <w:pPr>
              <w:ind w:left="520"/>
              <w:spacing w:after="0"/>
              <w:rPr>
                <w:sz w:val="20"/>
                <w:szCs w:val="20"/>
                <w:color w:val="auto"/>
              </w:rPr>
            </w:pPr>
            <w:r>
              <w:rPr>
                <w:rFonts w:ascii="Arial" w:cs="Arial" w:eastAsia="Arial" w:hAnsi="Arial"/>
                <w:sz w:val="20"/>
                <w:szCs w:val="20"/>
                <w:color w:val="auto"/>
                <w:w w:val="99"/>
              </w:rPr>
              <w:t>candidates, and should consider factors such as independence, experience, strength of character,</w:t>
            </w:r>
          </w:p>
        </w:tc>
        <w:tc>
          <w:tcPr>
            <w:tcW w:w="0" w:type="dxa"/>
            <w:vAlign w:val="bottom"/>
          </w:tcPr>
          <w:p>
            <w:pPr>
              <w:spacing w:after="0"/>
              <w:rPr>
                <w:sz w:val="1"/>
                <w:szCs w:val="1"/>
                <w:color w:val="auto"/>
              </w:rPr>
            </w:pPr>
          </w:p>
        </w:tc>
      </w:tr>
      <w:tr>
        <w:trPr>
          <w:trHeight w:val="243"/>
        </w:trPr>
        <w:tc>
          <w:tcPr>
            <w:tcW w:w="2100" w:type="dxa"/>
            <w:vAlign w:val="bottom"/>
            <w:vMerge w:val="restart"/>
          </w:tcPr>
          <w:p>
            <w:pPr>
              <w:jc w:val="center"/>
              <w:ind w:right="41"/>
              <w:spacing w:after="0"/>
              <w:rPr>
                <w:sz w:val="20"/>
                <w:szCs w:val="20"/>
                <w:color w:val="auto"/>
              </w:rPr>
            </w:pPr>
            <w:r>
              <w:rPr>
                <w:rFonts w:ascii="Arial" w:cs="Arial" w:eastAsia="Arial" w:hAnsi="Arial"/>
                <w:sz w:val="20"/>
                <w:szCs w:val="20"/>
                <w:b w:val="1"/>
                <w:bCs w:val="1"/>
                <w:color w:val="auto"/>
                <w:w w:val="99"/>
              </w:rPr>
              <w:t>Board Composition</w:t>
            </w:r>
          </w:p>
        </w:tc>
        <w:tc>
          <w:tcPr>
            <w:tcW w:w="9140" w:type="dxa"/>
            <w:vAlign w:val="bottom"/>
          </w:tcPr>
          <w:p>
            <w:pPr>
              <w:ind w:left="520"/>
              <w:spacing w:after="0"/>
              <w:rPr>
                <w:sz w:val="20"/>
                <w:szCs w:val="20"/>
                <w:color w:val="auto"/>
              </w:rPr>
            </w:pPr>
            <w:r>
              <w:rPr>
                <w:rFonts w:ascii="Arial" w:cs="Arial" w:eastAsia="Arial" w:hAnsi="Arial"/>
                <w:sz w:val="20"/>
                <w:szCs w:val="20"/>
                <w:color w:val="auto"/>
              </w:rPr>
              <w:t>mature judgment, technical skills, diversity, and age.</w:t>
            </w:r>
          </w:p>
        </w:tc>
        <w:tc>
          <w:tcPr>
            <w:tcW w:w="0" w:type="dxa"/>
            <w:vAlign w:val="bottom"/>
          </w:tcPr>
          <w:p>
            <w:pPr>
              <w:spacing w:after="0"/>
              <w:rPr>
                <w:sz w:val="1"/>
                <w:szCs w:val="1"/>
                <w:color w:val="auto"/>
              </w:rPr>
            </w:pPr>
          </w:p>
        </w:tc>
      </w:tr>
      <w:tr>
        <w:trPr>
          <w:trHeight w:val="243"/>
        </w:trPr>
        <w:tc>
          <w:tcPr>
            <w:tcW w:w="2100" w:type="dxa"/>
            <w:vAlign w:val="bottom"/>
            <w:vMerge w:val="continue"/>
          </w:tcPr>
          <w:p>
            <w:pPr>
              <w:spacing w:after="0"/>
              <w:rPr>
                <w:sz w:val="21"/>
                <w:szCs w:val="21"/>
                <w:color w:val="auto"/>
              </w:rPr>
            </w:pPr>
          </w:p>
        </w:tc>
        <w:tc>
          <w:tcPr>
            <w:tcW w:w="9140" w:type="dxa"/>
            <w:vAlign w:val="bottom"/>
          </w:tcPr>
          <w:p>
            <w:pPr>
              <w:ind w:left="200"/>
              <w:spacing w:after="0"/>
              <w:rPr>
                <w:sz w:val="20"/>
                <w:szCs w:val="20"/>
                <w:color w:val="auto"/>
              </w:rPr>
            </w:pPr>
            <w:r>
              <w:rPr>
                <w:rFonts w:ascii="Arial" w:cs="Arial" w:eastAsia="Arial" w:hAnsi="Arial"/>
                <w:sz w:val="20"/>
                <w:szCs w:val="20"/>
                <w:color w:val="auto"/>
              </w:rPr>
              <w:t>•   Board members should not sit on more than three other boards of public companies.</w:t>
            </w:r>
          </w:p>
        </w:tc>
        <w:tc>
          <w:tcPr>
            <w:tcW w:w="0" w:type="dxa"/>
            <w:vAlign w:val="bottom"/>
          </w:tcPr>
          <w:p>
            <w:pPr>
              <w:spacing w:after="0"/>
              <w:rPr>
                <w:sz w:val="1"/>
                <w:szCs w:val="1"/>
                <w:color w:val="auto"/>
              </w:rPr>
            </w:pPr>
          </w:p>
        </w:tc>
      </w:tr>
      <w:tr>
        <w:trPr>
          <w:trHeight w:val="257"/>
        </w:trPr>
        <w:tc>
          <w:tcPr>
            <w:tcW w:w="2100" w:type="dxa"/>
            <w:vAlign w:val="bottom"/>
          </w:tcPr>
          <w:p>
            <w:pPr>
              <w:spacing w:after="0"/>
              <w:rPr>
                <w:sz w:val="22"/>
                <w:szCs w:val="22"/>
                <w:color w:val="auto"/>
              </w:rPr>
            </w:pPr>
          </w:p>
        </w:tc>
        <w:tc>
          <w:tcPr>
            <w:tcW w:w="9140" w:type="dxa"/>
            <w:vAlign w:val="bottom"/>
          </w:tcPr>
          <w:p>
            <w:pPr>
              <w:ind w:left="200"/>
              <w:spacing w:after="0"/>
              <w:rPr>
                <w:sz w:val="20"/>
                <w:szCs w:val="20"/>
                <w:color w:val="auto"/>
              </w:rPr>
            </w:pPr>
            <w:r>
              <w:rPr>
                <w:rFonts w:ascii="Arial" w:cs="Arial" w:eastAsia="Arial" w:hAnsi="Arial"/>
                <w:sz w:val="20"/>
                <w:szCs w:val="20"/>
                <w:color w:val="auto"/>
              </w:rPr>
              <w:t>•   Directors may not stand for re-election after age 70, except in exceptional circumstances as</w:t>
            </w:r>
          </w:p>
        </w:tc>
        <w:tc>
          <w:tcPr>
            <w:tcW w:w="0" w:type="dxa"/>
            <w:vAlign w:val="bottom"/>
          </w:tcPr>
          <w:p>
            <w:pPr>
              <w:spacing w:after="0"/>
              <w:rPr>
                <w:sz w:val="1"/>
                <w:szCs w:val="1"/>
                <w:color w:val="auto"/>
              </w:rPr>
            </w:pPr>
          </w:p>
        </w:tc>
      </w:tr>
      <w:tr>
        <w:trPr>
          <w:trHeight w:val="243"/>
        </w:trPr>
        <w:tc>
          <w:tcPr>
            <w:tcW w:w="2100" w:type="dxa"/>
            <w:vAlign w:val="bottom"/>
          </w:tcPr>
          <w:p>
            <w:pPr>
              <w:spacing w:after="0"/>
              <w:rPr>
                <w:sz w:val="21"/>
                <w:szCs w:val="21"/>
                <w:color w:val="auto"/>
              </w:rPr>
            </w:pPr>
          </w:p>
        </w:tc>
        <w:tc>
          <w:tcPr>
            <w:tcW w:w="9140" w:type="dxa"/>
            <w:vAlign w:val="bottom"/>
          </w:tcPr>
          <w:p>
            <w:pPr>
              <w:ind w:left="520"/>
              <w:spacing w:after="0"/>
              <w:rPr>
                <w:sz w:val="20"/>
                <w:szCs w:val="20"/>
                <w:color w:val="auto"/>
              </w:rPr>
            </w:pPr>
            <w:r>
              <w:rPr>
                <w:rFonts w:ascii="Arial" w:cs="Arial" w:eastAsia="Arial" w:hAnsi="Arial"/>
                <w:sz w:val="20"/>
                <w:szCs w:val="20"/>
                <w:color w:val="auto"/>
              </w:rPr>
              <w:t>determined by the Board of Directors, and any director first elected after May 14, 2021, may not</w:t>
            </w:r>
          </w:p>
        </w:tc>
        <w:tc>
          <w:tcPr>
            <w:tcW w:w="0" w:type="dxa"/>
            <w:vAlign w:val="bottom"/>
          </w:tcPr>
          <w:p>
            <w:pPr>
              <w:spacing w:after="0"/>
              <w:rPr>
                <w:sz w:val="1"/>
                <w:szCs w:val="1"/>
                <w:color w:val="auto"/>
              </w:rPr>
            </w:pPr>
          </w:p>
        </w:tc>
      </w:tr>
      <w:tr>
        <w:trPr>
          <w:trHeight w:val="272"/>
        </w:trPr>
        <w:tc>
          <w:tcPr>
            <w:tcW w:w="2100" w:type="dxa"/>
            <w:vAlign w:val="bottom"/>
            <w:tcBorders>
              <w:bottom w:val="single" w:sz="8" w:color="DBDBDB"/>
            </w:tcBorders>
          </w:tcPr>
          <w:p>
            <w:pPr>
              <w:spacing w:after="0"/>
              <w:rPr>
                <w:sz w:val="23"/>
                <w:szCs w:val="23"/>
                <w:color w:val="auto"/>
              </w:rPr>
            </w:pPr>
          </w:p>
        </w:tc>
        <w:tc>
          <w:tcPr>
            <w:tcW w:w="9140" w:type="dxa"/>
            <w:vAlign w:val="bottom"/>
            <w:tcBorders>
              <w:bottom w:val="single" w:sz="8" w:color="DBDBDB"/>
            </w:tcBorders>
          </w:tcPr>
          <w:p>
            <w:pPr>
              <w:ind w:left="520"/>
              <w:spacing w:after="0"/>
              <w:rPr>
                <w:sz w:val="20"/>
                <w:szCs w:val="20"/>
                <w:color w:val="auto"/>
              </w:rPr>
            </w:pPr>
            <w:r>
              <w:rPr>
                <w:rFonts w:ascii="Arial" w:cs="Arial" w:eastAsia="Arial" w:hAnsi="Arial"/>
                <w:sz w:val="20"/>
                <w:szCs w:val="20"/>
                <w:color w:val="auto"/>
              </w:rPr>
              <w:t>stand for re-election after a total of 12 years of service.</w:t>
            </w:r>
          </w:p>
        </w:tc>
        <w:tc>
          <w:tcPr>
            <w:tcW w:w="0" w:type="dxa"/>
            <w:vAlign w:val="bottom"/>
          </w:tcPr>
          <w:p>
            <w:pPr>
              <w:spacing w:after="0"/>
              <w:rPr>
                <w:sz w:val="1"/>
                <w:szCs w:val="1"/>
                <w:color w:val="auto"/>
              </w:rPr>
            </w:pPr>
          </w:p>
        </w:tc>
      </w:tr>
      <w:tr>
        <w:trPr>
          <w:trHeight w:val="162"/>
        </w:trPr>
        <w:tc>
          <w:tcPr>
            <w:tcW w:w="2100" w:type="dxa"/>
            <w:vAlign w:val="bottom"/>
            <w:tcBorders>
              <w:bottom w:val="single" w:sz="8" w:color="005DA6"/>
            </w:tcBorders>
          </w:tcPr>
          <w:p>
            <w:pPr>
              <w:spacing w:after="0"/>
              <w:rPr>
                <w:sz w:val="14"/>
                <w:szCs w:val="14"/>
                <w:color w:val="auto"/>
              </w:rPr>
            </w:pPr>
          </w:p>
        </w:tc>
        <w:tc>
          <w:tcPr>
            <w:tcW w:w="9140" w:type="dxa"/>
            <w:vAlign w:val="bottom"/>
            <w:tcBorders>
              <w:bottom w:val="single" w:sz="8" w:color="005DA6"/>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3065145</wp:posOffset>
            </wp:positionH>
            <wp:positionV relativeFrom="paragraph">
              <wp:posOffset>0</wp:posOffset>
            </wp:positionV>
            <wp:extent cx="1508760" cy="3429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1508760" cy="342900"/>
                    </a:xfrm>
                    <a:prstGeom prst="rect">
                      <a:avLst/>
                    </a:prstGeom>
                    <a:noFill/>
                  </pic:spPr>
                </pic:pic>
              </a:graphicData>
            </a:graphic>
          </wp:anchor>
        </w:drawing>
      </w:r>
    </w:p>
    <w:p>
      <w:pPr>
        <w:spacing w:after="0" w:line="177" w:lineRule="exact"/>
        <w:rPr>
          <w:sz w:val="20"/>
          <w:szCs w:val="20"/>
          <w:color w:val="auto"/>
        </w:rPr>
      </w:pPr>
    </w:p>
    <w:p>
      <w:pPr>
        <w:ind w:left="20"/>
        <w:spacing w:after="0"/>
        <w:tabs>
          <w:tab w:leader="none" w:pos="440" w:val="left"/>
        </w:tabs>
        <w:rPr>
          <w:sz w:val="20"/>
          <w:szCs w:val="20"/>
          <w:color w:val="auto"/>
        </w:rPr>
      </w:pPr>
      <w:r>
        <w:rPr>
          <w:rFonts w:ascii="Arial" w:cs="Arial" w:eastAsia="Arial" w:hAnsi="Arial"/>
          <w:sz w:val="18"/>
          <w:szCs w:val="18"/>
          <w:color w:val="auto"/>
        </w:rPr>
        <w:t>14</w:t>
        <w:tab/>
        <w:t>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262255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7" w:right="339" w:bottom="1440" w:gutter="0" w:footer="0" w:header="0"/>
        </w:sectPr>
      </w:pPr>
    </w:p>
    <w:bookmarkStart w:id="17" w:name="page18"/>
    <w:bookmarkEnd w:id="17"/>
    <w:tbl>
      <w:tblPr>
        <w:tblLayout w:type="fixed"/>
        <w:tblInd w:w="0" w:type="dxa"/>
        <w:tblCellMar>
          <w:top w:w="0" w:type="dxa"/>
          <w:left w:w="0" w:type="dxa"/>
          <w:bottom w:w="0" w:type="dxa"/>
          <w:right w:w="0" w:type="dxa"/>
        </w:tblCellMar>
      </w:tblPr>
      <w:tr>
        <w:trPr>
          <w:trHeight w:val="243"/>
        </w:trPr>
        <w:tc>
          <w:tcPr>
            <w:tcW w:w="2060" w:type="dxa"/>
            <w:vAlign w:val="bottom"/>
          </w:tcPr>
          <w:p>
            <w:pPr>
              <w:spacing w:after="0"/>
              <w:rPr>
                <w:sz w:val="21"/>
                <w:szCs w:val="21"/>
                <w:color w:val="auto"/>
              </w:rPr>
            </w:pPr>
          </w:p>
        </w:tc>
        <w:tc>
          <w:tcPr>
            <w:tcW w:w="9180" w:type="dxa"/>
            <w:vAlign w:val="bottom"/>
          </w:tcPr>
          <w:p>
            <w:pPr>
              <w:jc w:val="right"/>
              <w:spacing w:after="0"/>
              <w:rPr>
                <w:sz w:val="20"/>
                <w:szCs w:val="20"/>
                <w:color w:val="auto"/>
              </w:rPr>
            </w:pPr>
            <w:r>
              <w:rPr>
                <w:rFonts w:ascii="Arial" w:cs="Arial" w:eastAsia="Arial" w:hAnsi="Arial"/>
                <w:sz w:val="20"/>
                <w:szCs w:val="20"/>
                <w:color w:val="auto"/>
              </w:rPr>
              <w:t>•   Directors, executive officers, and any other Section 16 officers of the Company should own</w:t>
            </w:r>
          </w:p>
        </w:tc>
        <w:tc>
          <w:tcPr>
            <w:tcW w:w="0" w:type="dxa"/>
            <w:vAlign w:val="bottom"/>
          </w:tcPr>
          <w:p>
            <w:pPr>
              <w:spacing w:after="0"/>
              <w:rPr>
                <w:sz w:val="1"/>
                <w:szCs w:val="1"/>
                <w:color w:val="auto"/>
              </w:rPr>
            </w:pPr>
          </w:p>
        </w:tc>
      </w:tr>
      <w:tr>
        <w:trPr>
          <w:trHeight w:val="256"/>
        </w:trPr>
        <w:tc>
          <w:tcPr>
            <w:tcW w:w="2060" w:type="dxa"/>
            <w:vAlign w:val="bottom"/>
          </w:tcPr>
          <w:p>
            <w:pPr>
              <w:spacing w:after="0"/>
              <w:rPr>
                <w:sz w:val="22"/>
                <w:szCs w:val="22"/>
                <w:color w:val="auto"/>
              </w:rPr>
            </w:pPr>
          </w:p>
        </w:tc>
        <w:tc>
          <w:tcPr>
            <w:tcW w:w="9180" w:type="dxa"/>
            <w:vAlign w:val="bottom"/>
          </w:tcPr>
          <w:p>
            <w:pPr>
              <w:jc w:val="right"/>
              <w:spacing w:after="0"/>
              <w:rPr>
                <w:sz w:val="20"/>
                <w:szCs w:val="20"/>
                <w:color w:val="auto"/>
              </w:rPr>
            </w:pPr>
            <w:r>
              <w:rPr>
                <w:rFonts w:ascii="Arial" w:cs="Arial" w:eastAsia="Arial" w:hAnsi="Arial"/>
                <w:sz w:val="20"/>
                <w:szCs w:val="20"/>
                <w:color w:val="auto"/>
              </w:rPr>
              <w:t>minimum amounts of Company stock in relation to their base compensation and should retain and</w:t>
            </w:r>
          </w:p>
        </w:tc>
        <w:tc>
          <w:tcPr>
            <w:tcW w:w="0" w:type="dxa"/>
            <w:vAlign w:val="bottom"/>
          </w:tcPr>
          <w:p>
            <w:pPr>
              <w:spacing w:after="0"/>
              <w:rPr>
                <w:sz w:val="1"/>
                <w:szCs w:val="1"/>
                <w:color w:val="auto"/>
              </w:rPr>
            </w:pPr>
          </w:p>
        </w:tc>
      </w:tr>
      <w:tr>
        <w:trPr>
          <w:trHeight w:val="241"/>
        </w:trPr>
        <w:tc>
          <w:tcPr>
            <w:tcW w:w="2060" w:type="dxa"/>
            <w:vAlign w:val="bottom"/>
          </w:tcPr>
          <w:p>
            <w:pPr>
              <w:jc w:val="center"/>
              <w:ind w:right="1"/>
              <w:spacing w:after="0"/>
              <w:rPr>
                <w:sz w:val="20"/>
                <w:szCs w:val="20"/>
                <w:color w:val="auto"/>
              </w:rPr>
            </w:pPr>
            <w:r>
              <w:rPr>
                <w:rFonts w:ascii="Arial" w:cs="Arial" w:eastAsia="Arial" w:hAnsi="Arial"/>
                <w:sz w:val="20"/>
                <w:szCs w:val="20"/>
                <w:b w:val="1"/>
                <w:bCs w:val="1"/>
                <w:color w:val="auto"/>
                <w:w w:val="95"/>
              </w:rPr>
              <w:t>Stock</w:t>
            </w:r>
          </w:p>
        </w:tc>
        <w:tc>
          <w:tcPr>
            <w:tcW w:w="9180" w:type="dxa"/>
            <w:vAlign w:val="bottom"/>
          </w:tcPr>
          <w:p>
            <w:pPr>
              <w:ind w:left="560"/>
              <w:spacing w:after="0"/>
              <w:rPr>
                <w:sz w:val="20"/>
                <w:szCs w:val="20"/>
                <w:color w:val="auto"/>
              </w:rPr>
            </w:pPr>
            <w:r>
              <w:rPr>
                <w:rFonts w:ascii="Arial" w:cs="Arial" w:eastAsia="Arial" w:hAnsi="Arial"/>
                <w:sz w:val="20"/>
                <w:szCs w:val="20"/>
                <w:color w:val="auto"/>
              </w:rPr>
              <w:t>hold 75% of all shares granted, net of taxes, until the ownership requirements are met.</w:t>
            </w:r>
          </w:p>
        </w:tc>
        <w:tc>
          <w:tcPr>
            <w:tcW w:w="0" w:type="dxa"/>
            <w:vAlign w:val="bottom"/>
          </w:tcPr>
          <w:p>
            <w:pPr>
              <w:spacing w:after="0"/>
              <w:rPr>
                <w:sz w:val="1"/>
                <w:szCs w:val="1"/>
                <w:color w:val="auto"/>
              </w:rPr>
            </w:pPr>
          </w:p>
        </w:tc>
      </w:tr>
      <w:tr>
        <w:trPr>
          <w:trHeight w:val="199"/>
        </w:trPr>
        <w:tc>
          <w:tcPr>
            <w:tcW w:w="2060" w:type="dxa"/>
            <w:vAlign w:val="bottom"/>
          </w:tcPr>
          <w:p>
            <w:pPr>
              <w:jc w:val="center"/>
              <w:ind w:right="1"/>
              <w:spacing w:after="0" w:line="199" w:lineRule="exact"/>
              <w:rPr>
                <w:sz w:val="20"/>
                <w:szCs w:val="20"/>
                <w:color w:val="auto"/>
              </w:rPr>
            </w:pPr>
            <w:r>
              <w:rPr>
                <w:rFonts w:ascii="Arial" w:cs="Arial" w:eastAsia="Arial" w:hAnsi="Arial"/>
                <w:sz w:val="20"/>
                <w:szCs w:val="20"/>
                <w:b w:val="1"/>
                <w:bCs w:val="1"/>
                <w:color w:val="auto"/>
                <w:w w:val="98"/>
              </w:rPr>
              <w:t>Requirements and</w:t>
            </w:r>
          </w:p>
        </w:tc>
        <w:tc>
          <w:tcPr>
            <w:tcW w:w="9180" w:type="dxa"/>
            <w:vAlign w:val="bottom"/>
          </w:tcPr>
          <w:p>
            <w:pPr>
              <w:jc w:val="right"/>
              <w:spacing w:after="0" w:line="199" w:lineRule="exact"/>
              <w:rPr>
                <w:sz w:val="20"/>
                <w:szCs w:val="20"/>
                <w:color w:val="auto"/>
              </w:rPr>
            </w:pPr>
            <w:r>
              <w:rPr>
                <w:rFonts w:ascii="Arial" w:cs="Arial" w:eastAsia="Arial" w:hAnsi="Arial"/>
                <w:sz w:val="20"/>
                <w:szCs w:val="20"/>
                <w:color w:val="auto"/>
              </w:rPr>
              <w:t>•   All directors, executives, and employees are prohibited from engaging in hedging transactions,</w:t>
            </w:r>
          </w:p>
        </w:tc>
        <w:tc>
          <w:tcPr>
            <w:tcW w:w="0" w:type="dxa"/>
            <w:vAlign w:val="bottom"/>
          </w:tcPr>
          <w:p>
            <w:pPr>
              <w:spacing w:after="0"/>
              <w:rPr>
                <w:sz w:val="1"/>
                <w:szCs w:val="1"/>
                <w:color w:val="auto"/>
              </w:rPr>
            </w:pPr>
          </w:p>
        </w:tc>
      </w:tr>
      <w:tr>
        <w:trPr>
          <w:trHeight w:val="302"/>
        </w:trPr>
        <w:tc>
          <w:tcPr>
            <w:tcW w:w="2060" w:type="dxa"/>
            <w:vAlign w:val="bottom"/>
          </w:tcPr>
          <w:p>
            <w:pPr>
              <w:jc w:val="center"/>
              <w:ind w:right="1"/>
              <w:spacing w:after="0"/>
              <w:rPr>
                <w:sz w:val="20"/>
                <w:szCs w:val="20"/>
                <w:color w:val="auto"/>
              </w:rPr>
            </w:pPr>
            <w:r>
              <w:rPr>
                <w:rFonts w:ascii="Arial" w:cs="Arial" w:eastAsia="Arial" w:hAnsi="Arial"/>
                <w:sz w:val="20"/>
                <w:szCs w:val="20"/>
                <w:b w:val="1"/>
                <w:bCs w:val="1"/>
                <w:color w:val="auto"/>
              </w:rPr>
              <w:t>Restrictions</w:t>
            </w:r>
          </w:p>
        </w:tc>
        <w:tc>
          <w:tcPr>
            <w:tcW w:w="9180" w:type="dxa"/>
            <w:vAlign w:val="bottom"/>
          </w:tcPr>
          <w:p>
            <w:pPr>
              <w:ind w:left="560"/>
              <w:spacing w:after="0"/>
              <w:rPr>
                <w:sz w:val="20"/>
                <w:szCs w:val="20"/>
                <w:color w:val="auto"/>
              </w:rPr>
            </w:pPr>
            <w:r>
              <w:rPr>
                <w:rFonts w:ascii="Arial" w:cs="Arial" w:eastAsia="Arial" w:hAnsi="Arial"/>
                <w:sz w:val="20"/>
                <w:szCs w:val="20"/>
                <w:color w:val="auto"/>
              </w:rPr>
              <w:t>short sales, pledges, and trading in any publicly traded options involving the Company’s stock.</w:t>
            </w:r>
          </w:p>
        </w:tc>
        <w:tc>
          <w:tcPr>
            <w:tcW w:w="0" w:type="dxa"/>
            <w:vAlign w:val="bottom"/>
          </w:tcPr>
          <w:p>
            <w:pPr>
              <w:spacing w:after="0"/>
              <w:rPr>
                <w:sz w:val="1"/>
                <w:szCs w:val="1"/>
                <w:color w:val="auto"/>
              </w:rPr>
            </w:pPr>
          </w:p>
        </w:tc>
      </w:tr>
      <w:tr>
        <w:trPr>
          <w:trHeight w:val="243"/>
        </w:trPr>
        <w:tc>
          <w:tcPr>
            <w:tcW w:w="2060" w:type="dxa"/>
            <w:vAlign w:val="bottom"/>
          </w:tcPr>
          <w:p>
            <w:pPr>
              <w:spacing w:after="0"/>
              <w:rPr>
                <w:sz w:val="21"/>
                <w:szCs w:val="21"/>
                <w:color w:val="auto"/>
              </w:rPr>
            </w:pPr>
          </w:p>
        </w:tc>
        <w:tc>
          <w:tcPr>
            <w:tcW w:w="9180" w:type="dxa"/>
            <w:vAlign w:val="bottom"/>
          </w:tcPr>
          <w:p>
            <w:pPr>
              <w:jc w:val="right"/>
              <w:spacing w:after="0"/>
              <w:rPr>
                <w:sz w:val="20"/>
                <w:szCs w:val="20"/>
                <w:color w:val="auto"/>
              </w:rPr>
            </w:pPr>
            <w:r>
              <w:rPr>
                <w:rFonts w:ascii="Arial" w:cs="Arial" w:eastAsia="Arial" w:hAnsi="Arial"/>
                <w:sz w:val="20"/>
                <w:szCs w:val="20"/>
                <w:color w:val="auto"/>
              </w:rPr>
              <w:t>•   Executives are subject to a recoupment policy providing for clawback of incentive compensation in</w:t>
            </w:r>
          </w:p>
        </w:tc>
        <w:tc>
          <w:tcPr>
            <w:tcW w:w="0" w:type="dxa"/>
            <w:vAlign w:val="bottom"/>
          </w:tcPr>
          <w:p>
            <w:pPr>
              <w:spacing w:after="0"/>
              <w:rPr>
                <w:sz w:val="1"/>
                <w:szCs w:val="1"/>
                <w:color w:val="auto"/>
              </w:rPr>
            </w:pPr>
          </w:p>
        </w:tc>
      </w:tr>
      <w:tr>
        <w:trPr>
          <w:trHeight w:val="272"/>
        </w:trPr>
        <w:tc>
          <w:tcPr>
            <w:tcW w:w="2060" w:type="dxa"/>
            <w:vAlign w:val="bottom"/>
            <w:tcBorders>
              <w:bottom w:val="single" w:sz="8" w:color="DBDBDB"/>
            </w:tcBorders>
          </w:tcPr>
          <w:p>
            <w:pPr>
              <w:spacing w:after="0"/>
              <w:rPr>
                <w:sz w:val="23"/>
                <w:szCs w:val="23"/>
                <w:color w:val="auto"/>
              </w:rPr>
            </w:pPr>
          </w:p>
        </w:tc>
        <w:tc>
          <w:tcPr>
            <w:tcW w:w="9180" w:type="dxa"/>
            <w:vAlign w:val="bottom"/>
            <w:tcBorders>
              <w:bottom w:val="single" w:sz="8" w:color="DBDBDB"/>
            </w:tcBorders>
          </w:tcPr>
          <w:p>
            <w:pPr>
              <w:ind w:left="560"/>
              <w:spacing w:after="0"/>
              <w:rPr>
                <w:sz w:val="20"/>
                <w:szCs w:val="20"/>
                <w:color w:val="auto"/>
              </w:rPr>
            </w:pPr>
            <w:r>
              <w:rPr>
                <w:rFonts w:ascii="Arial" w:cs="Arial" w:eastAsia="Arial" w:hAnsi="Arial"/>
                <w:sz w:val="20"/>
                <w:szCs w:val="20"/>
                <w:color w:val="auto"/>
              </w:rPr>
              <w:t>the event of a restatement of financial statements.</w:t>
            </w:r>
          </w:p>
        </w:tc>
        <w:tc>
          <w:tcPr>
            <w:tcW w:w="0" w:type="dxa"/>
            <w:vAlign w:val="bottom"/>
          </w:tcPr>
          <w:p>
            <w:pPr>
              <w:spacing w:after="0"/>
              <w:rPr>
                <w:sz w:val="1"/>
                <w:szCs w:val="1"/>
                <w:color w:val="auto"/>
              </w:rPr>
            </w:pPr>
          </w:p>
        </w:tc>
      </w:tr>
      <w:tr>
        <w:trPr>
          <w:trHeight w:val="262"/>
        </w:trPr>
        <w:tc>
          <w:tcPr>
            <w:tcW w:w="2060" w:type="dxa"/>
            <w:vAlign w:val="bottom"/>
          </w:tcPr>
          <w:p>
            <w:pPr>
              <w:spacing w:after="0"/>
              <w:rPr>
                <w:sz w:val="22"/>
                <w:szCs w:val="22"/>
                <w:color w:val="auto"/>
              </w:rPr>
            </w:pPr>
          </w:p>
        </w:tc>
        <w:tc>
          <w:tcPr>
            <w:tcW w:w="9180" w:type="dxa"/>
            <w:vAlign w:val="bottom"/>
          </w:tcPr>
          <w:p>
            <w:pPr>
              <w:jc w:val="right"/>
              <w:spacing w:after="0"/>
              <w:rPr>
                <w:sz w:val="20"/>
                <w:szCs w:val="20"/>
                <w:color w:val="auto"/>
              </w:rPr>
            </w:pPr>
            <w:r>
              <w:rPr>
                <w:rFonts w:ascii="Arial" w:cs="Arial" w:eastAsia="Arial" w:hAnsi="Arial"/>
                <w:sz w:val="20"/>
                <w:szCs w:val="20"/>
                <w:color w:val="auto"/>
              </w:rPr>
              <w:t>•   The Board should conduct an annual self-evaluation to determine whether it and its committees</w:t>
            </w:r>
          </w:p>
        </w:tc>
        <w:tc>
          <w:tcPr>
            <w:tcW w:w="0" w:type="dxa"/>
            <w:vAlign w:val="bottom"/>
          </w:tcPr>
          <w:p>
            <w:pPr>
              <w:spacing w:after="0"/>
              <w:rPr>
                <w:sz w:val="1"/>
                <w:szCs w:val="1"/>
                <w:color w:val="auto"/>
              </w:rPr>
            </w:pPr>
          </w:p>
        </w:tc>
      </w:tr>
      <w:tr>
        <w:trPr>
          <w:trHeight w:val="257"/>
        </w:trPr>
        <w:tc>
          <w:tcPr>
            <w:tcW w:w="2060" w:type="dxa"/>
            <w:vAlign w:val="bottom"/>
          </w:tcPr>
          <w:p>
            <w:pPr>
              <w:spacing w:after="0"/>
              <w:rPr>
                <w:sz w:val="22"/>
                <w:szCs w:val="22"/>
                <w:color w:val="auto"/>
              </w:rPr>
            </w:pPr>
          </w:p>
        </w:tc>
        <w:tc>
          <w:tcPr>
            <w:tcW w:w="9180" w:type="dxa"/>
            <w:vAlign w:val="bottom"/>
          </w:tcPr>
          <w:p>
            <w:pPr>
              <w:ind w:left="560"/>
              <w:spacing w:after="0"/>
              <w:rPr>
                <w:sz w:val="20"/>
                <w:szCs w:val="20"/>
                <w:color w:val="auto"/>
              </w:rPr>
            </w:pPr>
            <w:r>
              <w:rPr>
                <w:rFonts w:ascii="Arial" w:cs="Arial" w:eastAsia="Arial" w:hAnsi="Arial"/>
                <w:sz w:val="20"/>
                <w:szCs w:val="20"/>
                <w:color w:val="auto"/>
              </w:rPr>
              <w:t>are functioning properly and an annual performance evaluation for each individual director.</w:t>
            </w:r>
          </w:p>
        </w:tc>
        <w:tc>
          <w:tcPr>
            <w:tcW w:w="0" w:type="dxa"/>
            <w:vAlign w:val="bottom"/>
          </w:tcPr>
          <w:p>
            <w:pPr>
              <w:spacing w:after="0"/>
              <w:rPr>
                <w:sz w:val="1"/>
                <w:szCs w:val="1"/>
                <w:color w:val="auto"/>
              </w:rPr>
            </w:pPr>
          </w:p>
        </w:tc>
      </w:tr>
      <w:tr>
        <w:trPr>
          <w:trHeight w:val="243"/>
        </w:trPr>
        <w:tc>
          <w:tcPr>
            <w:tcW w:w="2060" w:type="dxa"/>
            <w:vAlign w:val="bottom"/>
          </w:tcPr>
          <w:p>
            <w:pPr>
              <w:spacing w:after="0"/>
              <w:rPr>
                <w:sz w:val="21"/>
                <w:szCs w:val="21"/>
                <w:color w:val="auto"/>
              </w:rPr>
            </w:pPr>
          </w:p>
        </w:tc>
        <w:tc>
          <w:tcPr>
            <w:tcW w:w="9180" w:type="dxa"/>
            <w:vAlign w:val="bottom"/>
          </w:tcPr>
          <w:p>
            <w:pPr>
              <w:jc w:val="right"/>
              <w:spacing w:after="0"/>
              <w:rPr>
                <w:sz w:val="20"/>
                <w:szCs w:val="20"/>
                <w:color w:val="auto"/>
              </w:rPr>
            </w:pPr>
            <w:r>
              <w:rPr>
                <w:rFonts w:ascii="Arial" w:cs="Arial" w:eastAsia="Arial" w:hAnsi="Arial"/>
                <w:sz w:val="20"/>
                <w:szCs w:val="20"/>
                <w:color w:val="auto"/>
              </w:rPr>
              <w:t>•   The Chief Executive Officer shall provide an annual report to the Governance Committee on</w:t>
            </w:r>
          </w:p>
        </w:tc>
        <w:tc>
          <w:tcPr>
            <w:tcW w:w="0" w:type="dxa"/>
            <w:vAlign w:val="bottom"/>
          </w:tcPr>
          <w:p>
            <w:pPr>
              <w:spacing w:after="0"/>
              <w:rPr>
                <w:sz w:val="1"/>
                <w:szCs w:val="1"/>
                <w:color w:val="auto"/>
              </w:rPr>
            </w:pPr>
          </w:p>
        </w:tc>
      </w:tr>
      <w:tr>
        <w:trPr>
          <w:trHeight w:val="243"/>
        </w:trPr>
        <w:tc>
          <w:tcPr>
            <w:tcW w:w="2060" w:type="dxa"/>
            <w:vAlign w:val="bottom"/>
            <w:vMerge w:val="restart"/>
          </w:tcPr>
          <w:p>
            <w:pPr>
              <w:jc w:val="center"/>
              <w:ind w:right="1"/>
              <w:spacing w:after="0"/>
              <w:rPr>
                <w:sz w:val="20"/>
                <w:szCs w:val="20"/>
                <w:color w:val="auto"/>
              </w:rPr>
            </w:pPr>
            <w:r>
              <w:rPr>
                <w:rFonts w:ascii="Arial" w:cs="Arial" w:eastAsia="Arial" w:hAnsi="Arial"/>
                <w:sz w:val="20"/>
                <w:szCs w:val="20"/>
                <w:b w:val="1"/>
                <w:bCs w:val="1"/>
                <w:color w:val="auto"/>
                <w:w w:val="99"/>
              </w:rPr>
              <w:t>Board Operations</w:t>
            </w:r>
          </w:p>
        </w:tc>
        <w:tc>
          <w:tcPr>
            <w:tcW w:w="9180" w:type="dxa"/>
            <w:vAlign w:val="bottom"/>
          </w:tcPr>
          <w:p>
            <w:pPr>
              <w:ind w:left="560"/>
              <w:spacing w:after="0"/>
              <w:rPr>
                <w:sz w:val="20"/>
                <w:szCs w:val="20"/>
                <w:color w:val="auto"/>
              </w:rPr>
            </w:pPr>
            <w:r>
              <w:rPr>
                <w:rFonts w:ascii="Arial" w:cs="Arial" w:eastAsia="Arial" w:hAnsi="Arial"/>
                <w:sz w:val="20"/>
                <w:szCs w:val="20"/>
                <w:color w:val="auto"/>
              </w:rPr>
              <w:t>succession planning.</w:t>
            </w:r>
          </w:p>
        </w:tc>
        <w:tc>
          <w:tcPr>
            <w:tcW w:w="0" w:type="dxa"/>
            <w:vAlign w:val="bottom"/>
          </w:tcPr>
          <w:p>
            <w:pPr>
              <w:spacing w:after="0"/>
              <w:rPr>
                <w:sz w:val="1"/>
                <w:szCs w:val="1"/>
                <w:color w:val="auto"/>
              </w:rPr>
            </w:pPr>
          </w:p>
        </w:tc>
      </w:tr>
      <w:tr>
        <w:trPr>
          <w:trHeight w:val="150"/>
        </w:trPr>
        <w:tc>
          <w:tcPr>
            <w:tcW w:w="2060" w:type="dxa"/>
            <w:vAlign w:val="bottom"/>
            <w:vMerge w:val="continue"/>
          </w:tcPr>
          <w:p>
            <w:pPr>
              <w:spacing w:after="0"/>
              <w:rPr>
                <w:sz w:val="13"/>
                <w:szCs w:val="13"/>
                <w:color w:val="auto"/>
              </w:rPr>
            </w:pPr>
          </w:p>
        </w:tc>
        <w:tc>
          <w:tcPr>
            <w:tcW w:w="9180" w:type="dxa"/>
            <w:vAlign w:val="bottom"/>
            <w:vMerge w:val="restart"/>
          </w:tcPr>
          <w:p>
            <w:pPr>
              <w:jc w:val="right"/>
              <w:ind w:right="461"/>
              <w:spacing w:after="0"/>
              <w:rPr>
                <w:sz w:val="20"/>
                <w:szCs w:val="20"/>
                <w:color w:val="auto"/>
              </w:rPr>
            </w:pPr>
            <w:r>
              <w:rPr>
                <w:rFonts w:ascii="Arial" w:cs="Arial" w:eastAsia="Arial" w:hAnsi="Arial"/>
                <w:sz w:val="20"/>
                <w:szCs w:val="20"/>
                <w:color w:val="auto"/>
              </w:rPr>
              <w:t>•   The Board and its committees shall have the right at any time to retain independent counsel.</w:t>
            </w:r>
          </w:p>
        </w:tc>
        <w:tc>
          <w:tcPr>
            <w:tcW w:w="0" w:type="dxa"/>
            <w:vAlign w:val="bottom"/>
          </w:tcPr>
          <w:p>
            <w:pPr>
              <w:spacing w:after="0"/>
              <w:rPr>
                <w:sz w:val="1"/>
                <w:szCs w:val="1"/>
                <w:color w:val="auto"/>
              </w:rPr>
            </w:pPr>
          </w:p>
        </w:tc>
      </w:tr>
      <w:tr>
        <w:trPr>
          <w:trHeight w:val="107"/>
        </w:trPr>
        <w:tc>
          <w:tcPr>
            <w:tcW w:w="2060" w:type="dxa"/>
            <w:vAlign w:val="bottom"/>
          </w:tcPr>
          <w:p>
            <w:pPr>
              <w:spacing w:after="0"/>
              <w:rPr>
                <w:sz w:val="9"/>
                <w:szCs w:val="9"/>
                <w:color w:val="auto"/>
              </w:rPr>
            </w:pPr>
          </w:p>
        </w:tc>
        <w:tc>
          <w:tcPr>
            <w:tcW w:w="91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43"/>
        </w:trPr>
        <w:tc>
          <w:tcPr>
            <w:tcW w:w="2060" w:type="dxa"/>
            <w:vAlign w:val="bottom"/>
          </w:tcPr>
          <w:p>
            <w:pPr>
              <w:spacing w:after="0"/>
              <w:rPr>
                <w:sz w:val="21"/>
                <w:szCs w:val="21"/>
                <w:color w:val="auto"/>
              </w:rPr>
            </w:pPr>
          </w:p>
        </w:tc>
        <w:tc>
          <w:tcPr>
            <w:tcW w:w="9180" w:type="dxa"/>
            <w:vAlign w:val="bottom"/>
          </w:tcPr>
          <w:p>
            <w:pPr>
              <w:jc w:val="right"/>
              <w:spacing w:after="0"/>
              <w:rPr>
                <w:sz w:val="20"/>
                <w:szCs w:val="20"/>
                <w:color w:val="auto"/>
              </w:rPr>
            </w:pPr>
            <w:r>
              <w:rPr>
                <w:rFonts w:ascii="Arial" w:cs="Arial" w:eastAsia="Arial" w:hAnsi="Arial"/>
                <w:sz w:val="20"/>
                <w:szCs w:val="20"/>
                <w:color w:val="auto"/>
              </w:rPr>
              <w:t>•   When the Chair is a member of management, the independent directors shall appoint a Lead</w:t>
            </w:r>
          </w:p>
        </w:tc>
        <w:tc>
          <w:tcPr>
            <w:tcW w:w="0" w:type="dxa"/>
            <w:vAlign w:val="bottom"/>
          </w:tcPr>
          <w:p>
            <w:pPr>
              <w:spacing w:after="0"/>
              <w:rPr>
                <w:sz w:val="1"/>
                <w:szCs w:val="1"/>
                <w:color w:val="auto"/>
              </w:rPr>
            </w:pPr>
          </w:p>
        </w:tc>
      </w:tr>
      <w:tr>
        <w:trPr>
          <w:trHeight w:val="243"/>
        </w:trPr>
        <w:tc>
          <w:tcPr>
            <w:tcW w:w="2060" w:type="dxa"/>
            <w:vAlign w:val="bottom"/>
          </w:tcPr>
          <w:p>
            <w:pPr>
              <w:spacing w:after="0"/>
              <w:rPr>
                <w:sz w:val="21"/>
                <w:szCs w:val="21"/>
                <w:color w:val="auto"/>
              </w:rPr>
            </w:pPr>
          </w:p>
        </w:tc>
        <w:tc>
          <w:tcPr>
            <w:tcW w:w="9180" w:type="dxa"/>
            <w:vAlign w:val="bottom"/>
          </w:tcPr>
          <w:p>
            <w:pPr>
              <w:jc w:val="right"/>
              <w:spacing w:after="0"/>
              <w:rPr>
                <w:sz w:val="20"/>
                <w:szCs w:val="20"/>
                <w:color w:val="auto"/>
              </w:rPr>
            </w:pPr>
            <w:r>
              <w:rPr>
                <w:rFonts w:ascii="Arial" w:cs="Arial" w:eastAsia="Arial" w:hAnsi="Arial"/>
                <w:sz w:val="20"/>
                <w:szCs w:val="20"/>
                <w:color w:val="auto"/>
              </w:rPr>
              <w:t>Director to coordinate activities of the independent directors, help set the agenda and schedule for</w:t>
            </w:r>
          </w:p>
        </w:tc>
        <w:tc>
          <w:tcPr>
            <w:tcW w:w="0" w:type="dxa"/>
            <w:vAlign w:val="bottom"/>
          </w:tcPr>
          <w:p>
            <w:pPr>
              <w:spacing w:after="0"/>
              <w:rPr>
                <w:sz w:val="1"/>
                <w:szCs w:val="1"/>
                <w:color w:val="auto"/>
              </w:rPr>
            </w:pPr>
          </w:p>
        </w:tc>
      </w:tr>
      <w:tr>
        <w:trPr>
          <w:trHeight w:val="261"/>
        </w:trPr>
        <w:tc>
          <w:tcPr>
            <w:tcW w:w="2060" w:type="dxa"/>
            <w:vAlign w:val="bottom"/>
          </w:tcPr>
          <w:p>
            <w:pPr>
              <w:spacing w:after="0"/>
              <w:rPr>
                <w:sz w:val="22"/>
                <w:szCs w:val="22"/>
                <w:color w:val="auto"/>
              </w:rPr>
            </w:pPr>
          </w:p>
        </w:tc>
        <w:tc>
          <w:tcPr>
            <w:tcW w:w="9180" w:type="dxa"/>
            <w:vAlign w:val="bottom"/>
          </w:tcPr>
          <w:p>
            <w:pPr>
              <w:ind w:left="560"/>
              <w:spacing w:after="0"/>
              <w:rPr>
                <w:sz w:val="20"/>
                <w:szCs w:val="20"/>
                <w:color w:val="auto"/>
              </w:rPr>
            </w:pPr>
            <w:r>
              <w:rPr>
                <w:rFonts w:ascii="Arial" w:cs="Arial" w:eastAsia="Arial" w:hAnsi="Arial"/>
                <w:sz w:val="20"/>
                <w:szCs w:val="20"/>
                <w:color w:val="auto"/>
              </w:rPr>
              <w:t>Board meetings, and chair Board and stockholder meetings in the absence of the Chair.</w:t>
            </w:r>
          </w:p>
        </w:tc>
        <w:tc>
          <w:tcPr>
            <w:tcW w:w="0" w:type="dxa"/>
            <w:vAlign w:val="bottom"/>
          </w:tcPr>
          <w:p>
            <w:pPr>
              <w:spacing w:after="0"/>
              <w:rPr>
                <w:sz w:val="1"/>
                <w:szCs w:val="1"/>
                <w:color w:val="auto"/>
              </w:rPr>
            </w:pPr>
          </w:p>
        </w:tc>
      </w:tr>
      <w:tr>
        <w:trPr>
          <w:trHeight w:val="30"/>
        </w:trPr>
        <w:tc>
          <w:tcPr>
            <w:tcW w:w="2060" w:type="dxa"/>
            <w:vAlign w:val="bottom"/>
            <w:tcBorders>
              <w:bottom w:val="single" w:sz="8" w:color="DBDBDB"/>
            </w:tcBorders>
          </w:tcPr>
          <w:p>
            <w:pPr>
              <w:spacing w:after="0"/>
              <w:rPr>
                <w:sz w:val="2"/>
                <w:szCs w:val="2"/>
                <w:color w:val="auto"/>
              </w:rPr>
            </w:pPr>
          </w:p>
        </w:tc>
        <w:tc>
          <w:tcPr>
            <w:tcW w:w="9180" w:type="dxa"/>
            <w:vAlign w:val="bottom"/>
            <w:tcBorders>
              <w:bottom w:val="single" w:sz="8" w:color="DBDBDB"/>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32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594995</wp:posOffset>
            </wp:positionV>
            <wp:extent cx="713232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rPr>
          <w:sz w:val="20"/>
          <w:szCs w:val="20"/>
          <w:color w:val="auto"/>
        </w:rPr>
      </w:pPr>
      <w:r>
        <w:rPr>
          <w:rFonts w:ascii="Arial" w:cs="Arial" w:eastAsia="Arial" w:hAnsi="Arial"/>
          <w:sz w:val="20"/>
          <w:szCs w:val="20"/>
          <w:b w:val="1"/>
          <w:bCs w:val="1"/>
          <w:color w:val="auto"/>
        </w:rPr>
        <w:t>Stockholder Recommended Director Candidates</w:t>
      </w:r>
    </w:p>
    <w:p>
      <w:pPr>
        <w:spacing w:after="0" w:line="258" w:lineRule="exact"/>
        <w:rPr>
          <w:sz w:val="20"/>
          <w:szCs w:val="20"/>
          <w:color w:val="auto"/>
        </w:rPr>
      </w:pPr>
    </w:p>
    <w:p>
      <w:pPr>
        <w:jc w:val="both"/>
        <w:spacing w:after="0" w:line="276" w:lineRule="auto"/>
        <w:rPr>
          <w:sz w:val="20"/>
          <w:szCs w:val="20"/>
          <w:color w:val="auto"/>
        </w:rPr>
      </w:pPr>
      <w:r>
        <w:rPr>
          <w:rFonts w:ascii="Arial" w:cs="Arial" w:eastAsia="Arial" w:hAnsi="Arial"/>
          <w:sz w:val="20"/>
          <w:szCs w:val="20"/>
          <w:color w:val="auto"/>
        </w:rPr>
        <w:t>The Board has also adopted a Nomination Policy with respect to the consideration of director candidates recommended by stockholders. A candidate submission from a stockholder will be considered at any time if the following information is submitted to the Secretary of the Company (the following description is qualified in its entirety by the Nomination Policy):</w:t>
      </w:r>
    </w:p>
    <w:p>
      <w:pPr>
        <w:spacing w:after="0" w:line="192" w:lineRule="exact"/>
        <w:rPr>
          <w:sz w:val="20"/>
          <w:szCs w:val="20"/>
          <w:color w:val="auto"/>
        </w:rPr>
      </w:pPr>
    </w:p>
    <w:p>
      <w:pPr>
        <w:ind w:left="660" w:hanging="328"/>
        <w:spacing w:after="0" w:line="263" w:lineRule="auto"/>
        <w:tabs>
          <w:tab w:leader="none" w:pos="648" w:val="left"/>
        </w:tabs>
        <w:numPr>
          <w:ilvl w:val="0"/>
          <w:numId w:val="6"/>
        </w:numPr>
        <w:rPr>
          <w:rFonts w:ascii="Arial" w:cs="Arial" w:eastAsia="Arial" w:hAnsi="Arial"/>
          <w:sz w:val="20"/>
          <w:szCs w:val="20"/>
          <w:color w:val="auto"/>
        </w:rPr>
      </w:pPr>
      <w:r>
        <w:rPr>
          <w:rFonts w:ascii="Arial" w:cs="Arial" w:eastAsia="Arial" w:hAnsi="Arial"/>
          <w:sz w:val="20"/>
          <w:szCs w:val="20"/>
          <w:color w:val="auto"/>
        </w:rPr>
        <w:t>The recommending stockholder’s name and address, together with the number of shares held, length of period held, and proof of ownership;</w:t>
      </w:r>
    </w:p>
    <w:p>
      <w:pPr>
        <w:ind w:left="640" w:hanging="308"/>
        <w:spacing w:after="0"/>
        <w:tabs>
          <w:tab w:leader="none" w:pos="640" w:val="left"/>
        </w:tabs>
        <w:numPr>
          <w:ilvl w:val="0"/>
          <w:numId w:val="6"/>
        </w:numPr>
        <w:rPr>
          <w:rFonts w:ascii="Arial" w:cs="Arial" w:eastAsia="Arial" w:hAnsi="Arial"/>
          <w:sz w:val="20"/>
          <w:szCs w:val="20"/>
          <w:color w:val="auto"/>
        </w:rPr>
      </w:pPr>
      <w:r>
        <w:rPr>
          <w:rFonts w:ascii="Arial" w:cs="Arial" w:eastAsia="Arial" w:hAnsi="Arial"/>
          <w:sz w:val="20"/>
          <w:szCs w:val="20"/>
          <w:color w:val="auto"/>
        </w:rPr>
        <w:t>Name, age, and address of candidate;</w:t>
      </w:r>
    </w:p>
    <w:p>
      <w:pPr>
        <w:spacing w:after="0" w:line="26" w:lineRule="exact"/>
        <w:rPr>
          <w:rFonts w:ascii="Arial" w:cs="Arial" w:eastAsia="Arial" w:hAnsi="Arial"/>
          <w:sz w:val="20"/>
          <w:szCs w:val="20"/>
          <w:color w:val="auto"/>
        </w:rPr>
      </w:pPr>
    </w:p>
    <w:p>
      <w:pPr>
        <w:ind w:left="640" w:hanging="308"/>
        <w:spacing w:after="0"/>
        <w:tabs>
          <w:tab w:leader="none" w:pos="640" w:val="left"/>
        </w:tabs>
        <w:numPr>
          <w:ilvl w:val="0"/>
          <w:numId w:val="6"/>
        </w:numPr>
        <w:rPr>
          <w:rFonts w:ascii="Arial" w:cs="Arial" w:eastAsia="Arial" w:hAnsi="Arial"/>
          <w:sz w:val="20"/>
          <w:szCs w:val="20"/>
          <w:color w:val="auto"/>
        </w:rPr>
      </w:pPr>
      <w:r>
        <w:rPr>
          <w:rFonts w:ascii="Arial" w:cs="Arial" w:eastAsia="Arial" w:hAnsi="Arial"/>
          <w:sz w:val="20"/>
          <w:szCs w:val="20"/>
          <w:color w:val="auto"/>
        </w:rPr>
        <w:t>Detailed resume of candidate, including education, occupation, employment, and commitments;</w:t>
      </w:r>
    </w:p>
    <w:p>
      <w:pPr>
        <w:spacing w:after="0" w:line="13" w:lineRule="exact"/>
        <w:rPr>
          <w:rFonts w:ascii="Arial" w:cs="Arial" w:eastAsia="Arial" w:hAnsi="Arial"/>
          <w:sz w:val="20"/>
          <w:szCs w:val="20"/>
          <w:color w:val="auto"/>
        </w:rPr>
      </w:pPr>
    </w:p>
    <w:p>
      <w:pPr>
        <w:ind w:left="660" w:right="700" w:hanging="328"/>
        <w:spacing w:after="0" w:line="260" w:lineRule="auto"/>
        <w:tabs>
          <w:tab w:leader="none" w:pos="648" w:val="left"/>
        </w:tabs>
        <w:numPr>
          <w:ilvl w:val="0"/>
          <w:numId w:val="6"/>
        </w:numPr>
        <w:rPr>
          <w:rFonts w:ascii="Arial" w:cs="Arial" w:eastAsia="Arial" w:hAnsi="Arial"/>
          <w:sz w:val="20"/>
          <w:szCs w:val="20"/>
          <w:color w:val="auto"/>
        </w:rPr>
      </w:pPr>
      <w:r>
        <w:rPr>
          <w:rFonts w:ascii="Arial" w:cs="Arial" w:eastAsia="Arial" w:hAnsi="Arial"/>
          <w:sz w:val="20"/>
          <w:szCs w:val="20"/>
          <w:color w:val="auto"/>
        </w:rPr>
        <w:t>Any information required to be disclosed in the solicitation of proxies for election of a director under the Securities Exchange Act of 1934 (the "Exchange Act");</w:t>
      </w:r>
    </w:p>
    <w:p>
      <w:pPr>
        <w:spacing w:after="0" w:line="1" w:lineRule="exact"/>
        <w:rPr>
          <w:rFonts w:ascii="Arial" w:cs="Arial" w:eastAsia="Arial" w:hAnsi="Arial"/>
          <w:sz w:val="20"/>
          <w:szCs w:val="20"/>
          <w:color w:val="auto"/>
        </w:rPr>
      </w:pPr>
    </w:p>
    <w:p>
      <w:pPr>
        <w:ind w:left="640" w:hanging="308"/>
        <w:spacing w:after="0"/>
        <w:tabs>
          <w:tab w:leader="none" w:pos="640" w:val="left"/>
        </w:tabs>
        <w:numPr>
          <w:ilvl w:val="0"/>
          <w:numId w:val="6"/>
        </w:numPr>
        <w:rPr>
          <w:rFonts w:ascii="Arial" w:cs="Arial" w:eastAsia="Arial" w:hAnsi="Arial"/>
          <w:sz w:val="20"/>
          <w:szCs w:val="20"/>
          <w:color w:val="auto"/>
        </w:rPr>
      </w:pPr>
      <w:r>
        <w:rPr>
          <w:rFonts w:ascii="Arial" w:cs="Arial" w:eastAsia="Arial" w:hAnsi="Arial"/>
          <w:sz w:val="20"/>
          <w:szCs w:val="20"/>
          <w:color w:val="auto"/>
        </w:rPr>
        <w:t>Description of arrangements or understandings between the recommending stockholder and the candidate;</w:t>
      </w:r>
    </w:p>
    <w:p>
      <w:pPr>
        <w:spacing w:after="0" w:line="13" w:lineRule="exact"/>
        <w:rPr>
          <w:rFonts w:ascii="Arial" w:cs="Arial" w:eastAsia="Arial" w:hAnsi="Arial"/>
          <w:sz w:val="20"/>
          <w:szCs w:val="20"/>
          <w:color w:val="auto"/>
        </w:rPr>
      </w:pPr>
    </w:p>
    <w:p>
      <w:pPr>
        <w:ind w:left="660" w:hanging="328"/>
        <w:spacing w:after="0" w:line="260" w:lineRule="auto"/>
        <w:tabs>
          <w:tab w:leader="none" w:pos="648" w:val="left"/>
        </w:tabs>
        <w:numPr>
          <w:ilvl w:val="0"/>
          <w:numId w:val="6"/>
        </w:numPr>
        <w:rPr>
          <w:rFonts w:ascii="Arial" w:cs="Arial" w:eastAsia="Arial" w:hAnsi="Arial"/>
          <w:sz w:val="20"/>
          <w:szCs w:val="20"/>
          <w:color w:val="auto"/>
        </w:rPr>
      </w:pPr>
      <w:r>
        <w:rPr>
          <w:rFonts w:ascii="Arial" w:cs="Arial" w:eastAsia="Arial" w:hAnsi="Arial"/>
          <w:sz w:val="20"/>
          <w:szCs w:val="20"/>
          <w:color w:val="auto"/>
        </w:rPr>
        <w:t>Statement describing the candidate’s reasons for seeking election to the Board and documenting candidate’s satisfaction of qualifications described in the Corporate Governance Guidelines;</w:t>
      </w:r>
    </w:p>
    <w:p>
      <w:pPr>
        <w:spacing w:after="0" w:line="1" w:lineRule="exact"/>
        <w:rPr>
          <w:rFonts w:ascii="Arial" w:cs="Arial" w:eastAsia="Arial" w:hAnsi="Arial"/>
          <w:sz w:val="20"/>
          <w:szCs w:val="20"/>
          <w:color w:val="auto"/>
        </w:rPr>
      </w:pPr>
    </w:p>
    <w:p>
      <w:pPr>
        <w:ind w:left="640" w:hanging="308"/>
        <w:spacing w:after="0"/>
        <w:tabs>
          <w:tab w:leader="none" w:pos="640" w:val="left"/>
        </w:tabs>
        <w:numPr>
          <w:ilvl w:val="0"/>
          <w:numId w:val="6"/>
        </w:numPr>
        <w:rPr>
          <w:rFonts w:ascii="Arial" w:cs="Arial" w:eastAsia="Arial" w:hAnsi="Arial"/>
          <w:sz w:val="20"/>
          <w:szCs w:val="20"/>
          <w:color w:val="auto"/>
        </w:rPr>
      </w:pPr>
      <w:r>
        <w:rPr>
          <w:rFonts w:ascii="Arial" w:cs="Arial" w:eastAsia="Arial" w:hAnsi="Arial"/>
          <w:sz w:val="20"/>
          <w:szCs w:val="20"/>
          <w:color w:val="auto"/>
        </w:rPr>
        <w:t>A signed statement from the candidate, confirming willingness to serve; and</w:t>
      </w:r>
    </w:p>
    <w:p>
      <w:pPr>
        <w:spacing w:after="0" w:line="13" w:lineRule="exact"/>
        <w:rPr>
          <w:rFonts w:ascii="Arial" w:cs="Arial" w:eastAsia="Arial" w:hAnsi="Arial"/>
          <w:sz w:val="20"/>
          <w:szCs w:val="20"/>
          <w:color w:val="auto"/>
        </w:rPr>
      </w:pPr>
    </w:p>
    <w:p>
      <w:pPr>
        <w:ind w:left="660" w:hanging="328"/>
        <w:spacing w:after="0" w:line="281" w:lineRule="auto"/>
        <w:tabs>
          <w:tab w:leader="none" w:pos="648" w:val="left"/>
        </w:tabs>
        <w:numPr>
          <w:ilvl w:val="0"/>
          <w:numId w:val="6"/>
        </w:numPr>
        <w:rPr>
          <w:rFonts w:ascii="Arial" w:cs="Arial" w:eastAsia="Arial" w:hAnsi="Arial"/>
          <w:sz w:val="20"/>
          <w:szCs w:val="20"/>
          <w:color w:val="auto"/>
        </w:rPr>
      </w:pPr>
      <w:r>
        <w:rPr>
          <w:rFonts w:ascii="Arial" w:cs="Arial" w:eastAsia="Arial" w:hAnsi="Arial"/>
          <w:sz w:val="20"/>
          <w:szCs w:val="20"/>
          <w:color w:val="auto"/>
        </w:rPr>
        <w:t>If the recommending stockholder has been a beneficial holder of more than 5% of the Company’s stock for more than a year, then it must consent to additional public disclosures by the Company with regard to the nomination.</w:t>
      </w:r>
    </w:p>
    <w:p>
      <w:pPr>
        <w:spacing w:after="0" w:line="186" w:lineRule="exact"/>
        <w:rPr>
          <w:sz w:val="20"/>
          <w:szCs w:val="20"/>
          <w:color w:val="auto"/>
        </w:rPr>
      </w:pPr>
    </w:p>
    <w:p>
      <w:pPr>
        <w:jc w:val="both"/>
        <w:spacing w:after="0" w:line="276" w:lineRule="auto"/>
        <w:rPr>
          <w:sz w:val="20"/>
          <w:szCs w:val="20"/>
          <w:color w:val="auto"/>
        </w:rPr>
      </w:pPr>
      <w:r>
        <w:rPr>
          <w:rFonts w:ascii="Arial" w:cs="Arial" w:eastAsia="Arial" w:hAnsi="Arial"/>
          <w:sz w:val="20"/>
          <w:szCs w:val="20"/>
          <w:color w:val="auto"/>
        </w:rPr>
        <w:t>The Secretary of the Company will promptly forward complying nominee recommendation submissions to the Chair of the Governance Committee. The Governance Committee may consider nominees submitted from a variety of sources including but not limited to stockholder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wp:posOffset>
            </wp:positionV>
            <wp:extent cx="7132320" cy="3517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351790"/>
                    </a:xfrm>
                    <a:prstGeom prst="rect">
                      <a:avLst/>
                    </a:prstGeom>
                    <a:noFill/>
                  </pic:spPr>
                </pic:pic>
              </a:graphicData>
            </a:graphic>
          </wp:anchor>
        </w:drawing>
      </w:r>
    </w:p>
    <w:p>
      <w:pPr>
        <w:spacing w:after="0" w:line="215" w:lineRule="exact"/>
        <w:rPr>
          <w:sz w:val="20"/>
          <w:szCs w:val="20"/>
          <w:color w:val="auto"/>
        </w:rPr>
      </w:pPr>
    </w:p>
    <w:p>
      <w:pPr>
        <w:ind w:left="9000"/>
        <w:spacing w:after="0"/>
        <w:tabs>
          <w:tab w:leader="none" w:pos="11000" w:val="left"/>
        </w:tabs>
        <w:rPr>
          <w:sz w:val="20"/>
          <w:szCs w:val="20"/>
          <w:color w:val="auto"/>
        </w:rPr>
      </w:pPr>
      <w:r>
        <w:rPr>
          <w:rFonts w:ascii="Arial" w:cs="Arial" w:eastAsia="Arial" w:hAnsi="Arial"/>
          <w:sz w:val="18"/>
          <w:szCs w:val="18"/>
          <w:color w:val="auto"/>
        </w:rPr>
        <w:t>2024 Proxy Statement</w:t>
      </w:r>
      <w:r>
        <w:rPr>
          <w:sz w:val="20"/>
          <w:szCs w:val="20"/>
          <w:color w:val="auto"/>
        </w:rPr>
        <w:tab/>
      </w:r>
      <w:r>
        <w:rPr>
          <w:rFonts w:ascii="Arial" w:cs="Arial" w:eastAsia="Arial" w:hAnsi="Arial"/>
          <w:sz w:val="17"/>
          <w:szCs w:val="17"/>
          <w:color w:val="1E3767"/>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262255</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68" w:right="339" w:bottom="1440" w:gutter="0" w:footer="0" w:header="0"/>
        </w:sectPr>
      </w:pPr>
    </w:p>
    <w:bookmarkStart w:id="18" w:name="page19"/>
    <w:bookmarkEnd w:id="18"/>
    <w:p>
      <w:pPr>
        <w:jc w:val="both"/>
        <w:spacing w:after="0" w:line="269" w:lineRule="auto"/>
        <w:rPr>
          <w:sz w:val="20"/>
          <w:szCs w:val="20"/>
          <w:color w:val="auto"/>
        </w:rPr>
      </w:pPr>
      <w:r>
        <w:rPr>
          <w:rFonts w:ascii="Arial" w:cs="Arial" w:eastAsia="Arial" w:hAnsi="Arial"/>
          <w:sz w:val="20"/>
          <w:szCs w:val="20"/>
          <w:color w:val="auto"/>
        </w:rPr>
        <w:t>recommendations. If a vacancy arises or the Board decides to expand its membership, the Governance Committee will evaluate potential candidates from all sources and will rank them by order of preference if more than one is identified as properly qualified. A recommendation will be made to the Board by the Governance Committee based upon qualifications, interviews, background checks, and the Company’s needs.</w:t>
      </w:r>
    </w:p>
    <w:p>
      <w:pPr>
        <w:spacing w:after="0" w:line="19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Stockholder Nominated Director Candidates</w:t>
      </w:r>
    </w:p>
    <w:p>
      <w:pPr>
        <w:spacing w:after="0" w:line="272" w:lineRule="exact"/>
        <w:rPr>
          <w:sz w:val="20"/>
          <w:szCs w:val="20"/>
          <w:color w:val="auto"/>
        </w:rPr>
      </w:pPr>
    </w:p>
    <w:p>
      <w:pPr>
        <w:jc w:val="both"/>
        <w:spacing w:after="0" w:line="262" w:lineRule="auto"/>
        <w:rPr>
          <w:sz w:val="20"/>
          <w:szCs w:val="20"/>
          <w:color w:val="auto"/>
        </w:rPr>
      </w:pPr>
      <w:r>
        <w:rPr>
          <w:rFonts w:ascii="Arial" w:cs="Arial" w:eastAsia="Arial" w:hAnsi="Arial"/>
          <w:sz w:val="20"/>
          <w:szCs w:val="20"/>
          <w:color w:val="auto"/>
        </w:rPr>
        <w:t>The Company’s Board has adopted a “Proxy Access for Director Nominations” bylaw as part of the Company’s Bylaws. The proxy access bylaw permits a stockholder, or a group of up to 20 stockholders, owning 3% or more of the Company’s outstanding common stock continuously for at least three years to nominate and include in the Company’s proxy materials director nominees constituting up to two individuals or 20% of the Board (whichever is greater), provided that the stockholder(s) and the nominee(s) satisfy the requirements specified in Article II, Section 2.12 of our Bylaws. See “Stockholder Proposals and Nominations” on page 75 for more information.</w:t>
      </w:r>
    </w:p>
    <w:p>
      <w:pPr>
        <w:spacing w:after="0" w:line="22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Majority Election Policy</w:t>
      </w:r>
    </w:p>
    <w:p>
      <w:pPr>
        <w:spacing w:after="0" w:line="258" w:lineRule="exact"/>
        <w:rPr>
          <w:sz w:val="20"/>
          <w:szCs w:val="20"/>
          <w:color w:val="auto"/>
        </w:rPr>
      </w:pPr>
    </w:p>
    <w:p>
      <w:pPr>
        <w:jc w:val="both"/>
        <w:spacing w:after="0" w:line="262" w:lineRule="auto"/>
        <w:rPr>
          <w:sz w:val="20"/>
          <w:szCs w:val="20"/>
          <w:color w:val="auto"/>
        </w:rPr>
      </w:pPr>
      <w:r>
        <w:rPr>
          <w:rFonts w:ascii="Arial" w:cs="Arial" w:eastAsia="Arial" w:hAnsi="Arial"/>
          <w:sz w:val="20"/>
          <w:szCs w:val="20"/>
          <w:color w:val="auto"/>
        </w:rPr>
        <w:t>The Company’s Bylaws and Corporate Governance Guidelines require that a director nominee only be elected if he or she receives a majority vote of the votes cast with respect to his or her election in an uncontested election. Thus, for a nominee to be elected, the number of votes cast “For” must exceed the number of votes cast as “Withhold” for the nominee. If a nominee who is currently serving as a director is not re-elected with a majority of the votes cast, then under the Corporate Governance Guidelines, he or she is required to submit a resignation to the Board. In this event, the Governance Committee will consider the tendered resignation and will make a recommendation to the Board as to whether to accept or reject the resignation. The Board must act on the tendered resignation within 90 days from the date of certification of the election results and must also promptly disclose its decision and explain its rationale.</w:t>
      </w:r>
    </w:p>
    <w:p>
      <w:pPr>
        <w:spacing w:after="0" w:line="21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Board Leadership Structure</w:t>
      </w:r>
    </w:p>
    <w:p>
      <w:pPr>
        <w:spacing w:after="0" w:line="258" w:lineRule="exact"/>
        <w:rPr>
          <w:sz w:val="20"/>
          <w:szCs w:val="20"/>
          <w:color w:val="auto"/>
        </w:rPr>
      </w:pPr>
    </w:p>
    <w:p>
      <w:pPr>
        <w:jc w:val="both"/>
        <w:spacing w:after="0" w:line="263" w:lineRule="auto"/>
        <w:rPr>
          <w:sz w:val="20"/>
          <w:szCs w:val="20"/>
          <w:color w:val="auto"/>
        </w:rPr>
      </w:pPr>
      <w:r>
        <w:rPr>
          <w:rFonts w:ascii="Arial" w:cs="Arial" w:eastAsia="Arial" w:hAnsi="Arial"/>
          <w:sz w:val="20"/>
          <w:szCs w:val="20"/>
          <w:color w:val="auto"/>
        </w:rPr>
        <w:t>The Board does not have a fixed policy regarding the separation of the offices of Board Chair and Chief Executive Officer. These offices were held by different persons from 2004 to 2012 and from 2016 to 2021. The offices were combined in one person from 2012 to 2016 and from 2021 to June 2024. On July 1, 2024, these two offices were again separated when Mr. Adelson was appointed as Chief Executive Officer and Mr. Foss continued serving as Executive Board Chair. The members of the Board believe that the Company has been well served in the past by both combined Chair/CEOs and by separate persons in these offices and believes that the Board should maintain the flexibility to combine or separate these offices in the future if deemed to be in the best interests of the Company.</w:t>
      </w:r>
    </w:p>
    <w:p>
      <w:pPr>
        <w:spacing w:after="0" w:line="207" w:lineRule="exact"/>
        <w:rPr>
          <w:sz w:val="20"/>
          <w:szCs w:val="20"/>
          <w:color w:val="auto"/>
        </w:rPr>
      </w:pPr>
    </w:p>
    <w:p>
      <w:pPr>
        <w:jc w:val="both"/>
        <w:spacing w:after="0" w:line="265" w:lineRule="auto"/>
        <w:rPr>
          <w:sz w:val="20"/>
          <w:szCs w:val="20"/>
          <w:color w:val="auto"/>
        </w:rPr>
      </w:pPr>
      <w:r>
        <w:rPr>
          <w:rFonts w:ascii="Arial" w:cs="Arial" w:eastAsia="Arial" w:hAnsi="Arial"/>
          <w:sz w:val="20"/>
          <w:szCs w:val="20"/>
          <w:color w:val="auto"/>
        </w:rPr>
        <w:t>The Board has adopted a governance guideline providing for an independent “Lead Director.” Under the guideline, when the Chair is a member of Company management, the independent directors will annually appoint from among themselves a Lead Director. The Lead Director will coordinate the activities of the independent directors, coordinate with the Chair to set the agenda and schedule for Board meetings, advise on materials distributed to directors, chair meetings of the Board and stockholders in the absence of the Chair, call and chair executive sessions of the independent directors, and perform other duties assigned from time to time by the Board. Mr. Flanigan has served as the Lead Director since 2012.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186690</wp:posOffset>
            </wp:positionV>
            <wp:extent cx="7132320" cy="3517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2320" cy="351790"/>
                    </a:xfrm>
                    <a:prstGeom prst="rect">
                      <a:avLst/>
                    </a:prstGeom>
                    <a:noFill/>
                  </pic:spPr>
                </pic:pic>
              </a:graphicData>
            </a:graphic>
          </wp:anchor>
        </w:drawing>
      </w:r>
    </w:p>
    <w:p>
      <w:pPr>
        <w:spacing w:after="0" w:line="200" w:lineRule="exact"/>
        <w:rPr>
          <w:sz w:val="20"/>
          <w:szCs w:val="20"/>
          <w:color w:val="auto"/>
        </w:rPr>
      </w:pPr>
    </w:p>
    <w:p>
      <w:pPr>
        <w:spacing w:after="0" w:line="284" w:lineRule="exact"/>
        <w:rPr>
          <w:sz w:val="20"/>
          <w:szCs w:val="20"/>
          <w:color w:val="auto"/>
        </w:rPr>
      </w:pPr>
    </w:p>
    <w:p>
      <w:pPr>
        <w:ind w:left="20"/>
        <w:spacing w:after="0"/>
        <w:tabs>
          <w:tab w:leader="none" w:pos="440" w:val="left"/>
        </w:tabs>
        <w:rPr>
          <w:sz w:val="20"/>
          <w:szCs w:val="20"/>
          <w:color w:val="auto"/>
        </w:rPr>
      </w:pPr>
      <w:r>
        <w:rPr>
          <w:rFonts w:ascii="Arial" w:cs="Arial" w:eastAsia="Arial" w:hAnsi="Arial"/>
          <w:sz w:val="18"/>
          <w:szCs w:val="18"/>
          <w:color w:val="auto"/>
        </w:rPr>
        <w:t>16</w:t>
        <w:tab/>
        <w:t>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253365</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01" w:right="339" w:bottom="1440" w:gutter="0" w:footer="0" w:header="0"/>
        </w:sectPr>
      </w:pPr>
    </w:p>
    <w:bookmarkStart w:id="19" w:name="page20"/>
    <w:bookmarkEnd w:id="19"/>
    <w:p>
      <w:pPr>
        <w:jc w:val="both"/>
        <w:spacing w:after="0" w:line="276" w:lineRule="auto"/>
        <w:rPr>
          <w:sz w:val="20"/>
          <w:szCs w:val="20"/>
          <w:color w:val="auto"/>
        </w:rPr>
      </w:pPr>
      <w:r>
        <w:rPr>
          <w:rFonts w:ascii="Arial" w:cs="Arial" w:eastAsia="Arial" w:hAnsi="Arial"/>
          <w:sz w:val="20"/>
          <w:szCs w:val="20"/>
          <w:color w:val="auto"/>
        </w:rPr>
        <w:t>The Board is committed to strong, independent Board leadership and believes that objective oversight is critical to effective governance. Eight of our nine director nominees are independent, as are all members of each of the committees of the Board. The independent directors regularly meet in executive session without Mr. Foss, the sole non-independent director.</w:t>
      </w:r>
    </w:p>
    <w:p>
      <w:pPr>
        <w:spacing w:after="0" w:line="19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Communication with the Board</w:t>
      </w:r>
    </w:p>
    <w:p>
      <w:pPr>
        <w:spacing w:after="0" w:line="258" w:lineRule="exact"/>
        <w:rPr>
          <w:sz w:val="20"/>
          <w:szCs w:val="20"/>
          <w:color w:val="auto"/>
        </w:rPr>
      </w:pPr>
    </w:p>
    <w:p>
      <w:pPr>
        <w:spacing w:after="0"/>
        <w:rPr>
          <w:sz w:val="20"/>
          <w:szCs w:val="20"/>
          <w:color w:val="auto"/>
        </w:rPr>
      </w:pPr>
      <w:r>
        <w:rPr>
          <w:rFonts w:ascii="Arial" w:cs="Arial" w:eastAsia="Arial" w:hAnsi="Arial"/>
          <w:sz w:val="20"/>
          <w:szCs w:val="20"/>
          <w:color w:val="auto"/>
        </w:rPr>
        <w:t>Stockholders and all other interested parties wishing to contact our Board may write to: Board of Directors of Jack Henry &amp;</w:t>
      </w:r>
    </w:p>
    <w:p>
      <w:pPr>
        <w:spacing w:after="0" w:line="31" w:lineRule="exact"/>
        <w:rPr>
          <w:sz w:val="20"/>
          <w:szCs w:val="20"/>
          <w:color w:val="auto"/>
        </w:rPr>
      </w:pPr>
    </w:p>
    <w:p>
      <w:pPr>
        <w:jc w:val="both"/>
        <w:spacing w:after="0" w:line="281" w:lineRule="auto"/>
        <w:rPr>
          <w:sz w:val="20"/>
          <w:szCs w:val="20"/>
          <w:color w:val="auto"/>
        </w:rPr>
      </w:pPr>
      <w:r>
        <w:rPr>
          <w:rFonts w:ascii="Arial" w:cs="Arial" w:eastAsia="Arial" w:hAnsi="Arial"/>
          <w:sz w:val="20"/>
          <w:szCs w:val="20"/>
          <w:color w:val="auto"/>
        </w:rPr>
        <w:t>Associates, Inc., Attn: Corporate Secretary, PO Box 807, 663 West Highway 60, Monett, MO 65708. The Company’s Secretary distributes this correspondence to the appropriate member(s) of the Board.</w:t>
      </w:r>
    </w:p>
    <w:p>
      <w:pPr>
        <w:spacing w:after="0" w:line="18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Risk Oversight</w:t>
      </w:r>
    </w:p>
    <w:p>
      <w:pPr>
        <w:spacing w:after="0" w:line="272"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Pursuant to the Company’s Corporate Governance Guidelines, the Board performs its risk oversight function primarily through its Risk and Compliance, Audit, and Human Capital &amp; Compensation Committees. The Risk and Compliance Committee has primary responsibility for overseeing, monitoring, and addressing the Company’s enterprise and operational risks. The Risk and Compliance Committee is charged with overseeing the Company’s risk management program that measures, prioritizes, monitors, and responds to risks. This oversight includes ensuring the adequacy of management’s design and implementation of information security measures. The Risk and Compliance Committee receives reports from the Company’s Chief Information Security Officer, as well as other members of management. The Audit Committee oversees risks relating to financial statements and reporting, credit, and liquidity risks. The Human Capital &amp; Compensation Committee is charged with oversight of risks in compensation, employee benefits, and other employment related policies and practices. The Audit Committee and the Human Capital &amp; Compensation Committee provide periodic reports regarding their risk assessments to the Risk and Compliance Committee. The Board receives regular reports from both the Risk and Compliance Committee of the consolidated risk assessments of these committees and from management. The Board assesses major risks and reviews with management options for risk mitigation. As such, the Board is informed and engaged when new risks arise.</w:t>
      </w:r>
    </w:p>
    <w:p>
      <w:pPr>
        <w:spacing w:after="0" w:line="21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Corporate Responsibility and Sustainability</w:t>
      </w:r>
    </w:p>
    <w:p>
      <w:pPr>
        <w:spacing w:after="0" w:line="258" w:lineRule="exact"/>
        <w:rPr>
          <w:sz w:val="20"/>
          <w:szCs w:val="20"/>
          <w:color w:val="auto"/>
        </w:rPr>
      </w:pPr>
    </w:p>
    <w:p>
      <w:pPr>
        <w:jc w:val="both"/>
        <w:spacing w:after="0" w:line="265" w:lineRule="auto"/>
        <w:rPr>
          <w:sz w:val="20"/>
          <w:szCs w:val="20"/>
          <w:color w:val="auto"/>
        </w:rPr>
      </w:pPr>
      <w:r>
        <w:rPr>
          <w:rFonts w:ascii="Arial" w:cs="Arial" w:eastAsia="Arial" w:hAnsi="Arial"/>
          <w:sz w:val="20"/>
          <w:szCs w:val="20"/>
          <w:color w:val="auto"/>
        </w:rPr>
        <w:t>The Company has long incorporated a commitment to corporate social responsibility into the way it does business and is committed to both doing the right thing and increasing stockholder value through increased focus and disclosure on these issues. The Board has overall oversight responsibility for matters related to corporate sustainability issues, with individual Board committees responsible for certain subcomponents. The executive leadership team is held accountable for execution through their lines of business. The Company published its most recent sustainability report in April 2024. The sustainability report is posted on our investor relations web site at http://ir.jackhenry.com under the “Sustainability” tab.</w:t>
      </w: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Code of Conduct</w:t>
      </w:r>
    </w:p>
    <w:p>
      <w:pPr>
        <w:spacing w:after="0" w:line="272" w:lineRule="exact"/>
        <w:rPr>
          <w:sz w:val="20"/>
          <w:szCs w:val="20"/>
          <w:color w:val="auto"/>
        </w:rPr>
      </w:pPr>
    </w:p>
    <w:p>
      <w:pPr>
        <w:jc w:val="both"/>
        <w:spacing w:after="0" w:line="265" w:lineRule="auto"/>
        <w:rPr>
          <w:sz w:val="20"/>
          <w:szCs w:val="20"/>
          <w:color w:val="auto"/>
        </w:rPr>
      </w:pPr>
      <w:r>
        <w:rPr>
          <w:rFonts w:ascii="Arial" w:cs="Arial" w:eastAsia="Arial" w:hAnsi="Arial"/>
          <w:sz w:val="20"/>
          <w:szCs w:val="20"/>
          <w:color w:val="auto"/>
        </w:rPr>
        <w:t>The members of the Board, as well as the executive officers and all other employees, contractors, vendors, and business partners of the Company are subject to and responsible for compliance with the Jack Henry &amp; Associates Code of Conduct. The Code of Conduct contains policies and practices for the ethical and lawful conduct of our business, as well as procedures for confidential investigation of complaints and discipline of wrongdoers. Only the Board of Directors can amend or grant waivers from the provisions of the Code of Conduct. The Company intends to satisfy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30480</wp:posOffset>
            </wp:positionV>
            <wp:extent cx="7132320" cy="3511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2320" cy="351155"/>
                    </a:xfrm>
                    <a:prstGeom prst="rect">
                      <a:avLst/>
                    </a:prstGeom>
                    <a:noFill/>
                  </pic:spPr>
                </pic:pic>
              </a:graphicData>
            </a:graphic>
          </wp:anchor>
        </w:drawing>
      </w:r>
    </w:p>
    <w:p>
      <w:pPr>
        <w:spacing w:after="0" w:line="239" w:lineRule="exact"/>
        <w:rPr>
          <w:sz w:val="20"/>
          <w:szCs w:val="20"/>
          <w:color w:val="auto"/>
        </w:rPr>
      </w:pPr>
    </w:p>
    <w:p>
      <w:pPr>
        <w:ind w:left="9000"/>
        <w:spacing w:after="0"/>
        <w:tabs>
          <w:tab w:leader="none" w:pos="11000" w:val="left"/>
        </w:tabs>
        <w:rPr>
          <w:sz w:val="20"/>
          <w:szCs w:val="20"/>
          <w:color w:val="auto"/>
        </w:rPr>
      </w:pPr>
      <w:r>
        <w:rPr>
          <w:rFonts w:ascii="Arial" w:cs="Arial" w:eastAsia="Arial" w:hAnsi="Arial"/>
          <w:sz w:val="18"/>
          <w:szCs w:val="18"/>
          <w:color w:val="auto"/>
        </w:rPr>
        <w:t>2024 Proxy Statement</w:t>
      </w:r>
      <w:r>
        <w:rPr>
          <w:sz w:val="20"/>
          <w:szCs w:val="20"/>
          <w:color w:val="auto"/>
        </w:rPr>
        <w:tab/>
      </w:r>
      <w:r>
        <w:rPr>
          <w:rFonts w:ascii="Arial" w:cs="Arial" w:eastAsia="Arial" w:hAnsi="Arial"/>
          <w:sz w:val="17"/>
          <w:szCs w:val="17"/>
          <w:color w:val="1E3767"/>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253365</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01" w:right="339" w:bottom="1440" w:gutter="0" w:footer="0" w:header="0"/>
        </w:sectPr>
      </w:pPr>
    </w:p>
    <w:bookmarkStart w:id="20" w:name="page21"/>
    <w:bookmarkEnd w:id="20"/>
    <w:p>
      <w:pPr>
        <w:jc w:val="both"/>
        <w:spacing w:after="0" w:line="286" w:lineRule="auto"/>
        <w:rPr>
          <w:sz w:val="20"/>
          <w:szCs w:val="20"/>
          <w:color w:val="auto"/>
        </w:rPr>
      </w:pPr>
      <w:r>
        <w:rPr>
          <w:rFonts w:ascii="Arial" w:cs="Arial" w:eastAsia="Arial" w:hAnsi="Arial"/>
          <w:sz w:val="20"/>
          <w:szCs w:val="20"/>
          <w:color w:val="auto"/>
        </w:rPr>
        <w:t>disclosure requirement under Item 5.05 of Form 8-K regarding amendment to, or waiver from, a provision of the Code of Conduct by posting such information on our website at https://ir.jackhenry.com/corporate-governance/overview.</w:t>
      </w:r>
    </w:p>
    <w:p>
      <w:pPr>
        <w:spacing w:after="0" w:line="19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Governance Materials Available</w:t>
      </w:r>
    </w:p>
    <w:p>
      <w:pPr>
        <w:spacing w:after="0" w:line="258" w:lineRule="exact"/>
        <w:rPr>
          <w:sz w:val="20"/>
          <w:szCs w:val="20"/>
          <w:color w:val="auto"/>
        </w:rPr>
      </w:pPr>
    </w:p>
    <w:p>
      <w:pPr>
        <w:jc w:val="both"/>
        <w:spacing w:after="0" w:line="265" w:lineRule="auto"/>
        <w:rPr>
          <w:sz w:val="20"/>
          <w:szCs w:val="20"/>
          <w:color w:val="auto"/>
        </w:rPr>
      </w:pPr>
      <w:r>
        <w:rPr>
          <w:rFonts w:ascii="Arial" w:cs="Arial" w:eastAsia="Arial" w:hAnsi="Arial"/>
          <w:sz w:val="20"/>
          <w:szCs w:val="20"/>
          <w:color w:val="auto"/>
        </w:rPr>
        <w:t>The Company has posted its significant corporate governance documents on its website at https://ir.jackhenry.com/corporate-governance/overview. There you will find, among other things, copies of the current Corporate Governance Guidelines, the Code of Conduct, the Human Rights Commitment and Policy Statement, the Human Capital &amp; Compensation Committee Charter, the Governance Committee Charter (with attached Nomination Policy), Audit Committee Charter, and the Risk and Compliance Committee Charter, as well as the Company’s Certificate of Incorporation and Bylaws. Other investor relations materials are also posted at http://ir.jackhenry.com, including SEC reports, financial statements, and news releases.</w:t>
      </w: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The Board of Directors and Its Committees</w:t>
      </w:r>
    </w:p>
    <w:p>
      <w:pPr>
        <w:spacing w:after="0" w:line="258" w:lineRule="exact"/>
        <w:rPr>
          <w:sz w:val="20"/>
          <w:szCs w:val="20"/>
          <w:color w:val="auto"/>
        </w:rPr>
      </w:pPr>
    </w:p>
    <w:p>
      <w:pPr>
        <w:jc w:val="both"/>
        <w:spacing w:after="0" w:line="268" w:lineRule="auto"/>
        <w:rPr>
          <w:sz w:val="20"/>
          <w:szCs w:val="20"/>
          <w:color w:val="auto"/>
        </w:rPr>
      </w:pPr>
      <w:r>
        <w:rPr>
          <w:rFonts w:ascii="Arial" w:cs="Arial" w:eastAsia="Arial" w:hAnsi="Arial"/>
          <w:sz w:val="20"/>
          <w:szCs w:val="20"/>
          <w:color w:val="auto"/>
        </w:rPr>
        <w:t>The Board held four regular meetings and two special meetings during the last fiscal year. Each director, except Laura Kelly, who passed away in March 2024, attended at least 75% of all meetings of the Board and all committees on which they served. The independent directors met in four executive sessions without management present during the last fiscal year. In accordance with our Corporate Governance Guidelines, all the then-serving directors attended the Annual Meeting of the Stockholders held on November 14, 2023.</w:t>
      </w:r>
    </w:p>
    <w:p>
      <w:pPr>
        <w:spacing w:after="0" w:line="201" w:lineRule="exact"/>
        <w:rPr>
          <w:sz w:val="20"/>
          <w:szCs w:val="20"/>
          <w:color w:val="auto"/>
        </w:rPr>
      </w:pPr>
    </w:p>
    <w:p>
      <w:pPr>
        <w:jc w:val="both"/>
        <w:spacing w:after="0" w:line="276" w:lineRule="auto"/>
        <w:rPr>
          <w:sz w:val="20"/>
          <w:szCs w:val="20"/>
          <w:color w:val="auto"/>
        </w:rPr>
      </w:pPr>
      <w:r>
        <w:rPr>
          <w:rFonts w:ascii="Arial" w:cs="Arial" w:eastAsia="Arial" w:hAnsi="Arial"/>
          <w:sz w:val="20"/>
          <w:szCs w:val="20"/>
          <w:color w:val="auto"/>
        </w:rPr>
        <w:t>The Governance Committee of the Board has determined that eight of the Board’s nine director nominees, Flanigan, Wilson, Wimsett, Miyashiro, Brown, Campbell, LoCascio, and Nelson are independent directors under applicable Nasdaq standards. Ms. Fiegel is also independent, though she is not seeking re-election at the Annual Meeting.</w:t>
      </w:r>
    </w:p>
    <w:p>
      <w:pPr>
        <w:spacing w:after="0" w:line="192" w:lineRule="exact"/>
        <w:rPr>
          <w:sz w:val="20"/>
          <w:szCs w:val="20"/>
          <w:color w:val="auto"/>
        </w:rPr>
      </w:pPr>
    </w:p>
    <w:p>
      <w:pPr>
        <w:jc w:val="both"/>
        <w:spacing w:after="0" w:line="263" w:lineRule="auto"/>
        <w:rPr>
          <w:sz w:val="20"/>
          <w:szCs w:val="20"/>
          <w:color w:val="auto"/>
        </w:rPr>
      </w:pPr>
      <w:r>
        <w:rPr>
          <w:rFonts w:ascii="Arial" w:cs="Arial" w:eastAsia="Arial" w:hAnsi="Arial"/>
          <w:sz w:val="20"/>
          <w:szCs w:val="20"/>
          <w:color w:val="auto"/>
        </w:rPr>
        <w:t>The Board has adopted stock ownership guidelines within the Corporate Governance Guidelines establishing stock ownership goals applicable to directors as well as senior management of the Company. Each non-employee director of the Company is expected to own Company shares having a value of at least five times the annual director cash retainer. Under the terms of the guidelines, new directors should be in compliance with this standard within five years after joining the Board. For this purpose, in addition to shares held outright, directors may include shares held in the person’s retirement accounts and deferral accounts, all shares held in trust for the person’s immediate family members, and all restricted stock units. As measured on June 30, 2024, all directors on such date were in compliance with these ownership guidelines or within the five-year compliance window.</w:t>
      </w:r>
    </w:p>
    <w:p>
      <w:pPr>
        <w:spacing w:after="0" w:line="207" w:lineRule="exact"/>
        <w:rPr>
          <w:sz w:val="20"/>
          <w:szCs w:val="20"/>
          <w:color w:val="auto"/>
        </w:rPr>
      </w:pPr>
    </w:p>
    <w:p>
      <w:pPr>
        <w:spacing w:after="0"/>
        <w:rPr>
          <w:sz w:val="20"/>
          <w:szCs w:val="20"/>
          <w:color w:val="auto"/>
        </w:rPr>
      </w:pPr>
      <w:r>
        <w:rPr>
          <w:rFonts w:ascii="Arial" w:cs="Arial" w:eastAsia="Arial" w:hAnsi="Arial"/>
          <w:sz w:val="20"/>
          <w:szCs w:val="20"/>
          <w:color w:val="auto"/>
        </w:rPr>
        <w:t>The Board has the following four standing committees, each of which operates under a written charter adopted by the Board.</w:t>
      </w:r>
    </w:p>
    <w:p>
      <w:pPr>
        <w:spacing w:after="0" w:line="31" w:lineRule="exact"/>
        <w:rPr>
          <w:sz w:val="20"/>
          <w:szCs w:val="20"/>
          <w:color w:val="auto"/>
        </w:rPr>
      </w:pPr>
    </w:p>
    <w:p>
      <w:pPr>
        <w:spacing w:after="0"/>
        <w:rPr>
          <w:sz w:val="20"/>
          <w:szCs w:val="20"/>
          <w:color w:val="auto"/>
        </w:rPr>
      </w:pPr>
      <w:r>
        <w:rPr>
          <w:rFonts w:ascii="Arial" w:cs="Arial" w:eastAsia="Arial" w:hAnsi="Arial"/>
          <w:sz w:val="20"/>
          <w:szCs w:val="20"/>
          <w:color w:val="auto"/>
        </w:rPr>
        <w:t>The Committee compositions listed below are as of September 16,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207645</wp:posOffset>
            </wp:positionV>
            <wp:extent cx="7132320" cy="3511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2320" cy="351155"/>
                    </a:xfrm>
                    <a:prstGeom prst="rect">
                      <a:avLst/>
                    </a:prstGeom>
                    <a:noFill/>
                  </pic:spPr>
                </pic:pic>
              </a:graphicData>
            </a:graphic>
          </wp:anchor>
        </w:drawing>
      </w:r>
    </w:p>
    <w:p>
      <w:pPr>
        <w:spacing w:after="0" w:line="200" w:lineRule="exact"/>
        <w:rPr>
          <w:sz w:val="20"/>
          <w:szCs w:val="20"/>
          <w:color w:val="auto"/>
        </w:rPr>
      </w:pPr>
    </w:p>
    <w:p>
      <w:pPr>
        <w:spacing w:after="0" w:line="318" w:lineRule="exact"/>
        <w:rPr>
          <w:sz w:val="20"/>
          <w:szCs w:val="20"/>
          <w:color w:val="auto"/>
        </w:rPr>
      </w:pPr>
    </w:p>
    <w:p>
      <w:pPr>
        <w:ind w:left="20"/>
        <w:spacing w:after="0"/>
        <w:tabs>
          <w:tab w:leader="none" w:pos="440" w:val="left"/>
        </w:tabs>
        <w:rPr>
          <w:sz w:val="20"/>
          <w:szCs w:val="20"/>
          <w:color w:val="auto"/>
        </w:rPr>
      </w:pPr>
      <w:r>
        <w:rPr>
          <w:rFonts w:ascii="Arial" w:cs="Arial" w:eastAsia="Arial" w:hAnsi="Arial"/>
          <w:sz w:val="18"/>
          <w:szCs w:val="18"/>
          <w:color w:val="auto"/>
        </w:rPr>
        <w:t>18</w:t>
        <w:tab/>
        <w:t>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262255</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01" w:right="339" w:bottom="1440" w:gutter="0" w:footer="0" w:header="0"/>
        </w:sectPr>
      </w:pPr>
    </w:p>
    <w:bookmarkStart w:id="21" w:name="page22"/>
    <w:bookmarkEnd w:id="21"/>
    <w:p>
      <w:pPr>
        <w:spacing w:after="0"/>
        <w:rPr>
          <w:sz w:val="20"/>
          <w:szCs w:val="20"/>
          <w:color w:val="auto"/>
        </w:rPr>
      </w:pPr>
      <w:r>
        <w:rPr>
          <w:rFonts w:ascii="Arial" w:cs="Arial" w:eastAsia="Arial" w:hAnsi="Arial"/>
          <w:sz w:val="20"/>
          <w:szCs w:val="20"/>
          <w:b w:val="1"/>
          <w:bCs w:val="1"/>
          <w:color w:val="auto"/>
        </w:rPr>
        <w:t>Audit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23495</wp:posOffset>
            </wp:positionV>
            <wp:extent cx="161163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1611630" cy="8255"/>
                    </a:xfrm>
                    <a:prstGeom prst="rect">
                      <a:avLst/>
                    </a:prstGeom>
                    <a:noFill/>
                  </pic:spPr>
                </pic:pic>
              </a:graphicData>
            </a:graphic>
          </wp:anchor>
        </w:drawing>
      </w:r>
    </w:p>
    <w:p>
      <w:pPr>
        <w:spacing w:after="0" w:line="23"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Thomas H. Wilson, Jr.</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color w:val="auto"/>
        </w:rPr>
        <w:t>(Chair)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19050</wp:posOffset>
            </wp:positionV>
            <wp:extent cx="161163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1611630" cy="8890"/>
                    </a:xfrm>
                    <a:prstGeom prst="rect">
                      <a:avLst/>
                    </a:prstGeom>
                    <a:noFill/>
                  </pic:spPr>
                </pic:pic>
              </a:graphicData>
            </a:graphic>
          </wp:anchor>
        </w:drawing>
      </w:r>
    </w:p>
    <w:p>
      <w:pPr>
        <w:spacing w:after="0" w:line="1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Matthew C. Flanigan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160655</wp:posOffset>
            </wp:positionV>
            <wp:extent cx="161163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1611630" cy="8255"/>
                    </a:xfrm>
                    <a:prstGeom prst="rect">
                      <a:avLst/>
                    </a:prstGeom>
                    <a:noFill/>
                  </pic:spPr>
                </pic:pic>
              </a:graphicData>
            </a:graphic>
          </wp:anchor>
        </w:drawing>
      </w:r>
    </w:p>
    <w:p>
      <w:pPr>
        <w:spacing w:after="0" w:line="23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Thomas A. Wimsett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186055</wp:posOffset>
            </wp:positionV>
            <wp:extent cx="161163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1611630" cy="8255"/>
                    </a:xfrm>
                    <a:prstGeom prst="rect">
                      <a:avLst/>
                    </a:prstGeom>
                    <a:noFill/>
                  </pic:spPr>
                </pic:pic>
              </a:graphicData>
            </a:graphic>
          </wp:anchor>
        </w:drawing>
      </w:r>
    </w:p>
    <w:p>
      <w:pPr>
        <w:spacing w:after="0" w:line="27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Wesley A. Brown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160655</wp:posOffset>
            </wp:positionV>
            <wp:extent cx="161163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1611630" cy="8890"/>
                    </a:xfrm>
                    <a:prstGeom prst="rect">
                      <a:avLst/>
                    </a:prstGeom>
                    <a:noFill/>
                  </pic:spPr>
                </pic:pic>
              </a:graphicData>
            </a:graphic>
          </wp:anchor>
        </w:drawing>
      </w:r>
    </w:p>
    <w:p>
      <w:pPr>
        <w:spacing w:after="0" w:line="23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Lisa M. Nelson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160655</wp:posOffset>
            </wp:positionV>
            <wp:extent cx="161163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161163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Arial" w:cs="Arial" w:eastAsia="Arial" w:hAnsi="Arial"/>
          <w:sz w:val="20"/>
          <w:szCs w:val="20"/>
          <w:color w:val="auto"/>
        </w:rPr>
        <w:t>Meetings in</w:t>
      </w:r>
    </w:p>
    <w:p>
      <w:pPr>
        <w:spacing w:after="0"/>
        <w:rPr>
          <w:sz w:val="20"/>
          <w:szCs w:val="20"/>
          <w:color w:val="auto"/>
        </w:rPr>
      </w:pPr>
      <w:r>
        <w:rPr>
          <w:rFonts w:ascii="Arial" w:cs="Arial" w:eastAsia="Arial" w:hAnsi="Arial"/>
          <w:sz w:val="20"/>
          <w:szCs w:val="20"/>
          <w:color w:val="auto"/>
        </w:rPr>
        <w:t>FY2024: 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1905</wp:posOffset>
            </wp:positionV>
            <wp:extent cx="161163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161163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79" w:lineRule="exact"/>
        <w:rPr>
          <w:sz w:val="20"/>
          <w:szCs w:val="20"/>
          <w:color w:val="auto"/>
        </w:rPr>
      </w:pPr>
    </w:p>
    <w:p>
      <w:pPr>
        <w:jc w:val="both"/>
        <w:ind w:right="40"/>
        <w:spacing w:after="0" w:line="261" w:lineRule="auto"/>
        <w:rPr>
          <w:sz w:val="20"/>
          <w:szCs w:val="20"/>
          <w:color w:val="auto"/>
        </w:rPr>
      </w:pPr>
      <w:r>
        <w:rPr>
          <w:rFonts w:ascii="Arial" w:cs="Arial" w:eastAsia="Arial" w:hAnsi="Arial"/>
          <w:sz w:val="20"/>
          <w:szCs w:val="20"/>
          <w:color w:val="auto"/>
        </w:rPr>
        <w:t>The Audit Committee selects and oversees the independent auditor, reviews the scope and results of the annual audit, including critical audit matters, reviews critical accounting policies, reviews internal controls over financial reporting, pre-approves retention of the independent registered public accounting firm for any services, oversees our internal audit function, reviews and approves all material related party transactions, reviews regulatory examination results and addresses financial reporting risks. All members of the Audit Committee are independent. The Board has determined that Mr. Flanigan, Mr. Wilson, and Mr. Wimsett are each an “audit committee financial expert” as defined by the SEC because of their extensive accounting and financial experience. Please see the Audit Committee Report in this Proxy Statement for information about our 2024 fiscal year audit.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980440</wp:posOffset>
            </wp:positionV>
            <wp:extent cx="5254625"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5254625" cy="825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-1607820</wp:posOffset>
            </wp:positionV>
            <wp:extent cx="5254625"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5254625" cy="8255"/>
                    </a:xfrm>
                    <a:prstGeom prst="rect">
                      <a:avLst/>
                    </a:prstGeom>
                    <a:noFill/>
                  </pic:spPr>
                </pic:pic>
              </a:graphicData>
            </a:graphic>
          </wp:anchor>
        </w:drawing>
      </w:r>
    </w:p>
    <w:p>
      <w:pPr>
        <w:spacing w:after="0" w:line="1740" w:lineRule="exact"/>
        <w:rPr>
          <w:sz w:val="20"/>
          <w:szCs w:val="20"/>
          <w:color w:val="auto"/>
        </w:rPr>
      </w:pPr>
    </w:p>
    <w:p>
      <w:pPr>
        <w:sectPr>
          <w:pgSz w:w="11900" w:h="16838" w:orient="portrait"/>
          <w:cols w:equalWidth="0" w:num="2">
            <w:col w:w="2160" w:space="720"/>
            <w:col w:w="8280"/>
          </w:cols>
          <w:pgMar w:left="380" w:top="926" w:right="359" w:bottom="1440" w:gutter="0" w:footer="0" w:header="0"/>
        </w:sectPr>
      </w:pPr>
    </w:p>
    <w:p>
      <w:pPr>
        <w:spacing w:after="0" w:line="171" w:lineRule="exact"/>
        <w:rPr>
          <w:sz w:val="20"/>
          <w:szCs w:val="20"/>
          <w:color w:val="auto"/>
        </w:rPr>
      </w:pPr>
    </w:p>
    <w:p>
      <w:pPr>
        <w:ind w:left="20"/>
        <w:spacing w:after="0"/>
        <w:rPr>
          <w:sz w:val="20"/>
          <w:szCs w:val="20"/>
          <w:color w:val="auto"/>
        </w:rPr>
      </w:pPr>
      <w:r>
        <w:rPr>
          <w:rFonts w:ascii="Arial" w:cs="Arial" w:eastAsia="Arial" w:hAnsi="Arial"/>
          <w:sz w:val="20"/>
          <w:szCs w:val="20"/>
          <w:b w:val="1"/>
          <w:bCs w:val="1"/>
          <w:color w:val="auto"/>
        </w:rPr>
        <w:t>Human Capital &amp; Compensation Committee</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255"/>
        </w:trPr>
        <w:tc>
          <w:tcPr>
            <w:tcW w:w="2500" w:type="dxa"/>
            <w:vAlign w:val="bottom"/>
            <w:tcBorders>
              <w:top w:val="single" w:sz="8" w:color="auto"/>
            </w:tcBorders>
          </w:tcPr>
          <w:p>
            <w:pPr>
              <w:ind w:left="20"/>
              <w:spacing w:after="0"/>
              <w:rPr>
                <w:sz w:val="20"/>
                <w:szCs w:val="20"/>
                <w:color w:val="auto"/>
              </w:rPr>
            </w:pPr>
            <w:r>
              <w:rPr>
                <w:rFonts w:ascii="Arial" w:cs="Arial" w:eastAsia="Arial" w:hAnsi="Arial"/>
                <w:sz w:val="20"/>
                <w:szCs w:val="20"/>
                <w:b w:val="1"/>
                <w:bCs w:val="1"/>
                <w:color w:val="auto"/>
                <w:w w:val="99"/>
              </w:rPr>
              <w:t xml:space="preserve">Shruti S. Miyashiro </w:t>
            </w:r>
            <w:r>
              <w:rPr>
                <w:rFonts w:ascii="Arial" w:cs="Arial" w:eastAsia="Arial" w:hAnsi="Arial"/>
                <w:sz w:val="20"/>
                <w:szCs w:val="20"/>
                <w:color w:val="auto"/>
                <w:w w:val="99"/>
              </w:rPr>
              <w:t>(Chair)</w:t>
            </w:r>
          </w:p>
        </w:tc>
        <w:tc>
          <w:tcPr>
            <w:tcW w:w="8640" w:type="dxa"/>
            <w:vAlign w:val="bottom"/>
            <w:tcBorders>
              <w:top w:val="single" w:sz="8" w:color="auto"/>
            </w:tcBorders>
          </w:tcPr>
          <w:p>
            <w:pPr>
              <w:ind w:left="360"/>
              <w:spacing w:after="0"/>
              <w:rPr>
                <w:sz w:val="20"/>
                <w:szCs w:val="20"/>
                <w:color w:val="auto"/>
              </w:rPr>
            </w:pPr>
            <w:r>
              <w:rPr>
                <w:rFonts w:ascii="Arial" w:cs="Arial" w:eastAsia="Arial" w:hAnsi="Arial"/>
                <w:sz w:val="20"/>
                <w:szCs w:val="20"/>
                <w:color w:val="auto"/>
              </w:rPr>
              <w:t>The Human Capital &amp; Compensation Committee establishes and reviews the compensation,</w:t>
            </w:r>
          </w:p>
        </w:tc>
        <w:tc>
          <w:tcPr>
            <w:tcW w:w="0" w:type="dxa"/>
            <w:vAlign w:val="bottom"/>
          </w:tcPr>
          <w:p>
            <w:pPr>
              <w:spacing w:after="0"/>
              <w:rPr>
                <w:sz w:val="1"/>
                <w:szCs w:val="1"/>
                <w:color w:val="auto"/>
              </w:rPr>
            </w:pPr>
          </w:p>
        </w:tc>
      </w:tr>
      <w:tr>
        <w:trPr>
          <w:trHeight w:val="251"/>
        </w:trPr>
        <w:tc>
          <w:tcPr>
            <w:tcW w:w="2500" w:type="dxa"/>
            <w:vAlign w:val="bottom"/>
            <w:tcBorders>
              <w:bottom w:val="single" w:sz="8" w:color="DBDBDB"/>
            </w:tcBorders>
          </w:tcPr>
          <w:p>
            <w:pPr>
              <w:spacing w:after="0"/>
              <w:rPr>
                <w:sz w:val="21"/>
                <w:szCs w:val="21"/>
                <w:color w:val="auto"/>
              </w:rPr>
            </w:pPr>
          </w:p>
        </w:tc>
        <w:tc>
          <w:tcPr>
            <w:tcW w:w="8640" w:type="dxa"/>
            <w:vAlign w:val="bottom"/>
          </w:tcPr>
          <w:p>
            <w:pPr>
              <w:ind w:left="360"/>
              <w:spacing w:after="0"/>
              <w:rPr>
                <w:sz w:val="20"/>
                <w:szCs w:val="20"/>
                <w:color w:val="auto"/>
              </w:rPr>
            </w:pPr>
            <w:r>
              <w:rPr>
                <w:rFonts w:ascii="Arial" w:cs="Arial" w:eastAsia="Arial" w:hAnsi="Arial"/>
                <w:sz w:val="20"/>
                <w:szCs w:val="20"/>
                <w:color w:val="auto"/>
              </w:rPr>
              <w:t>perquisites, and benefits of the Company’s executive officers, evaluates the performance of</w:t>
            </w:r>
          </w:p>
        </w:tc>
        <w:tc>
          <w:tcPr>
            <w:tcW w:w="0" w:type="dxa"/>
            <w:vAlign w:val="bottom"/>
          </w:tcPr>
          <w:p>
            <w:pPr>
              <w:spacing w:after="0"/>
              <w:rPr>
                <w:sz w:val="1"/>
                <w:szCs w:val="1"/>
                <w:color w:val="auto"/>
              </w:rPr>
            </w:pPr>
          </w:p>
        </w:tc>
      </w:tr>
      <w:tr>
        <w:trPr>
          <w:trHeight w:val="228"/>
        </w:trPr>
        <w:tc>
          <w:tcPr>
            <w:tcW w:w="2500" w:type="dxa"/>
            <w:vAlign w:val="bottom"/>
          </w:tcPr>
          <w:p>
            <w:pPr>
              <w:ind w:left="20"/>
              <w:spacing w:after="0" w:line="229" w:lineRule="exact"/>
              <w:rPr>
                <w:sz w:val="20"/>
                <w:szCs w:val="20"/>
                <w:color w:val="auto"/>
              </w:rPr>
            </w:pPr>
            <w:r>
              <w:rPr>
                <w:rFonts w:ascii="Arial" w:cs="Arial" w:eastAsia="Arial" w:hAnsi="Arial"/>
                <w:sz w:val="20"/>
                <w:szCs w:val="20"/>
                <w:b w:val="1"/>
                <w:bCs w:val="1"/>
                <w:color w:val="auto"/>
              </w:rPr>
              <w:t>Matthew C. Flanigan</w:t>
            </w:r>
          </w:p>
        </w:tc>
        <w:tc>
          <w:tcPr>
            <w:tcW w:w="8640" w:type="dxa"/>
            <w:vAlign w:val="bottom"/>
          </w:tcPr>
          <w:p>
            <w:pPr>
              <w:ind w:left="360"/>
              <w:spacing w:after="0" w:line="229" w:lineRule="exact"/>
              <w:rPr>
                <w:sz w:val="20"/>
                <w:szCs w:val="20"/>
                <w:color w:val="auto"/>
              </w:rPr>
            </w:pPr>
            <w:r>
              <w:rPr>
                <w:rFonts w:ascii="Arial" w:cs="Arial" w:eastAsia="Arial" w:hAnsi="Arial"/>
                <w:sz w:val="20"/>
                <w:szCs w:val="20"/>
                <w:color w:val="auto"/>
              </w:rPr>
              <w:t>senior executive officers, makes recommendations to the Board on director compensation,</w:t>
            </w:r>
          </w:p>
        </w:tc>
        <w:tc>
          <w:tcPr>
            <w:tcW w:w="0" w:type="dxa"/>
            <w:vAlign w:val="bottom"/>
          </w:tcPr>
          <w:p>
            <w:pPr>
              <w:spacing w:after="0"/>
              <w:rPr>
                <w:sz w:val="1"/>
                <w:szCs w:val="1"/>
                <w:color w:val="auto"/>
              </w:rPr>
            </w:pPr>
          </w:p>
        </w:tc>
      </w:tr>
      <w:tr>
        <w:trPr>
          <w:trHeight w:val="238"/>
        </w:trPr>
        <w:tc>
          <w:tcPr>
            <w:tcW w:w="2500" w:type="dxa"/>
            <w:vAlign w:val="bottom"/>
            <w:tcBorders>
              <w:bottom w:val="single" w:sz="8" w:color="DBDBDB"/>
            </w:tcBorders>
          </w:tcPr>
          <w:p>
            <w:pPr>
              <w:spacing w:after="0"/>
              <w:rPr>
                <w:sz w:val="20"/>
                <w:szCs w:val="20"/>
                <w:color w:val="auto"/>
              </w:rPr>
            </w:pPr>
          </w:p>
        </w:tc>
        <w:tc>
          <w:tcPr>
            <w:tcW w:w="8640" w:type="dxa"/>
            <w:vAlign w:val="bottom"/>
          </w:tcPr>
          <w:p>
            <w:pPr>
              <w:ind w:left="360"/>
              <w:spacing w:after="0"/>
              <w:rPr>
                <w:sz w:val="20"/>
                <w:szCs w:val="20"/>
                <w:color w:val="auto"/>
              </w:rPr>
            </w:pPr>
            <w:r>
              <w:rPr>
                <w:rFonts w:ascii="Arial" w:cs="Arial" w:eastAsia="Arial" w:hAnsi="Arial"/>
                <w:sz w:val="20"/>
                <w:szCs w:val="20"/>
                <w:color w:val="auto"/>
                <w:w w:val="99"/>
              </w:rPr>
              <w:t>considers incentive compensation plans for our employees, and carries out duties assigned to</w:t>
            </w:r>
          </w:p>
        </w:tc>
        <w:tc>
          <w:tcPr>
            <w:tcW w:w="0" w:type="dxa"/>
            <w:vAlign w:val="bottom"/>
          </w:tcPr>
          <w:p>
            <w:pPr>
              <w:spacing w:after="0"/>
              <w:rPr>
                <w:sz w:val="1"/>
                <w:szCs w:val="1"/>
                <w:color w:val="auto"/>
              </w:rPr>
            </w:pPr>
          </w:p>
        </w:tc>
      </w:tr>
      <w:tr>
        <w:trPr>
          <w:trHeight w:val="228"/>
        </w:trPr>
        <w:tc>
          <w:tcPr>
            <w:tcW w:w="2500" w:type="dxa"/>
            <w:vAlign w:val="bottom"/>
          </w:tcPr>
          <w:p>
            <w:pPr>
              <w:ind w:left="20"/>
              <w:spacing w:after="0" w:line="229" w:lineRule="exact"/>
              <w:rPr>
                <w:sz w:val="20"/>
                <w:szCs w:val="20"/>
                <w:color w:val="auto"/>
              </w:rPr>
            </w:pPr>
            <w:r>
              <w:rPr>
                <w:rFonts w:ascii="Arial" w:cs="Arial" w:eastAsia="Arial" w:hAnsi="Arial"/>
                <w:sz w:val="20"/>
                <w:szCs w:val="20"/>
                <w:b w:val="1"/>
                <w:bCs w:val="1"/>
                <w:color w:val="auto"/>
              </w:rPr>
              <w:t>Curtis A. Campbell</w:t>
            </w:r>
          </w:p>
        </w:tc>
        <w:tc>
          <w:tcPr>
            <w:tcW w:w="8640" w:type="dxa"/>
            <w:vAlign w:val="bottom"/>
          </w:tcPr>
          <w:p>
            <w:pPr>
              <w:ind w:left="360"/>
              <w:spacing w:after="0" w:line="229" w:lineRule="exact"/>
              <w:rPr>
                <w:sz w:val="20"/>
                <w:szCs w:val="20"/>
                <w:color w:val="auto"/>
              </w:rPr>
            </w:pPr>
            <w:r>
              <w:rPr>
                <w:rFonts w:ascii="Arial" w:cs="Arial" w:eastAsia="Arial" w:hAnsi="Arial"/>
                <w:sz w:val="20"/>
                <w:szCs w:val="20"/>
                <w:color w:val="auto"/>
              </w:rPr>
              <w:t>the Human Capital &amp; Compensation Committee under our equity compensation plans and</w:t>
            </w:r>
          </w:p>
        </w:tc>
        <w:tc>
          <w:tcPr>
            <w:tcW w:w="0" w:type="dxa"/>
            <w:vAlign w:val="bottom"/>
          </w:tcPr>
          <w:p>
            <w:pPr>
              <w:spacing w:after="0"/>
              <w:rPr>
                <w:sz w:val="1"/>
                <w:szCs w:val="1"/>
                <w:color w:val="auto"/>
              </w:rPr>
            </w:pPr>
          </w:p>
        </w:tc>
      </w:tr>
      <w:tr>
        <w:trPr>
          <w:trHeight w:val="256"/>
        </w:trPr>
        <w:tc>
          <w:tcPr>
            <w:tcW w:w="2500" w:type="dxa"/>
            <w:vAlign w:val="bottom"/>
          </w:tcPr>
          <w:p>
            <w:pPr>
              <w:spacing w:after="0"/>
              <w:rPr>
                <w:sz w:val="22"/>
                <w:szCs w:val="22"/>
                <w:color w:val="auto"/>
              </w:rPr>
            </w:pPr>
          </w:p>
        </w:tc>
        <w:tc>
          <w:tcPr>
            <w:tcW w:w="8640" w:type="dxa"/>
            <w:vAlign w:val="bottom"/>
          </w:tcPr>
          <w:p>
            <w:pPr>
              <w:ind w:left="360"/>
              <w:spacing w:after="0"/>
              <w:rPr>
                <w:sz w:val="20"/>
                <w:szCs w:val="20"/>
                <w:color w:val="auto"/>
              </w:rPr>
            </w:pPr>
            <w:r>
              <w:rPr>
                <w:rFonts w:ascii="Arial" w:cs="Arial" w:eastAsia="Arial" w:hAnsi="Arial"/>
                <w:sz w:val="20"/>
                <w:szCs w:val="20"/>
                <w:color w:val="auto"/>
              </w:rPr>
              <w:t>employee stock purchase plan. Under its charter, the Human Capital &amp; Compensation</w:t>
            </w:r>
          </w:p>
        </w:tc>
        <w:tc>
          <w:tcPr>
            <w:tcW w:w="0" w:type="dxa"/>
            <w:vAlign w:val="bottom"/>
          </w:tcPr>
          <w:p>
            <w:pPr>
              <w:spacing w:after="0"/>
              <w:rPr>
                <w:sz w:val="1"/>
                <w:szCs w:val="1"/>
                <w:color w:val="auto"/>
              </w:rPr>
            </w:pPr>
          </w:p>
        </w:tc>
      </w:tr>
      <w:tr>
        <w:trPr>
          <w:trHeight w:val="22"/>
        </w:trPr>
        <w:tc>
          <w:tcPr>
            <w:tcW w:w="2500" w:type="dxa"/>
            <w:vAlign w:val="bottom"/>
            <w:tcBorders>
              <w:bottom w:val="single" w:sz="8" w:color="DBDBDB"/>
            </w:tcBorders>
          </w:tcPr>
          <w:p>
            <w:pPr>
              <w:spacing w:after="0" w:line="20" w:lineRule="exact"/>
              <w:rPr>
                <w:sz w:val="1"/>
                <w:szCs w:val="1"/>
                <w:color w:val="auto"/>
              </w:rPr>
            </w:pPr>
          </w:p>
        </w:tc>
        <w:tc>
          <w:tcPr>
            <w:tcW w:w="8640" w:type="dxa"/>
            <w:vAlign w:val="bottom"/>
            <w:vMerge w:val="restart"/>
          </w:tcPr>
          <w:p>
            <w:pPr>
              <w:ind w:left="360"/>
              <w:spacing w:after="0"/>
              <w:rPr>
                <w:sz w:val="20"/>
                <w:szCs w:val="20"/>
                <w:color w:val="auto"/>
              </w:rPr>
            </w:pPr>
            <w:r>
              <w:rPr>
                <w:rFonts w:ascii="Arial" w:cs="Arial" w:eastAsia="Arial" w:hAnsi="Arial"/>
                <w:sz w:val="20"/>
                <w:szCs w:val="20"/>
                <w:color w:val="auto"/>
              </w:rPr>
              <w:t>Committee has the authority to delegate certain responsibilities to subcommittees, but it may</w:t>
            </w:r>
          </w:p>
        </w:tc>
        <w:tc>
          <w:tcPr>
            <w:tcW w:w="0" w:type="dxa"/>
            <w:vAlign w:val="bottom"/>
          </w:tcPr>
          <w:p>
            <w:pPr>
              <w:spacing w:after="0"/>
              <w:rPr>
                <w:sz w:val="1"/>
                <w:szCs w:val="1"/>
                <w:color w:val="auto"/>
              </w:rPr>
            </w:pPr>
          </w:p>
        </w:tc>
      </w:tr>
      <w:tr>
        <w:trPr>
          <w:trHeight w:val="201"/>
        </w:trPr>
        <w:tc>
          <w:tcPr>
            <w:tcW w:w="2500" w:type="dxa"/>
            <w:vAlign w:val="bottom"/>
          </w:tcPr>
          <w:p>
            <w:pPr>
              <w:ind w:left="20"/>
              <w:spacing w:after="0" w:line="202" w:lineRule="exact"/>
              <w:rPr>
                <w:sz w:val="20"/>
                <w:szCs w:val="20"/>
                <w:color w:val="auto"/>
              </w:rPr>
            </w:pPr>
            <w:r>
              <w:rPr>
                <w:rFonts w:ascii="Arial" w:cs="Arial" w:eastAsia="Arial" w:hAnsi="Arial"/>
                <w:sz w:val="20"/>
                <w:szCs w:val="20"/>
                <w:b w:val="1"/>
                <w:bCs w:val="1"/>
                <w:color w:val="auto"/>
              </w:rPr>
              <w:t>Tammy S. LoCascio</w:t>
            </w:r>
          </w:p>
        </w:tc>
        <w:tc>
          <w:tcPr>
            <w:tcW w:w="86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2500" w:type="dxa"/>
            <w:vAlign w:val="bottom"/>
          </w:tcPr>
          <w:p>
            <w:pPr>
              <w:spacing w:after="0"/>
              <w:rPr>
                <w:sz w:val="21"/>
                <w:szCs w:val="21"/>
                <w:color w:val="auto"/>
              </w:rPr>
            </w:pPr>
          </w:p>
        </w:tc>
        <w:tc>
          <w:tcPr>
            <w:tcW w:w="8640" w:type="dxa"/>
            <w:vAlign w:val="bottom"/>
          </w:tcPr>
          <w:p>
            <w:pPr>
              <w:ind w:left="360"/>
              <w:spacing w:after="0"/>
              <w:rPr>
                <w:sz w:val="20"/>
                <w:szCs w:val="20"/>
                <w:color w:val="auto"/>
              </w:rPr>
            </w:pPr>
            <w:r>
              <w:rPr>
                <w:rFonts w:ascii="Arial" w:cs="Arial" w:eastAsia="Arial" w:hAnsi="Arial"/>
                <w:sz w:val="20"/>
                <w:szCs w:val="20"/>
                <w:color w:val="auto"/>
              </w:rPr>
              <w:t>not delegate any matter relating to senior executive compensation. To date, the Human</w:t>
            </w:r>
          </w:p>
        </w:tc>
        <w:tc>
          <w:tcPr>
            <w:tcW w:w="0" w:type="dxa"/>
            <w:vAlign w:val="bottom"/>
          </w:tcPr>
          <w:p>
            <w:pPr>
              <w:spacing w:after="0"/>
              <w:rPr>
                <w:sz w:val="1"/>
                <w:szCs w:val="1"/>
                <w:color w:val="auto"/>
              </w:rPr>
            </w:pPr>
          </w:p>
        </w:tc>
      </w:tr>
      <w:tr>
        <w:trPr>
          <w:trHeight w:val="62"/>
        </w:trPr>
        <w:tc>
          <w:tcPr>
            <w:tcW w:w="2500" w:type="dxa"/>
            <w:vAlign w:val="bottom"/>
            <w:tcBorders>
              <w:bottom w:val="single" w:sz="8" w:color="DBDBDB"/>
            </w:tcBorders>
          </w:tcPr>
          <w:p>
            <w:pPr>
              <w:spacing w:after="0"/>
              <w:rPr>
                <w:sz w:val="5"/>
                <w:szCs w:val="5"/>
                <w:color w:val="auto"/>
              </w:rPr>
            </w:pPr>
          </w:p>
        </w:tc>
        <w:tc>
          <w:tcPr>
            <w:tcW w:w="8640" w:type="dxa"/>
            <w:vAlign w:val="bottom"/>
            <w:vMerge w:val="restart"/>
          </w:tcPr>
          <w:p>
            <w:pPr>
              <w:ind w:left="360"/>
              <w:spacing w:after="0"/>
              <w:rPr>
                <w:sz w:val="20"/>
                <w:szCs w:val="20"/>
                <w:color w:val="auto"/>
              </w:rPr>
            </w:pPr>
            <w:r>
              <w:rPr>
                <w:rFonts w:ascii="Arial" w:cs="Arial" w:eastAsia="Arial" w:hAnsi="Arial"/>
                <w:sz w:val="20"/>
                <w:szCs w:val="20"/>
                <w:color w:val="auto"/>
                <w:w w:val="99"/>
              </w:rPr>
              <w:t>Capital &amp; Compensation Committee has not delegated any of its responsibilities. All members</w:t>
            </w:r>
          </w:p>
        </w:tc>
        <w:tc>
          <w:tcPr>
            <w:tcW w:w="0" w:type="dxa"/>
            <w:vAlign w:val="bottom"/>
          </w:tcPr>
          <w:p>
            <w:pPr>
              <w:spacing w:after="0"/>
              <w:rPr>
                <w:sz w:val="1"/>
                <w:szCs w:val="1"/>
                <w:color w:val="auto"/>
              </w:rPr>
            </w:pPr>
          </w:p>
        </w:tc>
      </w:tr>
      <w:tr>
        <w:trPr>
          <w:trHeight w:val="174"/>
        </w:trPr>
        <w:tc>
          <w:tcPr>
            <w:tcW w:w="2500" w:type="dxa"/>
            <w:vAlign w:val="bottom"/>
          </w:tcPr>
          <w:p>
            <w:pPr>
              <w:spacing w:after="0"/>
              <w:rPr>
                <w:sz w:val="15"/>
                <w:szCs w:val="15"/>
                <w:color w:val="auto"/>
              </w:rPr>
            </w:pPr>
          </w:p>
        </w:tc>
        <w:tc>
          <w:tcPr>
            <w:tcW w:w="86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500" w:type="dxa"/>
            <w:vAlign w:val="bottom"/>
          </w:tcPr>
          <w:p>
            <w:pPr>
              <w:spacing w:after="0"/>
              <w:rPr>
                <w:sz w:val="21"/>
                <w:szCs w:val="21"/>
                <w:color w:val="auto"/>
              </w:rPr>
            </w:pPr>
          </w:p>
        </w:tc>
        <w:tc>
          <w:tcPr>
            <w:tcW w:w="8640" w:type="dxa"/>
            <w:vAlign w:val="bottom"/>
          </w:tcPr>
          <w:p>
            <w:pPr>
              <w:ind w:left="360"/>
              <w:spacing w:after="0"/>
              <w:rPr>
                <w:sz w:val="20"/>
                <w:szCs w:val="20"/>
                <w:color w:val="auto"/>
              </w:rPr>
            </w:pPr>
            <w:r>
              <w:rPr>
                <w:rFonts w:ascii="Arial" w:cs="Arial" w:eastAsia="Arial" w:hAnsi="Arial"/>
                <w:sz w:val="20"/>
                <w:szCs w:val="20"/>
                <w:color w:val="auto"/>
              </w:rPr>
              <w:t>of the Human Capital &amp; Compensation Committee are independent. Please see the Human</w:t>
            </w:r>
          </w:p>
        </w:tc>
        <w:tc>
          <w:tcPr>
            <w:tcW w:w="0" w:type="dxa"/>
            <w:vAlign w:val="bottom"/>
          </w:tcPr>
          <w:p>
            <w:pPr>
              <w:spacing w:after="0"/>
              <w:rPr>
                <w:sz w:val="1"/>
                <w:szCs w:val="1"/>
                <w:color w:val="auto"/>
              </w:rPr>
            </w:pPr>
          </w:p>
        </w:tc>
      </w:tr>
      <w:tr>
        <w:trPr>
          <w:trHeight w:val="243"/>
        </w:trPr>
        <w:tc>
          <w:tcPr>
            <w:tcW w:w="2500" w:type="dxa"/>
            <w:vAlign w:val="bottom"/>
          </w:tcPr>
          <w:p>
            <w:pPr>
              <w:spacing w:after="0"/>
              <w:rPr>
                <w:sz w:val="21"/>
                <w:szCs w:val="21"/>
                <w:color w:val="auto"/>
              </w:rPr>
            </w:pPr>
          </w:p>
        </w:tc>
        <w:tc>
          <w:tcPr>
            <w:tcW w:w="8640" w:type="dxa"/>
            <w:vAlign w:val="bottom"/>
          </w:tcPr>
          <w:p>
            <w:pPr>
              <w:ind w:left="360"/>
              <w:spacing w:after="0"/>
              <w:rPr>
                <w:sz w:val="20"/>
                <w:szCs w:val="20"/>
                <w:color w:val="auto"/>
              </w:rPr>
            </w:pPr>
            <w:r>
              <w:rPr>
                <w:rFonts w:ascii="Arial" w:cs="Arial" w:eastAsia="Arial" w:hAnsi="Arial"/>
                <w:sz w:val="20"/>
                <w:szCs w:val="20"/>
                <w:color w:val="auto"/>
                <w:w w:val="99"/>
              </w:rPr>
              <w:t>Capital &amp; Compensation Committee Report and the Compensation Discussion and Analysis in</w:t>
            </w:r>
          </w:p>
        </w:tc>
        <w:tc>
          <w:tcPr>
            <w:tcW w:w="0" w:type="dxa"/>
            <w:vAlign w:val="bottom"/>
          </w:tcPr>
          <w:p>
            <w:pPr>
              <w:spacing w:after="0"/>
              <w:rPr>
                <w:sz w:val="1"/>
                <w:szCs w:val="1"/>
                <w:color w:val="auto"/>
              </w:rPr>
            </w:pPr>
          </w:p>
        </w:tc>
      </w:tr>
      <w:tr>
        <w:trPr>
          <w:trHeight w:val="257"/>
        </w:trPr>
        <w:tc>
          <w:tcPr>
            <w:tcW w:w="2500" w:type="dxa"/>
            <w:vAlign w:val="bottom"/>
          </w:tcPr>
          <w:p>
            <w:pPr>
              <w:spacing w:after="0"/>
              <w:rPr>
                <w:sz w:val="22"/>
                <w:szCs w:val="22"/>
                <w:color w:val="auto"/>
              </w:rPr>
            </w:pPr>
          </w:p>
        </w:tc>
        <w:tc>
          <w:tcPr>
            <w:tcW w:w="8640" w:type="dxa"/>
            <w:vAlign w:val="bottom"/>
          </w:tcPr>
          <w:p>
            <w:pPr>
              <w:ind w:left="360"/>
              <w:spacing w:after="0"/>
              <w:rPr>
                <w:sz w:val="20"/>
                <w:szCs w:val="20"/>
                <w:color w:val="auto"/>
              </w:rPr>
            </w:pPr>
            <w:r>
              <w:rPr>
                <w:rFonts w:ascii="Arial" w:cs="Arial" w:eastAsia="Arial" w:hAnsi="Arial"/>
                <w:sz w:val="20"/>
                <w:szCs w:val="20"/>
                <w:color w:val="auto"/>
              </w:rPr>
              <w:t>this Proxy Statement for further information about the Human Capital &amp; Compensation</w:t>
            </w:r>
          </w:p>
        </w:tc>
        <w:tc>
          <w:tcPr>
            <w:tcW w:w="0" w:type="dxa"/>
            <w:vAlign w:val="bottom"/>
          </w:tcPr>
          <w:p>
            <w:pPr>
              <w:spacing w:after="0"/>
              <w:rPr>
                <w:sz w:val="1"/>
                <w:szCs w:val="1"/>
                <w:color w:val="auto"/>
              </w:rPr>
            </w:pPr>
          </w:p>
        </w:tc>
      </w:tr>
      <w:tr>
        <w:trPr>
          <w:trHeight w:val="261"/>
        </w:trPr>
        <w:tc>
          <w:tcPr>
            <w:tcW w:w="2500" w:type="dxa"/>
            <w:vAlign w:val="bottom"/>
          </w:tcPr>
          <w:p>
            <w:pPr>
              <w:spacing w:after="0"/>
              <w:rPr>
                <w:sz w:val="22"/>
                <w:szCs w:val="22"/>
                <w:color w:val="auto"/>
              </w:rPr>
            </w:pPr>
          </w:p>
        </w:tc>
        <w:tc>
          <w:tcPr>
            <w:tcW w:w="8640" w:type="dxa"/>
            <w:vAlign w:val="bottom"/>
          </w:tcPr>
          <w:p>
            <w:pPr>
              <w:ind w:left="360"/>
              <w:spacing w:after="0"/>
              <w:rPr>
                <w:sz w:val="20"/>
                <w:szCs w:val="20"/>
                <w:color w:val="auto"/>
              </w:rPr>
            </w:pPr>
            <w:r>
              <w:rPr>
                <w:rFonts w:ascii="Arial" w:cs="Arial" w:eastAsia="Arial" w:hAnsi="Arial"/>
                <w:sz w:val="20"/>
                <w:szCs w:val="20"/>
                <w:color w:val="auto"/>
              </w:rPr>
              <w:t>Committee’s process and decisions in fiscal 2024.</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0"/>
        <w:spacing w:after="0"/>
        <w:rPr>
          <w:sz w:val="20"/>
          <w:szCs w:val="20"/>
          <w:color w:val="auto"/>
        </w:rPr>
      </w:pPr>
      <w:r>
        <w:rPr>
          <w:rFonts w:ascii="Arial" w:cs="Arial" w:eastAsia="Arial" w:hAnsi="Arial"/>
          <w:sz w:val="20"/>
          <w:szCs w:val="20"/>
          <w:color w:val="auto"/>
        </w:rPr>
        <w:t>Meetings in</w:t>
      </w:r>
    </w:p>
    <w:p>
      <w:pPr>
        <w:ind w:left="20"/>
        <w:spacing w:after="0"/>
        <w:rPr>
          <w:sz w:val="20"/>
          <w:szCs w:val="20"/>
          <w:color w:val="auto"/>
        </w:rPr>
      </w:pPr>
      <w:r>
        <w:rPr>
          <w:rFonts w:ascii="Arial" w:cs="Arial" w:eastAsia="Arial" w:hAnsi="Arial"/>
          <w:sz w:val="20"/>
          <w:szCs w:val="20"/>
          <w:color w:val="auto"/>
        </w:rPr>
        <w:t>FY2024: 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10795</wp:posOffset>
            </wp:positionV>
            <wp:extent cx="7071995"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071995" cy="8890"/>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430530</wp:posOffset>
            </wp:positionV>
            <wp:extent cx="7132320" cy="3511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32320" cy="3511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right"/>
        <w:spacing w:after="0"/>
        <w:tabs>
          <w:tab w:leader="none" w:pos="180" w:val="left"/>
        </w:tabs>
        <w:rPr>
          <w:sz w:val="20"/>
          <w:szCs w:val="20"/>
          <w:color w:val="auto"/>
        </w:rPr>
      </w:pPr>
      <w:r>
        <w:rPr>
          <w:rFonts w:ascii="Arial" w:cs="Arial" w:eastAsia="Arial" w:hAnsi="Arial"/>
          <w:sz w:val="18"/>
          <w:szCs w:val="18"/>
          <w:color w:val="auto"/>
        </w:rPr>
        <w:t>2024 Proxy Statement</w:t>
      </w:r>
      <w:r>
        <w:rPr>
          <w:sz w:val="20"/>
          <w:szCs w:val="20"/>
          <w:color w:val="auto"/>
        </w:rPr>
        <w:tab/>
      </w:r>
      <w:r>
        <w:rPr>
          <w:rFonts w:ascii="Arial" w:cs="Arial" w:eastAsia="Arial" w:hAnsi="Arial"/>
          <w:sz w:val="17"/>
          <w:szCs w:val="17"/>
          <w:color w:val="1E3767"/>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253365</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80" w:top="926" w:right="359" w:bottom="1440" w:gutter="0" w:footer="0" w:header="0"/>
          <w:type w:val="continuous"/>
        </w:sectPr>
      </w:pPr>
    </w:p>
    <w:bookmarkStart w:id="22" w:name="page23"/>
    <w:bookmarkEnd w:id="22"/>
    <w:p>
      <w:pPr>
        <w:ind w:left="80"/>
        <w:spacing w:after="0"/>
        <w:rPr>
          <w:sz w:val="20"/>
          <w:szCs w:val="20"/>
          <w:color w:val="auto"/>
        </w:rPr>
      </w:pPr>
      <w:r>
        <w:rPr>
          <w:rFonts w:ascii="Arial" w:cs="Arial" w:eastAsia="Arial" w:hAnsi="Arial"/>
          <w:sz w:val="20"/>
          <w:szCs w:val="20"/>
          <w:b w:val="1"/>
          <w:bCs w:val="1"/>
          <w:color w:val="auto"/>
        </w:rPr>
        <w:t>Governance Committee</w:t>
      </w:r>
    </w:p>
    <w:p>
      <w:pPr>
        <w:spacing w:after="0" w:line="37" w:lineRule="exact"/>
        <w:rPr>
          <w:sz w:val="20"/>
          <w:szCs w:val="20"/>
          <w:color w:val="auto"/>
        </w:rPr>
      </w:pPr>
    </w:p>
    <w:tbl>
      <w:tblPr>
        <w:tblLayout w:type="fixed"/>
        <w:tblInd w:w="60" w:type="dxa"/>
        <w:tblCellMar>
          <w:top w:w="0" w:type="dxa"/>
          <w:left w:w="0" w:type="dxa"/>
          <w:bottom w:w="0" w:type="dxa"/>
          <w:right w:w="0" w:type="dxa"/>
        </w:tblCellMar>
      </w:tblPr>
      <w:tr>
        <w:trPr>
          <w:trHeight w:val="255"/>
        </w:trPr>
        <w:tc>
          <w:tcPr>
            <w:tcW w:w="2560" w:type="dxa"/>
            <w:vAlign w:val="bottom"/>
            <w:tcBorders>
              <w:top w:val="single" w:sz="8" w:color="auto"/>
            </w:tcBorders>
          </w:tcPr>
          <w:p>
            <w:pPr>
              <w:ind w:left="20"/>
              <w:spacing w:after="0"/>
              <w:rPr>
                <w:sz w:val="20"/>
                <w:szCs w:val="20"/>
                <w:color w:val="auto"/>
              </w:rPr>
            </w:pPr>
            <w:r>
              <w:rPr>
                <w:rFonts w:ascii="Arial" w:cs="Arial" w:eastAsia="Arial" w:hAnsi="Arial"/>
                <w:sz w:val="20"/>
                <w:szCs w:val="20"/>
                <w:b w:val="1"/>
                <w:bCs w:val="1"/>
                <w:color w:val="auto"/>
              </w:rPr>
              <w:t xml:space="preserve">Curtis A. Campbell </w:t>
            </w:r>
            <w:r>
              <w:rPr>
                <w:rFonts w:ascii="Arial" w:cs="Arial" w:eastAsia="Arial" w:hAnsi="Arial"/>
                <w:sz w:val="20"/>
                <w:szCs w:val="20"/>
                <w:color w:val="auto"/>
              </w:rPr>
              <w:t>(Chair)</w:t>
            </w:r>
          </w:p>
        </w:tc>
        <w:tc>
          <w:tcPr>
            <w:tcW w:w="340" w:type="dxa"/>
            <w:vAlign w:val="bottom"/>
            <w:tcBorders>
              <w:top w:val="single" w:sz="8" w:color="auto"/>
            </w:tcBorders>
          </w:tcPr>
          <w:p>
            <w:pPr>
              <w:spacing w:after="0"/>
              <w:rPr>
                <w:sz w:val="22"/>
                <w:szCs w:val="22"/>
                <w:color w:val="auto"/>
              </w:rPr>
            </w:pPr>
          </w:p>
        </w:tc>
        <w:tc>
          <w:tcPr>
            <w:tcW w:w="8240" w:type="dxa"/>
            <w:vAlign w:val="bottom"/>
            <w:tcBorders>
              <w:top w:val="single" w:sz="8" w:color="auto"/>
            </w:tcBorders>
          </w:tcPr>
          <w:p>
            <w:pPr>
              <w:ind w:left="20"/>
              <w:spacing w:after="0"/>
              <w:rPr>
                <w:sz w:val="20"/>
                <w:szCs w:val="20"/>
                <w:color w:val="auto"/>
              </w:rPr>
            </w:pPr>
            <w:r>
              <w:rPr>
                <w:rFonts w:ascii="Arial" w:cs="Arial" w:eastAsia="Arial" w:hAnsi="Arial"/>
                <w:sz w:val="20"/>
                <w:szCs w:val="20"/>
                <w:color w:val="auto"/>
              </w:rPr>
              <w:t>The Governance Committee identifies, evaluates, and recruits qualified individuals to stand</w:t>
            </w:r>
          </w:p>
        </w:tc>
        <w:tc>
          <w:tcPr>
            <w:tcW w:w="0" w:type="dxa"/>
            <w:vAlign w:val="bottom"/>
          </w:tcPr>
          <w:p>
            <w:pPr>
              <w:spacing w:after="0"/>
              <w:rPr>
                <w:sz w:val="1"/>
                <w:szCs w:val="1"/>
                <w:color w:val="auto"/>
              </w:rPr>
            </w:pPr>
          </w:p>
        </w:tc>
      </w:tr>
      <w:tr>
        <w:trPr>
          <w:trHeight w:val="256"/>
        </w:trPr>
        <w:tc>
          <w:tcPr>
            <w:tcW w:w="25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8240" w:type="dxa"/>
            <w:vAlign w:val="bottom"/>
          </w:tcPr>
          <w:p>
            <w:pPr>
              <w:ind w:left="20"/>
              <w:spacing w:after="0"/>
              <w:rPr>
                <w:sz w:val="20"/>
                <w:szCs w:val="20"/>
                <w:color w:val="auto"/>
              </w:rPr>
            </w:pPr>
            <w:r>
              <w:rPr>
                <w:rFonts w:ascii="Arial" w:cs="Arial" w:eastAsia="Arial" w:hAnsi="Arial"/>
                <w:sz w:val="20"/>
                <w:szCs w:val="20"/>
                <w:color w:val="auto"/>
              </w:rPr>
              <w:t>for election to the Board, recommends corporate governance policy changes, reviews</w:t>
            </w:r>
          </w:p>
        </w:tc>
        <w:tc>
          <w:tcPr>
            <w:tcW w:w="0" w:type="dxa"/>
            <w:vAlign w:val="bottom"/>
          </w:tcPr>
          <w:p>
            <w:pPr>
              <w:spacing w:after="0"/>
              <w:rPr>
                <w:sz w:val="1"/>
                <w:szCs w:val="1"/>
                <w:color w:val="auto"/>
              </w:rPr>
            </w:pPr>
          </w:p>
        </w:tc>
      </w:tr>
      <w:tr>
        <w:trPr>
          <w:trHeight w:val="103"/>
        </w:trPr>
        <w:tc>
          <w:tcPr>
            <w:tcW w:w="2560" w:type="dxa"/>
            <w:vAlign w:val="bottom"/>
            <w:tcBorders>
              <w:bottom w:val="single" w:sz="8" w:color="DBDBDB"/>
            </w:tcBorders>
          </w:tcPr>
          <w:p>
            <w:pPr>
              <w:spacing w:after="0"/>
              <w:rPr>
                <w:sz w:val="8"/>
                <w:szCs w:val="8"/>
                <w:color w:val="auto"/>
              </w:rPr>
            </w:pPr>
          </w:p>
        </w:tc>
        <w:tc>
          <w:tcPr>
            <w:tcW w:w="340" w:type="dxa"/>
            <w:vAlign w:val="bottom"/>
          </w:tcPr>
          <w:p>
            <w:pPr>
              <w:spacing w:after="0"/>
              <w:rPr>
                <w:sz w:val="8"/>
                <w:szCs w:val="8"/>
                <w:color w:val="auto"/>
              </w:rPr>
            </w:pPr>
          </w:p>
        </w:tc>
        <w:tc>
          <w:tcPr>
            <w:tcW w:w="8240" w:type="dxa"/>
            <w:vAlign w:val="bottom"/>
            <w:vMerge w:val="restart"/>
          </w:tcPr>
          <w:p>
            <w:pPr>
              <w:ind w:left="20"/>
              <w:spacing w:after="0"/>
              <w:rPr>
                <w:sz w:val="20"/>
                <w:szCs w:val="20"/>
                <w:color w:val="auto"/>
              </w:rPr>
            </w:pPr>
            <w:r>
              <w:rPr>
                <w:rFonts w:ascii="Arial" w:cs="Arial" w:eastAsia="Arial" w:hAnsi="Arial"/>
                <w:sz w:val="20"/>
                <w:szCs w:val="20"/>
                <w:color w:val="auto"/>
              </w:rPr>
              <w:t>executive  succession  planning,  and  evaluates  Board  performance.  The  Governance</w:t>
            </w:r>
          </w:p>
        </w:tc>
        <w:tc>
          <w:tcPr>
            <w:tcW w:w="0" w:type="dxa"/>
            <w:vAlign w:val="bottom"/>
          </w:tcPr>
          <w:p>
            <w:pPr>
              <w:spacing w:after="0"/>
              <w:rPr>
                <w:sz w:val="1"/>
                <w:szCs w:val="1"/>
                <w:color w:val="auto"/>
              </w:rPr>
            </w:pPr>
          </w:p>
        </w:tc>
      </w:tr>
      <w:tr>
        <w:trPr>
          <w:trHeight w:val="120"/>
        </w:trPr>
        <w:tc>
          <w:tcPr>
            <w:tcW w:w="2560" w:type="dxa"/>
            <w:vAlign w:val="bottom"/>
            <w:vMerge w:val="restart"/>
          </w:tcPr>
          <w:p>
            <w:pPr>
              <w:ind w:left="20"/>
              <w:spacing w:after="0"/>
              <w:rPr>
                <w:sz w:val="20"/>
                <w:szCs w:val="20"/>
                <w:color w:val="auto"/>
              </w:rPr>
            </w:pPr>
            <w:r>
              <w:rPr>
                <w:rFonts w:ascii="Arial" w:cs="Arial" w:eastAsia="Arial" w:hAnsi="Arial"/>
                <w:sz w:val="20"/>
                <w:szCs w:val="20"/>
                <w:b w:val="1"/>
                <w:bCs w:val="1"/>
                <w:color w:val="auto"/>
              </w:rPr>
              <w:t>Thomas H. Wilson, Jr.</w:t>
            </w:r>
          </w:p>
        </w:tc>
        <w:tc>
          <w:tcPr>
            <w:tcW w:w="340" w:type="dxa"/>
            <w:vAlign w:val="bottom"/>
          </w:tcPr>
          <w:p>
            <w:pPr>
              <w:spacing w:after="0"/>
              <w:rPr>
                <w:sz w:val="10"/>
                <w:szCs w:val="10"/>
                <w:color w:val="auto"/>
              </w:rPr>
            </w:pPr>
          </w:p>
        </w:tc>
        <w:tc>
          <w:tcPr>
            <w:tcW w:w="82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6"/>
        </w:trPr>
        <w:tc>
          <w:tcPr>
            <w:tcW w:w="2560" w:type="dxa"/>
            <w:vAlign w:val="bottom"/>
            <w:vMerge w:val="continue"/>
          </w:tcPr>
          <w:p>
            <w:pPr>
              <w:spacing w:after="0"/>
              <w:rPr>
                <w:sz w:val="12"/>
                <w:szCs w:val="12"/>
                <w:color w:val="auto"/>
              </w:rPr>
            </w:pPr>
          </w:p>
        </w:tc>
        <w:tc>
          <w:tcPr>
            <w:tcW w:w="340" w:type="dxa"/>
            <w:vAlign w:val="bottom"/>
          </w:tcPr>
          <w:p>
            <w:pPr>
              <w:spacing w:after="0"/>
              <w:rPr>
                <w:sz w:val="12"/>
                <w:szCs w:val="12"/>
                <w:color w:val="auto"/>
              </w:rPr>
            </w:pPr>
          </w:p>
        </w:tc>
        <w:tc>
          <w:tcPr>
            <w:tcW w:w="8240" w:type="dxa"/>
            <w:vAlign w:val="bottom"/>
            <w:vMerge w:val="restart"/>
          </w:tcPr>
          <w:p>
            <w:pPr>
              <w:ind w:left="20"/>
              <w:spacing w:after="0"/>
              <w:rPr>
                <w:sz w:val="20"/>
                <w:szCs w:val="20"/>
                <w:color w:val="auto"/>
              </w:rPr>
            </w:pPr>
            <w:r>
              <w:rPr>
                <w:rFonts w:ascii="Arial" w:cs="Arial" w:eastAsia="Arial" w:hAnsi="Arial"/>
                <w:sz w:val="20"/>
                <w:szCs w:val="20"/>
                <w:color w:val="auto"/>
              </w:rPr>
              <w:t>Committee  will  consider  candidates  recommended  by  stockholders,  provided  such</w:t>
            </w:r>
          </w:p>
        </w:tc>
        <w:tc>
          <w:tcPr>
            <w:tcW w:w="0" w:type="dxa"/>
            <w:vAlign w:val="bottom"/>
          </w:tcPr>
          <w:p>
            <w:pPr>
              <w:spacing w:after="0"/>
              <w:rPr>
                <w:sz w:val="1"/>
                <w:szCs w:val="1"/>
                <w:color w:val="auto"/>
              </w:rPr>
            </w:pPr>
          </w:p>
        </w:tc>
      </w:tr>
      <w:tr>
        <w:trPr>
          <w:trHeight w:val="97"/>
        </w:trPr>
        <w:tc>
          <w:tcPr>
            <w:tcW w:w="2560" w:type="dxa"/>
            <w:vAlign w:val="bottom"/>
          </w:tcPr>
          <w:p>
            <w:pPr>
              <w:spacing w:after="0"/>
              <w:rPr>
                <w:sz w:val="8"/>
                <w:szCs w:val="8"/>
                <w:color w:val="auto"/>
              </w:rPr>
            </w:pPr>
          </w:p>
        </w:tc>
        <w:tc>
          <w:tcPr>
            <w:tcW w:w="340" w:type="dxa"/>
            <w:vAlign w:val="bottom"/>
          </w:tcPr>
          <w:p>
            <w:pPr>
              <w:spacing w:after="0"/>
              <w:rPr>
                <w:sz w:val="8"/>
                <w:szCs w:val="8"/>
                <w:color w:val="auto"/>
              </w:rPr>
            </w:pPr>
          </w:p>
        </w:tc>
        <w:tc>
          <w:tcPr>
            <w:tcW w:w="82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51"/>
        </w:trPr>
        <w:tc>
          <w:tcPr>
            <w:tcW w:w="2560" w:type="dxa"/>
            <w:vAlign w:val="bottom"/>
            <w:tcBorders>
              <w:bottom w:val="single" w:sz="8" w:color="DBDBDB"/>
            </w:tcBorders>
          </w:tcPr>
          <w:p>
            <w:pPr>
              <w:spacing w:after="0"/>
              <w:rPr>
                <w:sz w:val="21"/>
                <w:szCs w:val="21"/>
                <w:color w:val="auto"/>
              </w:rPr>
            </w:pPr>
          </w:p>
        </w:tc>
        <w:tc>
          <w:tcPr>
            <w:tcW w:w="340" w:type="dxa"/>
            <w:vAlign w:val="bottom"/>
          </w:tcPr>
          <w:p>
            <w:pPr>
              <w:spacing w:after="0"/>
              <w:rPr>
                <w:sz w:val="21"/>
                <w:szCs w:val="21"/>
                <w:color w:val="auto"/>
              </w:rPr>
            </w:pPr>
          </w:p>
        </w:tc>
        <w:tc>
          <w:tcPr>
            <w:tcW w:w="8240" w:type="dxa"/>
            <w:vAlign w:val="bottom"/>
          </w:tcPr>
          <w:p>
            <w:pPr>
              <w:ind w:left="20"/>
              <w:spacing w:after="0"/>
              <w:rPr>
                <w:sz w:val="20"/>
                <w:szCs w:val="20"/>
                <w:color w:val="auto"/>
              </w:rPr>
            </w:pPr>
            <w:r>
              <w:rPr>
                <w:rFonts w:ascii="Arial" w:cs="Arial" w:eastAsia="Arial" w:hAnsi="Arial"/>
                <w:sz w:val="20"/>
                <w:szCs w:val="20"/>
                <w:color w:val="auto"/>
              </w:rPr>
              <w:t>recommendations are made in accordance with the procedures set forth in the “Governance</w:t>
            </w:r>
          </w:p>
        </w:tc>
        <w:tc>
          <w:tcPr>
            <w:tcW w:w="0" w:type="dxa"/>
            <w:vAlign w:val="bottom"/>
          </w:tcPr>
          <w:p>
            <w:pPr>
              <w:spacing w:after="0"/>
              <w:rPr>
                <w:sz w:val="1"/>
                <w:szCs w:val="1"/>
                <w:color w:val="auto"/>
              </w:rPr>
            </w:pPr>
          </w:p>
        </w:tc>
      </w:tr>
      <w:tr>
        <w:trPr>
          <w:trHeight w:val="228"/>
        </w:trPr>
        <w:tc>
          <w:tcPr>
            <w:tcW w:w="2560" w:type="dxa"/>
            <w:vAlign w:val="bottom"/>
          </w:tcPr>
          <w:p>
            <w:pPr>
              <w:ind w:left="20"/>
              <w:spacing w:after="0" w:line="229" w:lineRule="exact"/>
              <w:rPr>
                <w:sz w:val="20"/>
                <w:szCs w:val="20"/>
                <w:color w:val="auto"/>
              </w:rPr>
            </w:pPr>
            <w:r>
              <w:rPr>
                <w:rFonts w:ascii="Arial" w:cs="Arial" w:eastAsia="Arial" w:hAnsi="Arial"/>
                <w:sz w:val="20"/>
                <w:szCs w:val="20"/>
                <w:b w:val="1"/>
                <w:bCs w:val="1"/>
                <w:color w:val="auto"/>
              </w:rPr>
              <w:t>Jacque R. Fiegel</w:t>
            </w:r>
          </w:p>
        </w:tc>
        <w:tc>
          <w:tcPr>
            <w:tcW w:w="340" w:type="dxa"/>
            <w:vAlign w:val="bottom"/>
          </w:tcPr>
          <w:p>
            <w:pPr>
              <w:spacing w:after="0"/>
              <w:rPr>
                <w:sz w:val="19"/>
                <w:szCs w:val="19"/>
                <w:color w:val="auto"/>
              </w:rPr>
            </w:pPr>
          </w:p>
        </w:tc>
        <w:tc>
          <w:tcPr>
            <w:tcW w:w="8240" w:type="dxa"/>
            <w:vAlign w:val="bottom"/>
          </w:tcPr>
          <w:p>
            <w:pPr>
              <w:ind w:left="20"/>
              <w:spacing w:after="0" w:line="229" w:lineRule="exact"/>
              <w:rPr>
                <w:sz w:val="20"/>
                <w:szCs w:val="20"/>
                <w:color w:val="auto"/>
              </w:rPr>
            </w:pPr>
            <w:r>
              <w:rPr>
                <w:rFonts w:ascii="Arial" w:cs="Arial" w:eastAsia="Arial" w:hAnsi="Arial"/>
                <w:sz w:val="20"/>
                <w:szCs w:val="20"/>
                <w:color w:val="auto"/>
              </w:rPr>
              <w:t>Committee  Nomination  Policy”  attached  to  its  charter,  discussed  in  greater  detail  in</w:t>
            </w:r>
          </w:p>
        </w:tc>
        <w:tc>
          <w:tcPr>
            <w:tcW w:w="0" w:type="dxa"/>
            <w:vAlign w:val="bottom"/>
          </w:tcPr>
          <w:p>
            <w:pPr>
              <w:spacing w:after="0"/>
              <w:rPr>
                <w:sz w:val="1"/>
                <w:szCs w:val="1"/>
                <w:color w:val="auto"/>
              </w:rPr>
            </w:pPr>
          </w:p>
        </w:tc>
      </w:tr>
      <w:tr>
        <w:trPr>
          <w:trHeight w:val="243"/>
        </w:trPr>
        <w:tc>
          <w:tcPr>
            <w:tcW w:w="25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240" w:type="dxa"/>
            <w:vAlign w:val="bottom"/>
          </w:tcPr>
          <w:p>
            <w:pPr>
              <w:ind w:left="20"/>
              <w:spacing w:after="0"/>
              <w:rPr>
                <w:sz w:val="20"/>
                <w:szCs w:val="20"/>
                <w:color w:val="auto"/>
              </w:rPr>
            </w:pPr>
            <w:r>
              <w:rPr>
                <w:rFonts w:ascii="Arial" w:cs="Arial" w:eastAsia="Arial" w:hAnsi="Arial"/>
                <w:sz w:val="20"/>
                <w:szCs w:val="20"/>
                <w:color w:val="auto"/>
              </w:rPr>
              <w:t>“Stockholder Recommended Director Candidates,” above. All members of the Governance</w:t>
            </w:r>
          </w:p>
        </w:tc>
        <w:tc>
          <w:tcPr>
            <w:tcW w:w="0" w:type="dxa"/>
            <w:vAlign w:val="bottom"/>
          </w:tcPr>
          <w:p>
            <w:pPr>
              <w:spacing w:after="0"/>
              <w:rPr>
                <w:sz w:val="1"/>
                <w:szCs w:val="1"/>
                <w:color w:val="auto"/>
              </w:rPr>
            </w:pPr>
          </w:p>
        </w:tc>
      </w:tr>
      <w:tr>
        <w:trPr>
          <w:trHeight w:val="143"/>
        </w:trPr>
        <w:tc>
          <w:tcPr>
            <w:tcW w:w="2560" w:type="dxa"/>
            <w:vAlign w:val="bottom"/>
            <w:tcBorders>
              <w:bottom w:val="single" w:sz="8" w:color="DBDBDB"/>
            </w:tcBorders>
          </w:tcPr>
          <w:p>
            <w:pPr>
              <w:spacing w:after="0"/>
              <w:rPr>
                <w:sz w:val="12"/>
                <w:szCs w:val="12"/>
                <w:color w:val="auto"/>
              </w:rPr>
            </w:pPr>
          </w:p>
        </w:tc>
        <w:tc>
          <w:tcPr>
            <w:tcW w:w="340" w:type="dxa"/>
            <w:vAlign w:val="bottom"/>
            <w:vMerge w:val="restart"/>
          </w:tcPr>
          <w:p>
            <w:pPr>
              <w:spacing w:after="0"/>
              <w:rPr>
                <w:sz w:val="12"/>
                <w:szCs w:val="12"/>
                <w:color w:val="auto"/>
              </w:rPr>
            </w:pPr>
          </w:p>
        </w:tc>
        <w:tc>
          <w:tcPr>
            <w:tcW w:w="8240" w:type="dxa"/>
            <w:vAlign w:val="bottom"/>
            <w:vMerge w:val="restart"/>
          </w:tcPr>
          <w:p>
            <w:pPr>
              <w:ind w:left="20"/>
              <w:spacing w:after="0"/>
              <w:rPr>
                <w:sz w:val="20"/>
                <w:szCs w:val="20"/>
                <w:color w:val="auto"/>
              </w:rPr>
            </w:pPr>
            <w:r>
              <w:rPr>
                <w:rFonts w:ascii="Arial" w:cs="Arial" w:eastAsia="Arial" w:hAnsi="Arial"/>
                <w:sz w:val="20"/>
                <w:szCs w:val="20"/>
                <w:color w:val="auto"/>
              </w:rPr>
              <w:t>Committee  are  independent.  Mr.  Campbell  was  appointed  Chair  of  the  Governance</w:t>
            </w:r>
          </w:p>
        </w:tc>
        <w:tc>
          <w:tcPr>
            <w:tcW w:w="0" w:type="dxa"/>
            <w:vAlign w:val="bottom"/>
          </w:tcPr>
          <w:p>
            <w:pPr>
              <w:spacing w:after="0"/>
              <w:rPr>
                <w:sz w:val="1"/>
                <w:szCs w:val="1"/>
                <w:color w:val="auto"/>
              </w:rPr>
            </w:pPr>
          </w:p>
        </w:tc>
      </w:tr>
      <w:tr>
        <w:trPr>
          <w:trHeight w:val="93"/>
        </w:trPr>
        <w:tc>
          <w:tcPr>
            <w:tcW w:w="2560" w:type="dxa"/>
            <w:vAlign w:val="bottom"/>
            <w:vMerge w:val="restart"/>
          </w:tcPr>
          <w:p>
            <w:pPr>
              <w:ind w:left="20"/>
              <w:spacing w:after="0"/>
              <w:rPr>
                <w:sz w:val="20"/>
                <w:szCs w:val="20"/>
                <w:color w:val="auto"/>
              </w:rPr>
            </w:pPr>
            <w:r>
              <w:rPr>
                <w:rFonts w:ascii="Arial" w:cs="Arial" w:eastAsia="Arial" w:hAnsi="Arial"/>
                <w:sz w:val="20"/>
                <w:szCs w:val="20"/>
                <w:b w:val="1"/>
                <w:bCs w:val="1"/>
                <w:color w:val="auto"/>
              </w:rPr>
              <w:t>Lisa M. Nelson</w:t>
            </w:r>
          </w:p>
        </w:tc>
        <w:tc>
          <w:tcPr>
            <w:tcW w:w="340" w:type="dxa"/>
            <w:vAlign w:val="bottom"/>
            <w:vMerge w:val="continue"/>
          </w:tcPr>
          <w:p>
            <w:pPr>
              <w:spacing w:after="0"/>
              <w:rPr>
                <w:sz w:val="8"/>
                <w:szCs w:val="8"/>
                <w:color w:val="auto"/>
              </w:rPr>
            </w:pPr>
          </w:p>
        </w:tc>
        <w:tc>
          <w:tcPr>
            <w:tcW w:w="82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73"/>
        </w:trPr>
        <w:tc>
          <w:tcPr>
            <w:tcW w:w="2560" w:type="dxa"/>
            <w:vAlign w:val="bottom"/>
            <w:vMerge w:val="continue"/>
          </w:tcPr>
          <w:p>
            <w:pPr>
              <w:spacing w:after="0"/>
              <w:rPr>
                <w:sz w:val="15"/>
                <w:szCs w:val="15"/>
                <w:color w:val="auto"/>
              </w:rPr>
            </w:pPr>
          </w:p>
        </w:tc>
        <w:tc>
          <w:tcPr>
            <w:tcW w:w="340" w:type="dxa"/>
            <w:vAlign w:val="bottom"/>
          </w:tcPr>
          <w:p>
            <w:pPr>
              <w:spacing w:after="0"/>
              <w:rPr>
                <w:sz w:val="15"/>
                <w:szCs w:val="15"/>
                <w:color w:val="auto"/>
              </w:rPr>
            </w:pPr>
          </w:p>
        </w:tc>
        <w:tc>
          <w:tcPr>
            <w:tcW w:w="8240" w:type="dxa"/>
            <w:vAlign w:val="bottom"/>
            <w:vMerge w:val="restart"/>
          </w:tcPr>
          <w:p>
            <w:pPr>
              <w:ind w:left="20"/>
              <w:spacing w:after="0"/>
              <w:rPr>
                <w:sz w:val="20"/>
                <w:szCs w:val="20"/>
                <w:color w:val="auto"/>
              </w:rPr>
            </w:pPr>
            <w:r>
              <w:rPr>
                <w:rFonts w:ascii="Arial" w:cs="Arial" w:eastAsia="Arial" w:hAnsi="Arial"/>
                <w:sz w:val="20"/>
                <w:szCs w:val="20"/>
                <w:color w:val="auto"/>
              </w:rPr>
              <w:t>Committee following the unfortunate and untimely passing of director Laura Kelly in March of</w:t>
            </w:r>
          </w:p>
        </w:tc>
        <w:tc>
          <w:tcPr>
            <w:tcW w:w="0" w:type="dxa"/>
            <w:vAlign w:val="bottom"/>
          </w:tcPr>
          <w:p>
            <w:pPr>
              <w:spacing w:after="0"/>
              <w:rPr>
                <w:sz w:val="1"/>
                <w:szCs w:val="1"/>
                <w:color w:val="auto"/>
              </w:rPr>
            </w:pPr>
          </w:p>
        </w:tc>
      </w:tr>
      <w:tr>
        <w:trPr>
          <w:trHeight w:val="70"/>
        </w:trPr>
        <w:tc>
          <w:tcPr>
            <w:tcW w:w="2560" w:type="dxa"/>
            <w:vAlign w:val="bottom"/>
          </w:tcPr>
          <w:p>
            <w:pPr>
              <w:spacing w:after="0"/>
              <w:rPr>
                <w:sz w:val="6"/>
                <w:szCs w:val="6"/>
                <w:color w:val="auto"/>
              </w:rPr>
            </w:pPr>
          </w:p>
        </w:tc>
        <w:tc>
          <w:tcPr>
            <w:tcW w:w="340" w:type="dxa"/>
            <w:vAlign w:val="bottom"/>
          </w:tcPr>
          <w:p>
            <w:pPr>
              <w:spacing w:after="0"/>
              <w:rPr>
                <w:sz w:val="6"/>
                <w:szCs w:val="6"/>
                <w:color w:val="auto"/>
              </w:rPr>
            </w:pPr>
          </w:p>
        </w:tc>
        <w:tc>
          <w:tcPr>
            <w:tcW w:w="82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72"/>
        </w:trPr>
        <w:tc>
          <w:tcPr>
            <w:tcW w:w="2560" w:type="dxa"/>
            <w:vAlign w:val="bottom"/>
            <w:tcBorders>
              <w:bottom w:val="single" w:sz="8" w:color="DBDBDB"/>
            </w:tcBorders>
          </w:tcPr>
          <w:p>
            <w:pPr>
              <w:spacing w:after="0"/>
              <w:rPr>
                <w:sz w:val="23"/>
                <w:szCs w:val="23"/>
                <w:color w:val="auto"/>
              </w:rPr>
            </w:pPr>
          </w:p>
        </w:tc>
        <w:tc>
          <w:tcPr>
            <w:tcW w:w="8580" w:type="dxa"/>
            <w:vAlign w:val="bottom"/>
            <w:gridSpan w:val="2"/>
          </w:tcPr>
          <w:p>
            <w:pPr>
              <w:ind w:left="360"/>
              <w:spacing w:after="0"/>
              <w:rPr>
                <w:sz w:val="20"/>
                <w:szCs w:val="20"/>
                <w:color w:val="auto"/>
              </w:rPr>
            </w:pPr>
            <w:r>
              <w:rPr>
                <w:rFonts w:ascii="Arial" w:cs="Arial" w:eastAsia="Arial" w:hAnsi="Arial"/>
                <w:sz w:val="20"/>
                <w:szCs w:val="20"/>
                <w:color w:val="auto"/>
              </w:rPr>
              <w:t>2024.</w:t>
            </w:r>
          </w:p>
        </w:tc>
        <w:tc>
          <w:tcPr>
            <w:tcW w:w="0" w:type="dxa"/>
            <w:vAlign w:val="bottom"/>
          </w:tcPr>
          <w:p>
            <w:pPr>
              <w:spacing w:after="0"/>
              <w:rPr>
                <w:sz w:val="1"/>
                <w:szCs w:val="1"/>
                <w:color w:val="auto"/>
              </w:rPr>
            </w:pPr>
          </w:p>
        </w:tc>
      </w:tr>
      <w:tr>
        <w:trPr>
          <w:trHeight w:val="194"/>
        </w:trPr>
        <w:tc>
          <w:tcPr>
            <w:tcW w:w="2560" w:type="dxa"/>
            <w:vAlign w:val="bottom"/>
          </w:tcPr>
          <w:p>
            <w:pPr>
              <w:ind w:left="20"/>
              <w:spacing w:after="0" w:line="194" w:lineRule="exact"/>
              <w:rPr>
                <w:sz w:val="20"/>
                <w:szCs w:val="20"/>
                <w:color w:val="auto"/>
              </w:rPr>
            </w:pPr>
            <w:r>
              <w:rPr>
                <w:rFonts w:ascii="Arial" w:cs="Arial" w:eastAsia="Arial" w:hAnsi="Arial"/>
                <w:sz w:val="20"/>
                <w:szCs w:val="20"/>
                <w:color w:val="auto"/>
              </w:rPr>
              <w:t>Meetings in</w:t>
            </w:r>
          </w:p>
        </w:tc>
        <w:tc>
          <w:tcPr>
            <w:tcW w:w="340" w:type="dxa"/>
            <w:vAlign w:val="bottom"/>
          </w:tcPr>
          <w:p>
            <w:pPr>
              <w:spacing w:after="0"/>
              <w:rPr>
                <w:sz w:val="16"/>
                <w:szCs w:val="16"/>
                <w:color w:val="auto"/>
              </w:rPr>
            </w:pPr>
          </w:p>
        </w:tc>
        <w:tc>
          <w:tcPr>
            <w:tcW w:w="8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1"/>
        </w:trPr>
        <w:tc>
          <w:tcPr>
            <w:tcW w:w="2560" w:type="dxa"/>
            <w:vAlign w:val="bottom"/>
          </w:tcPr>
          <w:p>
            <w:pPr>
              <w:ind w:left="20"/>
              <w:spacing w:after="0"/>
              <w:rPr>
                <w:sz w:val="20"/>
                <w:szCs w:val="20"/>
                <w:color w:val="auto"/>
              </w:rPr>
            </w:pPr>
            <w:r>
              <w:rPr>
                <w:rFonts w:ascii="Arial" w:cs="Arial" w:eastAsia="Arial" w:hAnsi="Arial"/>
                <w:sz w:val="20"/>
                <w:szCs w:val="20"/>
                <w:color w:val="auto"/>
              </w:rPr>
              <w:t>FY2024: 4</w:t>
            </w:r>
          </w:p>
        </w:tc>
        <w:tc>
          <w:tcPr>
            <w:tcW w:w="340" w:type="dxa"/>
            <w:vAlign w:val="bottom"/>
          </w:tcPr>
          <w:p>
            <w:pPr>
              <w:spacing w:after="0"/>
              <w:rPr>
                <w:sz w:val="22"/>
                <w:szCs w:val="22"/>
                <w:color w:val="auto"/>
              </w:rPr>
            </w:pPr>
          </w:p>
        </w:tc>
        <w:tc>
          <w:tcPr>
            <w:tcW w:w="82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5"/>
        </w:trPr>
        <w:tc>
          <w:tcPr>
            <w:tcW w:w="2560" w:type="dxa"/>
            <w:vAlign w:val="bottom"/>
            <w:tcBorders>
              <w:bottom w:val="single" w:sz="8" w:color="DBDBDB"/>
            </w:tcBorders>
          </w:tcPr>
          <w:p>
            <w:pPr>
              <w:spacing w:after="0"/>
              <w:rPr>
                <w:sz w:val="14"/>
                <w:szCs w:val="14"/>
                <w:color w:val="auto"/>
              </w:rPr>
            </w:pPr>
          </w:p>
        </w:tc>
        <w:tc>
          <w:tcPr>
            <w:tcW w:w="340" w:type="dxa"/>
            <w:vAlign w:val="bottom"/>
          </w:tcPr>
          <w:p>
            <w:pPr>
              <w:spacing w:after="0"/>
              <w:rPr>
                <w:sz w:val="14"/>
                <w:szCs w:val="14"/>
                <w:color w:val="auto"/>
              </w:rPr>
            </w:pPr>
          </w:p>
        </w:tc>
        <w:tc>
          <w:tcPr>
            <w:tcW w:w="8240" w:type="dxa"/>
            <w:vAlign w:val="bottom"/>
            <w:tcBorders>
              <w:bottom w:val="single" w:sz="8" w:color="DBDBDB"/>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100"/>
        <w:spacing w:after="0"/>
        <w:rPr>
          <w:sz w:val="20"/>
          <w:szCs w:val="20"/>
          <w:color w:val="auto"/>
        </w:rPr>
      </w:pPr>
      <w:r>
        <w:rPr>
          <w:rFonts w:ascii="Arial" w:cs="Arial" w:eastAsia="Arial" w:hAnsi="Arial"/>
          <w:sz w:val="20"/>
          <w:szCs w:val="20"/>
          <w:b w:val="1"/>
          <w:bCs w:val="1"/>
          <w:color w:val="auto"/>
        </w:rPr>
        <w:t>Risk and Compliance Committee</w:t>
      </w:r>
    </w:p>
    <w:p>
      <w:pPr>
        <w:spacing w:after="0" w:line="37" w:lineRule="exact"/>
        <w:rPr>
          <w:sz w:val="20"/>
          <w:szCs w:val="20"/>
          <w:color w:val="auto"/>
        </w:rPr>
      </w:pPr>
    </w:p>
    <w:tbl>
      <w:tblPr>
        <w:tblLayout w:type="fixed"/>
        <w:tblInd w:w="80" w:type="dxa"/>
        <w:tblCellMar>
          <w:top w:w="0" w:type="dxa"/>
          <w:left w:w="0" w:type="dxa"/>
          <w:bottom w:w="0" w:type="dxa"/>
          <w:right w:w="0" w:type="dxa"/>
        </w:tblCellMar>
      </w:tblPr>
      <w:tr>
        <w:trPr>
          <w:trHeight w:val="209"/>
        </w:trPr>
        <w:tc>
          <w:tcPr>
            <w:tcW w:w="2460" w:type="dxa"/>
            <w:vAlign w:val="bottom"/>
            <w:tcBorders>
              <w:top w:val="single" w:sz="8" w:color="auto"/>
            </w:tcBorders>
          </w:tcPr>
          <w:p>
            <w:pPr>
              <w:ind w:left="20"/>
              <w:spacing w:after="0" w:line="209" w:lineRule="exact"/>
              <w:rPr>
                <w:sz w:val="20"/>
                <w:szCs w:val="20"/>
                <w:color w:val="auto"/>
              </w:rPr>
            </w:pPr>
            <w:r>
              <w:rPr>
                <w:rFonts w:ascii="Arial" w:cs="Arial" w:eastAsia="Arial" w:hAnsi="Arial"/>
                <w:sz w:val="20"/>
                <w:szCs w:val="20"/>
                <w:b w:val="1"/>
                <w:bCs w:val="1"/>
                <w:color w:val="auto"/>
              </w:rPr>
              <w:t>Thomas A. Wimsett</w:t>
            </w:r>
          </w:p>
        </w:tc>
        <w:tc>
          <w:tcPr>
            <w:tcW w:w="360" w:type="dxa"/>
            <w:vAlign w:val="bottom"/>
            <w:tcBorders>
              <w:top w:val="single" w:sz="8" w:color="auto"/>
            </w:tcBorders>
          </w:tcPr>
          <w:p>
            <w:pPr>
              <w:spacing w:after="0"/>
              <w:rPr>
                <w:sz w:val="18"/>
                <w:szCs w:val="18"/>
                <w:color w:val="auto"/>
              </w:rPr>
            </w:pPr>
          </w:p>
        </w:tc>
        <w:tc>
          <w:tcPr>
            <w:tcW w:w="8280" w:type="dxa"/>
            <w:vAlign w:val="bottom"/>
            <w:tcBorders>
              <w:top w:val="single" w:sz="8" w:color="auto"/>
            </w:tcBorders>
          </w:tcPr>
          <w:p>
            <w:pPr>
              <w:ind w:left="20"/>
              <w:spacing w:after="0" w:line="209" w:lineRule="exact"/>
              <w:rPr>
                <w:sz w:val="20"/>
                <w:szCs w:val="20"/>
                <w:color w:val="auto"/>
              </w:rPr>
            </w:pPr>
            <w:r>
              <w:rPr>
                <w:rFonts w:ascii="Arial" w:cs="Arial" w:eastAsia="Arial" w:hAnsi="Arial"/>
                <w:sz w:val="20"/>
                <w:szCs w:val="20"/>
                <w:color w:val="auto"/>
              </w:rPr>
              <w:t>The Risk and Compliance Committee reviews the Company’s compliance practices, reviews</w:t>
            </w:r>
          </w:p>
        </w:tc>
        <w:tc>
          <w:tcPr>
            <w:tcW w:w="0" w:type="dxa"/>
            <w:vAlign w:val="bottom"/>
          </w:tcPr>
          <w:p>
            <w:pPr>
              <w:spacing w:after="0"/>
              <w:rPr>
                <w:sz w:val="1"/>
                <w:szCs w:val="1"/>
                <w:color w:val="auto"/>
              </w:rPr>
            </w:pPr>
          </w:p>
        </w:tc>
      </w:tr>
      <w:tr>
        <w:trPr>
          <w:trHeight w:val="243"/>
        </w:trPr>
        <w:tc>
          <w:tcPr>
            <w:tcW w:w="2460" w:type="dxa"/>
            <w:vAlign w:val="bottom"/>
          </w:tcPr>
          <w:p>
            <w:pPr>
              <w:ind w:left="20"/>
              <w:spacing w:after="0"/>
              <w:rPr>
                <w:sz w:val="20"/>
                <w:szCs w:val="20"/>
                <w:color w:val="auto"/>
              </w:rPr>
            </w:pPr>
            <w:r>
              <w:rPr>
                <w:rFonts w:ascii="Arial" w:cs="Arial" w:eastAsia="Arial" w:hAnsi="Arial"/>
                <w:sz w:val="20"/>
                <w:szCs w:val="20"/>
                <w:color w:val="auto"/>
              </w:rPr>
              <w:t>(Chair)</w:t>
            </w:r>
          </w:p>
        </w:tc>
        <w:tc>
          <w:tcPr>
            <w:tcW w:w="360" w:type="dxa"/>
            <w:vAlign w:val="bottom"/>
          </w:tcPr>
          <w:p>
            <w:pPr>
              <w:spacing w:after="0"/>
              <w:rPr>
                <w:sz w:val="21"/>
                <w:szCs w:val="21"/>
                <w:color w:val="auto"/>
              </w:rPr>
            </w:pPr>
          </w:p>
        </w:tc>
        <w:tc>
          <w:tcPr>
            <w:tcW w:w="8280" w:type="dxa"/>
            <w:vAlign w:val="bottom"/>
            <w:vMerge w:val="restart"/>
          </w:tcPr>
          <w:p>
            <w:pPr>
              <w:ind w:left="20"/>
              <w:spacing w:after="0"/>
              <w:rPr>
                <w:sz w:val="20"/>
                <w:szCs w:val="20"/>
                <w:color w:val="auto"/>
              </w:rPr>
            </w:pPr>
            <w:r>
              <w:rPr>
                <w:rFonts w:ascii="Arial" w:cs="Arial" w:eastAsia="Arial" w:hAnsi="Arial"/>
                <w:sz w:val="20"/>
                <w:szCs w:val="20"/>
                <w:color w:val="auto"/>
              </w:rPr>
              <w:t>enterprise risks, oversees the Company’s risk assessment and management programs,</w:t>
            </w:r>
          </w:p>
        </w:tc>
        <w:tc>
          <w:tcPr>
            <w:tcW w:w="0" w:type="dxa"/>
            <w:vAlign w:val="bottom"/>
          </w:tcPr>
          <w:p>
            <w:pPr>
              <w:spacing w:after="0"/>
              <w:rPr>
                <w:sz w:val="1"/>
                <w:szCs w:val="1"/>
                <w:color w:val="auto"/>
              </w:rPr>
            </w:pPr>
          </w:p>
        </w:tc>
      </w:tr>
      <w:tr>
        <w:trPr>
          <w:trHeight w:val="59"/>
        </w:trPr>
        <w:tc>
          <w:tcPr>
            <w:tcW w:w="2460" w:type="dxa"/>
            <w:vAlign w:val="bottom"/>
          </w:tcPr>
          <w:p>
            <w:pPr>
              <w:spacing w:after="0"/>
              <w:rPr>
                <w:sz w:val="5"/>
                <w:szCs w:val="5"/>
                <w:color w:val="auto"/>
              </w:rPr>
            </w:pPr>
          </w:p>
        </w:tc>
        <w:tc>
          <w:tcPr>
            <w:tcW w:w="360" w:type="dxa"/>
            <w:vAlign w:val="bottom"/>
          </w:tcPr>
          <w:p>
            <w:pPr>
              <w:spacing w:after="0"/>
              <w:rPr>
                <w:sz w:val="5"/>
                <w:szCs w:val="5"/>
                <w:color w:val="auto"/>
              </w:rPr>
            </w:pPr>
          </w:p>
        </w:tc>
        <w:tc>
          <w:tcPr>
            <w:tcW w:w="82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49"/>
        </w:trPr>
        <w:tc>
          <w:tcPr>
            <w:tcW w:w="2460" w:type="dxa"/>
            <w:vAlign w:val="bottom"/>
            <w:tcBorders>
              <w:bottom w:val="single" w:sz="8" w:color="DBDBDB"/>
            </w:tcBorders>
          </w:tcPr>
          <w:p>
            <w:pPr>
              <w:spacing w:after="0"/>
              <w:rPr>
                <w:sz w:val="4"/>
                <w:szCs w:val="4"/>
                <w:color w:val="auto"/>
              </w:rPr>
            </w:pPr>
          </w:p>
        </w:tc>
        <w:tc>
          <w:tcPr>
            <w:tcW w:w="360" w:type="dxa"/>
            <w:vAlign w:val="bottom"/>
          </w:tcPr>
          <w:p>
            <w:pPr>
              <w:spacing w:after="0"/>
              <w:rPr>
                <w:sz w:val="4"/>
                <w:szCs w:val="4"/>
                <w:color w:val="auto"/>
              </w:rPr>
            </w:pPr>
          </w:p>
        </w:tc>
        <w:tc>
          <w:tcPr>
            <w:tcW w:w="8280" w:type="dxa"/>
            <w:vAlign w:val="bottom"/>
            <w:vMerge w:val="restart"/>
          </w:tcPr>
          <w:p>
            <w:pPr>
              <w:ind w:left="20"/>
              <w:spacing w:after="0"/>
              <w:rPr>
                <w:sz w:val="20"/>
                <w:szCs w:val="20"/>
                <w:color w:val="auto"/>
              </w:rPr>
            </w:pPr>
            <w:r>
              <w:rPr>
                <w:rFonts w:ascii="Arial" w:cs="Arial" w:eastAsia="Arial" w:hAnsi="Arial"/>
                <w:sz w:val="20"/>
                <w:szCs w:val="20"/>
                <w:color w:val="auto"/>
              </w:rPr>
              <w:t>reviews risk preparedness and mitigation, monitors regulatory compliance, and oversees</w:t>
            </w:r>
          </w:p>
        </w:tc>
        <w:tc>
          <w:tcPr>
            <w:tcW w:w="0" w:type="dxa"/>
            <w:vAlign w:val="bottom"/>
          </w:tcPr>
          <w:p>
            <w:pPr>
              <w:spacing w:after="0"/>
              <w:rPr>
                <w:sz w:val="1"/>
                <w:szCs w:val="1"/>
                <w:color w:val="auto"/>
              </w:rPr>
            </w:pPr>
          </w:p>
        </w:tc>
      </w:tr>
      <w:tr>
        <w:trPr>
          <w:trHeight w:val="183"/>
        </w:trPr>
        <w:tc>
          <w:tcPr>
            <w:tcW w:w="2460" w:type="dxa"/>
            <w:vAlign w:val="bottom"/>
          </w:tcPr>
          <w:p>
            <w:pPr>
              <w:ind w:left="20"/>
              <w:spacing w:after="0" w:line="183" w:lineRule="exact"/>
              <w:rPr>
                <w:sz w:val="20"/>
                <w:szCs w:val="20"/>
                <w:color w:val="auto"/>
              </w:rPr>
            </w:pPr>
            <w:r>
              <w:rPr>
                <w:rFonts w:ascii="Arial" w:cs="Arial" w:eastAsia="Arial" w:hAnsi="Arial"/>
                <w:sz w:val="20"/>
                <w:szCs w:val="20"/>
                <w:b w:val="1"/>
                <w:bCs w:val="1"/>
                <w:color w:val="auto"/>
              </w:rPr>
              <w:t>Jacque R. Fiegel</w:t>
            </w:r>
          </w:p>
        </w:tc>
        <w:tc>
          <w:tcPr>
            <w:tcW w:w="360" w:type="dxa"/>
            <w:vAlign w:val="bottom"/>
          </w:tcPr>
          <w:p>
            <w:pPr>
              <w:spacing w:after="0"/>
              <w:rPr>
                <w:sz w:val="15"/>
                <w:szCs w:val="15"/>
                <w:color w:val="auto"/>
              </w:rPr>
            </w:pPr>
          </w:p>
        </w:tc>
        <w:tc>
          <w:tcPr>
            <w:tcW w:w="82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460" w:type="dxa"/>
            <w:vAlign w:val="bottom"/>
            <w:tcBorders>
              <w:bottom w:val="single" w:sz="8" w:color="DBDBDB"/>
            </w:tcBorders>
          </w:tcPr>
          <w:p>
            <w:pPr>
              <w:spacing w:after="0"/>
              <w:rPr>
                <w:sz w:val="15"/>
                <w:szCs w:val="15"/>
                <w:color w:val="auto"/>
              </w:rPr>
            </w:pPr>
          </w:p>
        </w:tc>
        <w:tc>
          <w:tcPr>
            <w:tcW w:w="360" w:type="dxa"/>
            <w:vAlign w:val="bottom"/>
          </w:tcPr>
          <w:p>
            <w:pPr>
              <w:spacing w:after="0"/>
              <w:rPr>
                <w:sz w:val="15"/>
                <w:szCs w:val="15"/>
                <w:color w:val="auto"/>
              </w:rPr>
            </w:pPr>
          </w:p>
        </w:tc>
        <w:tc>
          <w:tcPr>
            <w:tcW w:w="8280" w:type="dxa"/>
            <w:vAlign w:val="bottom"/>
          </w:tcPr>
          <w:p>
            <w:pPr>
              <w:ind w:left="20"/>
              <w:spacing w:after="0" w:line="169" w:lineRule="exact"/>
              <w:rPr>
                <w:sz w:val="20"/>
                <w:szCs w:val="20"/>
                <w:color w:val="auto"/>
              </w:rPr>
            </w:pPr>
            <w:r>
              <w:rPr>
                <w:rFonts w:ascii="Arial" w:cs="Arial" w:eastAsia="Arial" w:hAnsi="Arial"/>
                <w:sz w:val="19"/>
                <w:szCs w:val="19"/>
                <w:color w:val="auto"/>
              </w:rPr>
              <w:t>response to regulatory requirements. All members of the Risk and Compliance Committee are</w:t>
            </w:r>
          </w:p>
        </w:tc>
        <w:tc>
          <w:tcPr>
            <w:tcW w:w="0" w:type="dxa"/>
            <w:vAlign w:val="bottom"/>
          </w:tcPr>
          <w:p>
            <w:pPr>
              <w:spacing w:after="0"/>
              <w:rPr>
                <w:sz w:val="1"/>
                <w:szCs w:val="1"/>
                <w:color w:val="auto"/>
              </w:rPr>
            </w:pPr>
          </w:p>
        </w:tc>
      </w:tr>
      <w:tr>
        <w:trPr>
          <w:trHeight w:val="296"/>
        </w:trPr>
        <w:tc>
          <w:tcPr>
            <w:tcW w:w="2460" w:type="dxa"/>
            <w:vAlign w:val="bottom"/>
          </w:tcPr>
          <w:p>
            <w:pPr>
              <w:ind w:left="20"/>
              <w:spacing w:after="0"/>
              <w:rPr>
                <w:sz w:val="20"/>
                <w:szCs w:val="20"/>
                <w:color w:val="auto"/>
              </w:rPr>
            </w:pPr>
            <w:r>
              <w:rPr>
                <w:rFonts w:ascii="Arial" w:cs="Arial" w:eastAsia="Arial" w:hAnsi="Arial"/>
                <w:sz w:val="20"/>
                <w:szCs w:val="20"/>
                <w:b w:val="1"/>
                <w:bCs w:val="1"/>
                <w:color w:val="auto"/>
              </w:rPr>
              <w:t>Shruti S. Miyashiro</w:t>
            </w:r>
          </w:p>
        </w:tc>
        <w:tc>
          <w:tcPr>
            <w:tcW w:w="360" w:type="dxa"/>
            <w:vAlign w:val="bottom"/>
          </w:tcPr>
          <w:p>
            <w:pPr>
              <w:spacing w:after="0"/>
              <w:rPr>
                <w:sz w:val="24"/>
                <w:szCs w:val="24"/>
                <w:color w:val="auto"/>
              </w:rPr>
            </w:pPr>
          </w:p>
        </w:tc>
        <w:tc>
          <w:tcPr>
            <w:tcW w:w="8280" w:type="dxa"/>
            <w:vAlign w:val="bottom"/>
          </w:tcPr>
          <w:p>
            <w:pPr>
              <w:ind w:left="20"/>
              <w:spacing w:after="0"/>
              <w:rPr>
                <w:sz w:val="20"/>
                <w:szCs w:val="20"/>
                <w:color w:val="auto"/>
              </w:rPr>
            </w:pPr>
            <w:r>
              <w:rPr>
                <w:rFonts w:ascii="Arial" w:cs="Arial" w:eastAsia="Arial" w:hAnsi="Arial"/>
                <w:sz w:val="20"/>
                <w:szCs w:val="20"/>
                <w:color w:val="auto"/>
              </w:rPr>
              <w:t>independent. Please see “Risk Oversight” above for further information about the Risk and</w:t>
            </w:r>
          </w:p>
        </w:tc>
        <w:tc>
          <w:tcPr>
            <w:tcW w:w="0" w:type="dxa"/>
            <w:vAlign w:val="bottom"/>
          </w:tcPr>
          <w:p>
            <w:pPr>
              <w:spacing w:after="0"/>
              <w:rPr>
                <w:sz w:val="1"/>
                <w:szCs w:val="1"/>
                <w:color w:val="auto"/>
              </w:rPr>
            </w:pPr>
          </w:p>
        </w:tc>
      </w:tr>
      <w:tr>
        <w:trPr>
          <w:trHeight w:val="62"/>
        </w:trPr>
        <w:tc>
          <w:tcPr>
            <w:tcW w:w="2460" w:type="dxa"/>
            <w:vAlign w:val="bottom"/>
            <w:tcBorders>
              <w:bottom w:val="single" w:sz="8" w:color="DBDBDB"/>
            </w:tcBorders>
          </w:tcPr>
          <w:p>
            <w:pPr>
              <w:spacing w:after="0"/>
              <w:rPr>
                <w:sz w:val="5"/>
                <w:szCs w:val="5"/>
                <w:color w:val="auto"/>
              </w:rPr>
            </w:pPr>
          </w:p>
        </w:tc>
        <w:tc>
          <w:tcPr>
            <w:tcW w:w="360" w:type="dxa"/>
            <w:vAlign w:val="bottom"/>
            <w:vMerge w:val="restart"/>
          </w:tcPr>
          <w:p>
            <w:pPr>
              <w:spacing w:after="0"/>
              <w:rPr>
                <w:sz w:val="5"/>
                <w:szCs w:val="5"/>
                <w:color w:val="auto"/>
              </w:rPr>
            </w:pPr>
          </w:p>
        </w:tc>
        <w:tc>
          <w:tcPr>
            <w:tcW w:w="8280" w:type="dxa"/>
            <w:vAlign w:val="bottom"/>
            <w:vMerge w:val="restart"/>
          </w:tcPr>
          <w:p>
            <w:pPr>
              <w:ind w:left="20"/>
              <w:spacing w:after="0"/>
              <w:rPr>
                <w:sz w:val="20"/>
                <w:szCs w:val="20"/>
                <w:color w:val="auto"/>
              </w:rPr>
            </w:pPr>
            <w:r>
              <w:rPr>
                <w:rFonts w:ascii="Arial" w:cs="Arial" w:eastAsia="Arial" w:hAnsi="Arial"/>
                <w:sz w:val="20"/>
                <w:szCs w:val="20"/>
                <w:color w:val="auto"/>
              </w:rPr>
              <w:t>Compliance Committee’s risk management responsibilities.</w:t>
            </w:r>
          </w:p>
        </w:tc>
        <w:tc>
          <w:tcPr>
            <w:tcW w:w="0" w:type="dxa"/>
            <w:vAlign w:val="bottom"/>
          </w:tcPr>
          <w:p>
            <w:pPr>
              <w:spacing w:after="0"/>
              <w:rPr>
                <w:sz w:val="1"/>
                <w:szCs w:val="1"/>
                <w:color w:val="auto"/>
              </w:rPr>
            </w:pPr>
          </w:p>
        </w:tc>
      </w:tr>
      <w:tr>
        <w:trPr>
          <w:trHeight w:val="179"/>
        </w:trPr>
        <w:tc>
          <w:tcPr>
            <w:tcW w:w="2460" w:type="dxa"/>
            <w:vAlign w:val="bottom"/>
            <w:vMerge w:val="restart"/>
          </w:tcPr>
          <w:p>
            <w:pPr>
              <w:ind w:left="20"/>
              <w:spacing w:after="0"/>
              <w:rPr>
                <w:sz w:val="20"/>
                <w:szCs w:val="20"/>
                <w:color w:val="auto"/>
              </w:rPr>
            </w:pPr>
            <w:r>
              <w:rPr>
                <w:rFonts w:ascii="Arial" w:cs="Arial" w:eastAsia="Arial" w:hAnsi="Arial"/>
                <w:sz w:val="20"/>
                <w:szCs w:val="20"/>
                <w:b w:val="1"/>
                <w:bCs w:val="1"/>
                <w:color w:val="auto"/>
              </w:rPr>
              <w:t>Tammy S. LoCascio</w:t>
            </w:r>
          </w:p>
        </w:tc>
        <w:tc>
          <w:tcPr>
            <w:tcW w:w="360" w:type="dxa"/>
            <w:vAlign w:val="bottom"/>
            <w:vMerge w:val="continue"/>
          </w:tcPr>
          <w:p>
            <w:pPr>
              <w:spacing w:after="0"/>
              <w:rPr>
                <w:sz w:val="15"/>
                <w:szCs w:val="15"/>
                <w:color w:val="auto"/>
              </w:rPr>
            </w:pPr>
          </w:p>
        </w:tc>
        <w:tc>
          <w:tcPr>
            <w:tcW w:w="82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88"/>
        </w:trPr>
        <w:tc>
          <w:tcPr>
            <w:tcW w:w="2460" w:type="dxa"/>
            <w:vAlign w:val="bottom"/>
            <w:vMerge w:val="continue"/>
          </w:tcPr>
          <w:p>
            <w:pPr>
              <w:spacing w:after="0"/>
              <w:rPr>
                <w:sz w:val="7"/>
                <w:szCs w:val="7"/>
                <w:color w:val="auto"/>
              </w:rPr>
            </w:pPr>
          </w:p>
        </w:tc>
        <w:tc>
          <w:tcPr>
            <w:tcW w:w="360" w:type="dxa"/>
            <w:vAlign w:val="bottom"/>
          </w:tcPr>
          <w:p>
            <w:pPr>
              <w:spacing w:after="0"/>
              <w:rPr>
                <w:sz w:val="7"/>
                <w:szCs w:val="7"/>
                <w:color w:val="auto"/>
              </w:rPr>
            </w:pPr>
          </w:p>
        </w:tc>
        <w:tc>
          <w:tcPr>
            <w:tcW w:w="82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1"/>
        </w:trPr>
        <w:tc>
          <w:tcPr>
            <w:tcW w:w="2460" w:type="dxa"/>
            <w:vAlign w:val="bottom"/>
            <w:tcBorders>
              <w:bottom w:val="single" w:sz="8" w:color="DBDBDB"/>
            </w:tcBorders>
          </w:tcPr>
          <w:p>
            <w:pPr>
              <w:spacing w:after="0"/>
              <w:rPr>
                <w:sz w:val="7"/>
                <w:szCs w:val="7"/>
                <w:color w:val="auto"/>
              </w:rPr>
            </w:pPr>
          </w:p>
        </w:tc>
        <w:tc>
          <w:tcPr>
            <w:tcW w:w="360" w:type="dxa"/>
            <w:vAlign w:val="bottom"/>
          </w:tcPr>
          <w:p>
            <w:pPr>
              <w:spacing w:after="0"/>
              <w:rPr>
                <w:sz w:val="7"/>
                <w:szCs w:val="7"/>
                <w:color w:val="auto"/>
              </w:rPr>
            </w:pPr>
          </w:p>
        </w:tc>
        <w:tc>
          <w:tcPr>
            <w:tcW w:w="82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309"/>
        </w:trPr>
        <w:tc>
          <w:tcPr>
            <w:tcW w:w="2460" w:type="dxa"/>
            <w:vAlign w:val="bottom"/>
          </w:tcPr>
          <w:p>
            <w:pPr>
              <w:ind w:left="20"/>
              <w:spacing w:after="0"/>
              <w:rPr>
                <w:sz w:val="20"/>
                <w:szCs w:val="20"/>
                <w:color w:val="auto"/>
              </w:rPr>
            </w:pPr>
            <w:r>
              <w:rPr>
                <w:rFonts w:ascii="Arial" w:cs="Arial" w:eastAsia="Arial" w:hAnsi="Arial"/>
                <w:sz w:val="20"/>
                <w:szCs w:val="20"/>
                <w:color w:val="auto"/>
              </w:rPr>
              <w:t>Meetings in</w:t>
            </w:r>
          </w:p>
        </w:tc>
        <w:tc>
          <w:tcPr>
            <w:tcW w:w="360" w:type="dxa"/>
            <w:vAlign w:val="bottom"/>
          </w:tcPr>
          <w:p>
            <w:pPr>
              <w:spacing w:after="0"/>
              <w:rPr>
                <w:sz w:val="24"/>
                <w:szCs w:val="24"/>
                <w:color w:val="auto"/>
              </w:rPr>
            </w:pPr>
          </w:p>
        </w:tc>
        <w:tc>
          <w:tcPr>
            <w:tcW w:w="8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1"/>
        </w:trPr>
        <w:tc>
          <w:tcPr>
            <w:tcW w:w="2460" w:type="dxa"/>
            <w:vAlign w:val="bottom"/>
            <w:tcBorders>
              <w:bottom w:val="single" w:sz="8" w:color="DBDBDB"/>
            </w:tcBorders>
          </w:tcPr>
          <w:p>
            <w:pPr>
              <w:ind w:left="20"/>
              <w:spacing w:after="0"/>
              <w:rPr>
                <w:sz w:val="20"/>
                <w:szCs w:val="20"/>
                <w:color w:val="auto"/>
              </w:rPr>
            </w:pPr>
            <w:r>
              <w:rPr>
                <w:rFonts w:ascii="Arial" w:cs="Arial" w:eastAsia="Arial" w:hAnsi="Arial"/>
                <w:sz w:val="20"/>
                <w:szCs w:val="20"/>
                <w:color w:val="auto"/>
              </w:rPr>
              <w:t>FY2024: 9</w:t>
            </w:r>
          </w:p>
        </w:tc>
        <w:tc>
          <w:tcPr>
            <w:tcW w:w="360" w:type="dxa"/>
            <w:vAlign w:val="bottom"/>
          </w:tcPr>
          <w:p>
            <w:pPr>
              <w:spacing w:after="0"/>
              <w:rPr>
                <w:sz w:val="21"/>
                <w:szCs w:val="21"/>
                <w:color w:val="auto"/>
              </w:rPr>
            </w:pPr>
          </w:p>
        </w:tc>
        <w:tc>
          <w:tcPr>
            <w:tcW w:w="8280" w:type="dxa"/>
            <w:vAlign w:val="bottom"/>
            <w:tcBorders>
              <w:bottom w:val="single" w:sz="8" w:color="DBDBDB"/>
            </w:tcBorders>
          </w:tcPr>
          <w:p>
            <w:pPr>
              <w:spacing w:after="0"/>
              <w:rPr>
                <w:sz w:val="21"/>
                <w:szCs w:val="21"/>
                <w:color w:val="auto"/>
              </w:rPr>
            </w:pPr>
          </w:p>
        </w:tc>
        <w:tc>
          <w:tcPr>
            <w:tcW w:w="0" w:type="dxa"/>
            <w:vAlign w:val="bottom"/>
          </w:tcPr>
          <w:p>
            <w:pPr>
              <w:spacing w:after="0"/>
              <w:rPr>
                <w:sz w:val="1"/>
                <w:szCs w:val="1"/>
                <w:color w:val="auto"/>
              </w:rPr>
            </w:pPr>
          </w:p>
        </w:tc>
      </w:tr>
    </w:tbl>
    <w:p>
      <w:pPr>
        <w:spacing w:after="0" w:line="32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Compensation Committee Interlocks and Insider Participation</w:t>
      </w:r>
    </w:p>
    <w:p>
      <w:pPr>
        <w:spacing w:after="0" w:line="366" w:lineRule="exact"/>
        <w:rPr>
          <w:sz w:val="20"/>
          <w:szCs w:val="20"/>
          <w:color w:val="auto"/>
        </w:rPr>
      </w:pPr>
    </w:p>
    <w:p>
      <w:pPr>
        <w:jc w:val="both"/>
        <w:spacing w:after="0" w:line="282" w:lineRule="auto"/>
        <w:rPr>
          <w:sz w:val="20"/>
          <w:szCs w:val="20"/>
          <w:color w:val="auto"/>
        </w:rPr>
      </w:pPr>
      <w:r>
        <w:rPr>
          <w:rFonts w:ascii="Arial" w:cs="Arial" w:eastAsia="Arial" w:hAnsi="Arial"/>
          <w:sz w:val="19"/>
          <w:szCs w:val="19"/>
          <w:color w:val="auto"/>
        </w:rPr>
        <w:t>During our 2024 fiscal year, Ms. Miyashiro and Messrs. Flanigan, Wilson, and Brown served on the Human Capital &amp; Compensation Committee. None of the members of the Human Capital &amp; Compensation Committee is currently or was formerly an officer or employee of the Company. Ms. Miyashiro is President and CEO of Digital Federal Credit Union and was previously President and CEO of Orange County’s Credit Union, both of which are customers of the Company as described below in “Certain Relationships and Related Transactions.” There are no other Human Capital &amp; Compensation Committee interlocks and no insider participation in compensation decisions that are required to be reported under the SEC’s rules and regulations.</w:t>
      </w:r>
    </w:p>
    <w:p>
      <w:pPr>
        <w:spacing w:after="0" w:line="18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Director Compensation</w:t>
      </w:r>
    </w:p>
    <w:p>
      <w:pPr>
        <w:spacing w:after="0" w:line="258" w:lineRule="exact"/>
        <w:rPr>
          <w:sz w:val="20"/>
          <w:szCs w:val="20"/>
          <w:color w:val="auto"/>
        </w:rPr>
      </w:pPr>
    </w:p>
    <w:p>
      <w:pPr>
        <w:jc w:val="both"/>
        <w:spacing w:after="0" w:line="268" w:lineRule="auto"/>
        <w:rPr>
          <w:sz w:val="20"/>
          <w:szCs w:val="20"/>
          <w:color w:val="auto"/>
        </w:rPr>
      </w:pPr>
      <w:r>
        <w:rPr>
          <w:rFonts w:ascii="Arial" w:cs="Arial" w:eastAsia="Arial" w:hAnsi="Arial"/>
          <w:sz w:val="20"/>
          <w:szCs w:val="20"/>
          <w:color w:val="auto"/>
        </w:rPr>
        <w:t>The Human Capital &amp; Compensation Committee reviews annually the compensation for non-employee directors, as well as comparative compensation data for peer companies provided by its independent advisor. If the Human Capital &amp; Compensation Committee determines that a change to non-employee director compensation is advisable, it provides a recommendation to the Board and the Board considers this recommendation for approval. The following table sets forth compensation paid to our non-employee directors in fiscal 2024. A director who is employed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21590</wp:posOffset>
            </wp:positionV>
            <wp:extent cx="7132320" cy="3511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32320" cy="351155"/>
                    </a:xfrm>
                    <a:prstGeom prst="rect">
                      <a:avLst/>
                    </a:prstGeom>
                    <a:noFill/>
                  </pic:spPr>
                </pic:pic>
              </a:graphicData>
            </a:graphic>
          </wp:anchor>
        </w:drawing>
      </w:r>
    </w:p>
    <w:p>
      <w:pPr>
        <w:spacing w:after="0" w:line="224" w:lineRule="exact"/>
        <w:rPr>
          <w:sz w:val="20"/>
          <w:szCs w:val="20"/>
          <w:color w:val="auto"/>
        </w:rPr>
      </w:pPr>
    </w:p>
    <w:p>
      <w:pPr>
        <w:ind w:left="20"/>
        <w:spacing w:after="0"/>
        <w:tabs>
          <w:tab w:leader="none" w:pos="440" w:val="left"/>
        </w:tabs>
        <w:rPr>
          <w:sz w:val="20"/>
          <w:szCs w:val="20"/>
          <w:color w:val="auto"/>
        </w:rPr>
      </w:pPr>
      <w:r>
        <w:rPr>
          <w:rFonts w:ascii="Arial" w:cs="Arial" w:eastAsia="Arial" w:hAnsi="Arial"/>
          <w:sz w:val="18"/>
          <w:szCs w:val="18"/>
          <w:color w:val="auto"/>
        </w:rPr>
        <w:t>20</w:t>
        <w:tab/>
        <w:t>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262255</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6" w:right="339" w:bottom="1440" w:gutter="0" w:footer="0" w:header="0"/>
        </w:sectPr>
      </w:pPr>
    </w:p>
    <w:bookmarkStart w:id="23" w:name="page24"/>
    <w:bookmarkEnd w:id="23"/>
    <w:p>
      <w:pPr>
        <w:spacing w:after="0" w:line="286" w:lineRule="auto"/>
        <w:rPr>
          <w:sz w:val="20"/>
          <w:szCs w:val="20"/>
          <w:color w:val="auto"/>
        </w:rPr>
      </w:pPr>
      <w:r>
        <w:rPr>
          <w:rFonts w:ascii="Arial" w:cs="Arial" w:eastAsia="Arial" w:hAnsi="Arial"/>
          <w:sz w:val="20"/>
          <w:szCs w:val="20"/>
          <w:color w:val="auto"/>
        </w:rPr>
        <w:t>by the Company does not receive any separate compensation for service on the Board. The compensation paid to Mr. Foss as an employee is detailed below at “Executive Compensation.”</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120" w:type="dxa"/>
            <w:vAlign w:val="bottom"/>
            <w:vMerge w:val="restart"/>
            <w:shd w:val="clear" w:color="auto" w:fill="E8F7F7"/>
          </w:tcPr>
          <w:p>
            <w:pPr>
              <w:ind w:left="20"/>
              <w:spacing w:after="0"/>
              <w:rPr>
                <w:sz w:val="20"/>
                <w:szCs w:val="20"/>
                <w:color w:val="auto"/>
              </w:rPr>
            </w:pPr>
            <w:r>
              <w:rPr>
                <w:rFonts w:ascii="Arial" w:cs="Arial" w:eastAsia="Arial" w:hAnsi="Arial"/>
                <w:sz w:val="14"/>
                <w:szCs w:val="14"/>
                <w:b w:val="1"/>
                <w:bCs w:val="1"/>
                <w:color w:val="auto"/>
              </w:rPr>
              <w:t>Name</w:t>
            </w:r>
          </w:p>
        </w:tc>
        <w:tc>
          <w:tcPr>
            <w:tcW w:w="400" w:type="dxa"/>
            <w:vAlign w:val="bottom"/>
            <w:shd w:val="clear" w:color="auto" w:fill="E8F7F7"/>
          </w:tcPr>
          <w:p>
            <w:pPr>
              <w:spacing w:after="0"/>
              <w:rPr>
                <w:sz w:val="14"/>
                <w:szCs w:val="14"/>
                <w:color w:val="auto"/>
              </w:rPr>
            </w:pPr>
          </w:p>
        </w:tc>
        <w:tc>
          <w:tcPr>
            <w:tcW w:w="1640" w:type="dxa"/>
            <w:vAlign w:val="bottom"/>
            <w:shd w:val="clear" w:color="auto" w:fill="E8F7F7"/>
          </w:tcPr>
          <w:p>
            <w:pPr>
              <w:jc w:val="center"/>
              <w:ind w:right="201"/>
              <w:spacing w:after="0"/>
              <w:rPr>
                <w:sz w:val="20"/>
                <w:szCs w:val="20"/>
                <w:color w:val="auto"/>
              </w:rPr>
            </w:pPr>
            <w:r>
              <w:rPr>
                <w:rFonts w:ascii="Arial" w:cs="Arial" w:eastAsia="Arial" w:hAnsi="Arial"/>
                <w:sz w:val="14"/>
                <w:szCs w:val="14"/>
                <w:b w:val="1"/>
                <w:bCs w:val="1"/>
                <w:color w:val="auto"/>
              </w:rPr>
              <w:t>Fees Earned or</w:t>
            </w:r>
          </w:p>
        </w:tc>
        <w:tc>
          <w:tcPr>
            <w:tcW w:w="1280" w:type="dxa"/>
            <w:vAlign w:val="bottom"/>
            <w:vMerge w:val="restart"/>
            <w:shd w:val="clear" w:color="auto" w:fill="E8F7F7"/>
          </w:tcPr>
          <w:p>
            <w:pPr>
              <w:ind w:left="260"/>
              <w:spacing w:after="0"/>
              <w:rPr>
                <w:sz w:val="20"/>
                <w:szCs w:val="20"/>
                <w:color w:val="auto"/>
              </w:rPr>
            </w:pPr>
            <w:r>
              <w:rPr>
                <w:rFonts w:ascii="Arial" w:cs="Arial" w:eastAsia="Arial" w:hAnsi="Arial"/>
                <w:sz w:val="14"/>
                <w:szCs w:val="14"/>
                <w:b w:val="1"/>
                <w:bCs w:val="1"/>
                <w:color w:val="auto"/>
              </w:rPr>
              <w:t>Stock Awards</w:t>
            </w:r>
          </w:p>
        </w:tc>
        <w:tc>
          <w:tcPr>
            <w:tcW w:w="480" w:type="dxa"/>
            <w:vAlign w:val="bottom"/>
            <w:shd w:val="clear" w:color="auto" w:fill="E8F7F7"/>
          </w:tcPr>
          <w:p>
            <w:pPr>
              <w:spacing w:after="0"/>
              <w:rPr>
                <w:sz w:val="14"/>
                <w:szCs w:val="14"/>
                <w:color w:val="auto"/>
              </w:rPr>
            </w:pPr>
          </w:p>
        </w:tc>
        <w:tc>
          <w:tcPr>
            <w:tcW w:w="920" w:type="dxa"/>
            <w:vAlign w:val="bottom"/>
            <w:shd w:val="clear" w:color="auto" w:fill="E8F7F7"/>
          </w:tcPr>
          <w:p>
            <w:pPr>
              <w:ind w:left="200"/>
              <w:spacing w:after="0"/>
              <w:rPr>
                <w:sz w:val="20"/>
                <w:szCs w:val="20"/>
                <w:color w:val="auto"/>
              </w:rPr>
            </w:pPr>
            <w:r>
              <w:rPr>
                <w:rFonts w:ascii="Arial" w:cs="Arial" w:eastAsia="Arial" w:hAnsi="Arial"/>
                <w:sz w:val="14"/>
                <w:szCs w:val="14"/>
                <w:b w:val="1"/>
                <w:bCs w:val="1"/>
                <w:color w:val="auto"/>
              </w:rPr>
              <w:t>Options</w:t>
            </w:r>
          </w:p>
        </w:tc>
        <w:tc>
          <w:tcPr>
            <w:tcW w:w="1780" w:type="dxa"/>
            <w:vAlign w:val="bottom"/>
            <w:shd w:val="clear" w:color="auto" w:fill="E8F7F7"/>
          </w:tcPr>
          <w:p>
            <w:pPr>
              <w:jc w:val="center"/>
              <w:spacing w:after="0"/>
              <w:rPr>
                <w:sz w:val="20"/>
                <w:szCs w:val="20"/>
                <w:color w:val="auto"/>
              </w:rPr>
            </w:pPr>
            <w:r>
              <w:rPr>
                <w:rFonts w:ascii="Arial" w:cs="Arial" w:eastAsia="Arial" w:hAnsi="Arial"/>
                <w:sz w:val="14"/>
                <w:szCs w:val="14"/>
                <w:b w:val="1"/>
                <w:bCs w:val="1"/>
                <w:color w:val="auto"/>
              </w:rPr>
              <w:t>Non-Equity Incentive</w:t>
            </w:r>
          </w:p>
        </w:tc>
        <w:tc>
          <w:tcPr>
            <w:tcW w:w="1520" w:type="dxa"/>
            <w:vAlign w:val="bottom"/>
            <w:shd w:val="clear" w:color="auto" w:fill="E8F7F7"/>
          </w:tcPr>
          <w:p>
            <w:pPr>
              <w:jc w:val="center"/>
              <w:ind w:right="81"/>
              <w:spacing w:after="0"/>
              <w:rPr>
                <w:sz w:val="20"/>
                <w:szCs w:val="20"/>
                <w:color w:val="auto"/>
              </w:rPr>
            </w:pPr>
            <w:r>
              <w:rPr>
                <w:rFonts w:ascii="Arial" w:cs="Arial" w:eastAsia="Arial" w:hAnsi="Arial"/>
                <w:sz w:val="14"/>
                <w:szCs w:val="14"/>
                <w:b w:val="1"/>
                <w:bCs w:val="1"/>
                <w:color w:val="auto"/>
              </w:rPr>
              <w:t>All Other</w:t>
            </w:r>
          </w:p>
        </w:tc>
        <w:tc>
          <w:tcPr>
            <w:tcW w:w="1100" w:type="dxa"/>
            <w:vAlign w:val="bottom"/>
            <w:shd w:val="clear" w:color="auto" w:fill="E8F7F7"/>
          </w:tcPr>
          <w:p>
            <w:pPr>
              <w:spacing w:after="0"/>
              <w:rPr>
                <w:sz w:val="14"/>
                <w:szCs w:val="14"/>
                <w:color w:val="auto"/>
              </w:rPr>
            </w:pPr>
          </w:p>
        </w:tc>
        <w:tc>
          <w:tcPr>
            <w:tcW w:w="0" w:type="dxa"/>
            <w:vAlign w:val="bottom"/>
          </w:tcPr>
          <w:p>
            <w:pPr>
              <w:spacing w:after="0"/>
              <w:rPr>
                <w:sz w:val="1"/>
                <w:szCs w:val="1"/>
                <w:color w:val="auto"/>
              </w:rPr>
            </w:pPr>
          </w:p>
        </w:tc>
      </w:tr>
      <w:tr>
        <w:trPr>
          <w:trHeight w:val="106"/>
        </w:trPr>
        <w:tc>
          <w:tcPr>
            <w:tcW w:w="2120" w:type="dxa"/>
            <w:vAlign w:val="bottom"/>
            <w:vMerge w:val="continue"/>
            <w:shd w:val="clear" w:color="auto" w:fill="E8F7F7"/>
          </w:tcPr>
          <w:p>
            <w:pPr>
              <w:spacing w:after="0"/>
              <w:rPr>
                <w:sz w:val="9"/>
                <w:szCs w:val="9"/>
                <w:color w:val="auto"/>
              </w:rPr>
            </w:pPr>
          </w:p>
        </w:tc>
        <w:tc>
          <w:tcPr>
            <w:tcW w:w="400" w:type="dxa"/>
            <w:vAlign w:val="bottom"/>
            <w:shd w:val="clear" w:color="auto" w:fill="E8F7F7"/>
          </w:tcPr>
          <w:p>
            <w:pPr>
              <w:spacing w:after="0"/>
              <w:rPr>
                <w:sz w:val="9"/>
                <w:szCs w:val="9"/>
                <w:color w:val="auto"/>
              </w:rPr>
            </w:pPr>
          </w:p>
        </w:tc>
        <w:tc>
          <w:tcPr>
            <w:tcW w:w="1640" w:type="dxa"/>
            <w:vAlign w:val="bottom"/>
            <w:vMerge w:val="restart"/>
            <w:shd w:val="clear" w:color="auto" w:fill="E8F7F7"/>
          </w:tcPr>
          <w:p>
            <w:pPr>
              <w:jc w:val="center"/>
              <w:ind w:right="181"/>
              <w:spacing w:after="0"/>
              <w:rPr>
                <w:sz w:val="20"/>
                <w:szCs w:val="20"/>
                <w:color w:val="auto"/>
              </w:rPr>
            </w:pPr>
            <w:r>
              <w:rPr>
                <w:rFonts w:ascii="Arial" w:cs="Arial" w:eastAsia="Arial" w:hAnsi="Arial"/>
                <w:sz w:val="14"/>
                <w:szCs w:val="14"/>
                <w:b w:val="1"/>
                <w:bCs w:val="1"/>
                <w:color w:val="auto"/>
              </w:rPr>
              <w:t>Paid in Cash</w:t>
            </w:r>
          </w:p>
        </w:tc>
        <w:tc>
          <w:tcPr>
            <w:tcW w:w="1280" w:type="dxa"/>
            <w:vAlign w:val="bottom"/>
            <w:vMerge w:val="continue"/>
            <w:shd w:val="clear" w:color="auto" w:fill="E8F7F7"/>
          </w:tcPr>
          <w:p>
            <w:pPr>
              <w:spacing w:after="0"/>
              <w:rPr>
                <w:sz w:val="9"/>
                <w:szCs w:val="9"/>
                <w:color w:val="auto"/>
              </w:rPr>
            </w:pPr>
          </w:p>
        </w:tc>
        <w:tc>
          <w:tcPr>
            <w:tcW w:w="480" w:type="dxa"/>
            <w:vAlign w:val="bottom"/>
            <w:shd w:val="clear" w:color="auto" w:fill="E8F7F7"/>
          </w:tcPr>
          <w:p>
            <w:pPr>
              <w:spacing w:after="0"/>
              <w:rPr>
                <w:sz w:val="9"/>
                <w:szCs w:val="9"/>
                <w:color w:val="auto"/>
              </w:rPr>
            </w:pPr>
          </w:p>
        </w:tc>
        <w:tc>
          <w:tcPr>
            <w:tcW w:w="920" w:type="dxa"/>
            <w:vAlign w:val="bottom"/>
            <w:vMerge w:val="restart"/>
            <w:shd w:val="clear" w:color="auto" w:fill="E8F7F7"/>
          </w:tcPr>
          <w:p>
            <w:pPr>
              <w:ind w:left="220"/>
              <w:spacing w:after="0"/>
              <w:rPr>
                <w:sz w:val="20"/>
                <w:szCs w:val="20"/>
                <w:color w:val="auto"/>
              </w:rPr>
            </w:pPr>
            <w:r>
              <w:rPr>
                <w:rFonts w:ascii="Arial" w:cs="Arial" w:eastAsia="Arial" w:hAnsi="Arial"/>
                <w:sz w:val="14"/>
                <w:szCs w:val="14"/>
                <w:b w:val="1"/>
                <w:bCs w:val="1"/>
                <w:color w:val="auto"/>
              </w:rPr>
              <w:t>Awards</w:t>
            </w:r>
          </w:p>
        </w:tc>
        <w:tc>
          <w:tcPr>
            <w:tcW w:w="1780" w:type="dxa"/>
            <w:vAlign w:val="bottom"/>
            <w:vMerge w:val="restart"/>
            <w:shd w:val="clear" w:color="auto" w:fill="E8F7F7"/>
          </w:tcPr>
          <w:p>
            <w:pPr>
              <w:jc w:val="center"/>
              <w:spacing w:after="0"/>
              <w:rPr>
                <w:sz w:val="20"/>
                <w:szCs w:val="20"/>
                <w:color w:val="auto"/>
              </w:rPr>
            </w:pPr>
            <w:r>
              <w:rPr>
                <w:rFonts w:ascii="Arial" w:cs="Arial" w:eastAsia="Arial" w:hAnsi="Arial"/>
                <w:sz w:val="14"/>
                <w:szCs w:val="14"/>
                <w:b w:val="1"/>
                <w:bCs w:val="1"/>
                <w:color w:val="auto"/>
              </w:rPr>
              <w:t>Plan Compensation</w:t>
            </w:r>
          </w:p>
        </w:tc>
        <w:tc>
          <w:tcPr>
            <w:tcW w:w="1520" w:type="dxa"/>
            <w:vAlign w:val="bottom"/>
            <w:vMerge w:val="restart"/>
            <w:shd w:val="clear" w:color="auto" w:fill="E8F7F7"/>
          </w:tcPr>
          <w:p>
            <w:pPr>
              <w:jc w:val="center"/>
              <w:ind w:right="81"/>
              <w:spacing w:after="0"/>
              <w:rPr>
                <w:sz w:val="20"/>
                <w:szCs w:val="20"/>
                <w:color w:val="auto"/>
              </w:rPr>
            </w:pPr>
            <w:r>
              <w:rPr>
                <w:rFonts w:ascii="Arial" w:cs="Arial" w:eastAsia="Arial" w:hAnsi="Arial"/>
                <w:sz w:val="14"/>
                <w:szCs w:val="14"/>
                <w:b w:val="1"/>
                <w:bCs w:val="1"/>
                <w:color w:val="auto"/>
              </w:rPr>
              <w:t>Compensation</w:t>
            </w:r>
          </w:p>
        </w:tc>
        <w:tc>
          <w:tcPr>
            <w:tcW w:w="1100" w:type="dxa"/>
            <w:vAlign w:val="bottom"/>
            <w:vMerge w:val="restart"/>
            <w:shd w:val="clear" w:color="auto" w:fill="E8F7F7"/>
          </w:tcPr>
          <w:p>
            <w:pPr>
              <w:jc w:val="right"/>
              <w:ind w:right="3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69"/>
        </w:trPr>
        <w:tc>
          <w:tcPr>
            <w:tcW w:w="2120" w:type="dxa"/>
            <w:vAlign w:val="bottom"/>
            <w:shd w:val="clear" w:color="auto" w:fill="E8F7F7"/>
          </w:tcPr>
          <w:p>
            <w:pPr>
              <w:spacing w:after="0"/>
              <w:rPr>
                <w:sz w:val="6"/>
                <w:szCs w:val="6"/>
                <w:color w:val="auto"/>
              </w:rPr>
            </w:pPr>
          </w:p>
        </w:tc>
        <w:tc>
          <w:tcPr>
            <w:tcW w:w="400" w:type="dxa"/>
            <w:vAlign w:val="bottom"/>
            <w:shd w:val="clear" w:color="auto" w:fill="E8F7F7"/>
          </w:tcPr>
          <w:p>
            <w:pPr>
              <w:spacing w:after="0"/>
              <w:rPr>
                <w:sz w:val="6"/>
                <w:szCs w:val="6"/>
                <w:color w:val="auto"/>
              </w:rPr>
            </w:pPr>
          </w:p>
        </w:tc>
        <w:tc>
          <w:tcPr>
            <w:tcW w:w="1640" w:type="dxa"/>
            <w:vAlign w:val="bottom"/>
            <w:vMerge w:val="continue"/>
            <w:shd w:val="clear" w:color="auto" w:fill="E8F7F7"/>
          </w:tcPr>
          <w:p>
            <w:pPr>
              <w:spacing w:after="0"/>
              <w:rPr>
                <w:sz w:val="6"/>
                <w:szCs w:val="6"/>
                <w:color w:val="auto"/>
              </w:rPr>
            </w:pPr>
          </w:p>
        </w:tc>
        <w:tc>
          <w:tcPr>
            <w:tcW w:w="1280" w:type="dxa"/>
            <w:vAlign w:val="bottom"/>
            <w:shd w:val="clear" w:color="auto" w:fill="E8F7F7"/>
          </w:tcPr>
          <w:p>
            <w:pPr>
              <w:spacing w:after="0"/>
              <w:rPr>
                <w:sz w:val="6"/>
                <w:szCs w:val="6"/>
                <w:color w:val="auto"/>
              </w:rPr>
            </w:pPr>
          </w:p>
        </w:tc>
        <w:tc>
          <w:tcPr>
            <w:tcW w:w="480" w:type="dxa"/>
            <w:vAlign w:val="bottom"/>
            <w:shd w:val="clear" w:color="auto" w:fill="E8F7F7"/>
          </w:tcPr>
          <w:p>
            <w:pPr>
              <w:spacing w:after="0"/>
              <w:rPr>
                <w:sz w:val="6"/>
                <w:szCs w:val="6"/>
                <w:color w:val="auto"/>
              </w:rPr>
            </w:pPr>
          </w:p>
        </w:tc>
        <w:tc>
          <w:tcPr>
            <w:tcW w:w="920" w:type="dxa"/>
            <w:vAlign w:val="bottom"/>
            <w:vMerge w:val="continue"/>
            <w:shd w:val="clear" w:color="auto" w:fill="E8F7F7"/>
          </w:tcPr>
          <w:p>
            <w:pPr>
              <w:spacing w:after="0"/>
              <w:rPr>
                <w:sz w:val="6"/>
                <w:szCs w:val="6"/>
                <w:color w:val="auto"/>
              </w:rPr>
            </w:pPr>
          </w:p>
        </w:tc>
        <w:tc>
          <w:tcPr>
            <w:tcW w:w="1780" w:type="dxa"/>
            <w:vAlign w:val="bottom"/>
            <w:vMerge w:val="continue"/>
            <w:shd w:val="clear" w:color="auto" w:fill="E8F7F7"/>
          </w:tcPr>
          <w:p>
            <w:pPr>
              <w:spacing w:after="0"/>
              <w:rPr>
                <w:sz w:val="6"/>
                <w:szCs w:val="6"/>
                <w:color w:val="auto"/>
              </w:rPr>
            </w:pPr>
          </w:p>
        </w:tc>
        <w:tc>
          <w:tcPr>
            <w:tcW w:w="1520" w:type="dxa"/>
            <w:vAlign w:val="bottom"/>
            <w:vMerge w:val="continue"/>
            <w:shd w:val="clear" w:color="auto" w:fill="E8F7F7"/>
          </w:tcPr>
          <w:p>
            <w:pPr>
              <w:spacing w:after="0"/>
              <w:rPr>
                <w:sz w:val="6"/>
                <w:szCs w:val="6"/>
                <w:color w:val="auto"/>
              </w:rPr>
            </w:pPr>
          </w:p>
        </w:tc>
        <w:tc>
          <w:tcPr>
            <w:tcW w:w="1100" w:type="dxa"/>
            <w:vAlign w:val="bottom"/>
            <w:vMerge w:val="continue"/>
            <w:shd w:val="clear" w:color="auto" w:fill="E8F7F7"/>
          </w:tcPr>
          <w:p>
            <w:pPr>
              <w:spacing w:after="0"/>
              <w:rPr>
                <w:sz w:val="6"/>
                <w:szCs w:val="6"/>
                <w:color w:val="auto"/>
              </w:rPr>
            </w:pPr>
          </w:p>
        </w:tc>
        <w:tc>
          <w:tcPr>
            <w:tcW w:w="0" w:type="dxa"/>
            <w:vAlign w:val="bottom"/>
          </w:tcPr>
          <w:p>
            <w:pPr>
              <w:spacing w:after="0"/>
              <w:rPr>
                <w:sz w:val="1"/>
                <w:szCs w:val="1"/>
                <w:color w:val="auto"/>
              </w:rPr>
            </w:pPr>
          </w:p>
        </w:tc>
      </w:tr>
      <w:tr>
        <w:trPr>
          <w:trHeight w:val="248"/>
        </w:trPr>
        <w:tc>
          <w:tcPr>
            <w:tcW w:w="2120" w:type="dxa"/>
            <w:vAlign w:val="bottom"/>
            <w:tcBorders>
              <w:bottom w:val="single" w:sz="8" w:color="E8F7F7"/>
            </w:tcBorders>
            <w:shd w:val="clear" w:color="auto" w:fill="E8F7F7"/>
          </w:tcPr>
          <w:p>
            <w:pPr>
              <w:spacing w:after="0"/>
              <w:rPr>
                <w:sz w:val="21"/>
                <w:szCs w:val="21"/>
                <w:color w:val="auto"/>
              </w:rPr>
            </w:pPr>
          </w:p>
        </w:tc>
        <w:tc>
          <w:tcPr>
            <w:tcW w:w="400" w:type="dxa"/>
            <w:vAlign w:val="bottom"/>
            <w:tcBorders>
              <w:bottom w:val="single" w:sz="8" w:color="E8F7F7"/>
            </w:tcBorders>
            <w:shd w:val="clear" w:color="auto" w:fill="E8F7F7"/>
          </w:tcPr>
          <w:p>
            <w:pPr>
              <w:spacing w:after="0"/>
              <w:rPr>
                <w:sz w:val="21"/>
                <w:szCs w:val="21"/>
                <w:color w:val="auto"/>
              </w:rPr>
            </w:pPr>
          </w:p>
        </w:tc>
        <w:tc>
          <w:tcPr>
            <w:tcW w:w="1640" w:type="dxa"/>
            <w:vAlign w:val="bottom"/>
            <w:tcBorders>
              <w:bottom w:val="single" w:sz="8" w:color="E8F7F7"/>
            </w:tcBorders>
            <w:shd w:val="clear" w:color="auto" w:fill="E8F7F7"/>
          </w:tcPr>
          <w:p>
            <w:pPr>
              <w:jc w:val="center"/>
              <w:ind w:right="201"/>
              <w:spacing w:after="0"/>
              <w:rPr>
                <w:sz w:val="20"/>
                <w:szCs w:val="20"/>
                <w:color w:val="auto"/>
              </w:rPr>
            </w:pPr>
            <w:r>
              <w:rPr>
                <w:rFonts w:ascii="Arial" w:cs="Arial" w:eastAsia="Arial" w:hAnsi="Arial"/>
                <w:sz w:val="16"/>
                <w:szCs w:val="16"/>
                <w:b w:val="1"/>
                <w:bCs w:val="1"/>
                <w:color w:val="auto"/>
              </w:rPr>
              <w:t>($)</w:t>
            </w:r>
          </w:p>
        </w:tc>
        <w:tc>
          <w:tcPr>
            <w:tcW w:w="1280" w:type="dxa"/>
            <w:vAlign w:val="bottom"/>
            <w:tcBorders>
              <w:bottom w:val="single" w:sz="8" w:color="E8F7F7"/>
            </w:tcBorders>
            <w:shd w:val="clear" w:color="auto" w:fill="E8F7F7"/>
          </w:tcPr>
          <w:p>
            <w:pPr>
              <w:jc w:val="center"/>
              <w:ind w:left="240"/>
              <w:spacing w:after="0"/>
              <w:rPr>
                <w:sz w:val="20"/>
                <w:szCs w:val="20"/>
                <w:color w:val="auto"/>
              </w:rPr>
            </w:pPr>
            <w:r>
              <w:rPr>
                <w:rFonts w:ascii="Arial" w:cs="Arial" w:eastAsia="Arial" w:hAnsi="Arial"/>
                <w:sz w:val="16"/>
                <w:szCs w:val="16"/>
                <w:b w:val="1"/>
                <w:bCs w:val="1"/>
                <w:color w:val="auto"/>
              </w:rPr>
              <w:t>($) (1) (2)</w:t>
            </w:r>
          </w:p>
        </w:tc>
        <w:tc>
          <w:tcPr>
            <w:tcW w:w="480" w:type="dxa"/>
            <w:vAlign w:val="bottom"/>
            <w:tcBorders>
              <w:bottom w:val="single" w:sz="8" w:color="E8F7F7"/>
            </w:tcBorders>
            <w:shd w:val="clear" w:color="auto" w:fill="E8F7F7"/>
          </w:tcPr>
          <w:p>
            <w:pPr>
              <w:spacing w:after="0"/>
              <w:rPr>
                <w:sz w:val="21"/>
                <w:szCs w:val="21"/>
                <w:color w:val="auto"/>
              </w:rPr>
            </w:pPr>
          </w:p>
        </w:tc>
        <w:tc>
          <w:tcPr>
            <w:tcW w:w="920" w:type="dxa"/>
            <w:vAlign w:val="bottom"/>
            <w:tcBorders>
              <w:bottom w:val="single" w:sz="8" w:color="E8F7F7"/>
            </w:tcBorders>
            <w:shd w:val="clear" w:color="auto" w:fill="E8F7F7"/>
          </w:tcPr>
          <w:p>
            <w:pPr>
              <w:jc w:val="center"/>
              <w:spacing w:after="0"/>
              <w:rPr>
                <w:sz w:val="20"/>
                <w:szCs w:val="20"/>
                <w:color w:val="auto"/>
              </w:rPr>
            </w:pPr>
            <w:r>
              <w:rPr>
                <w:rFonts w:ascii="Arial" w:cs="Arial" w:eastAsia="Arial" w:hAnsi="Arial"/>
                <w:sz w:val="16"/>
                <w:szCs w:val="16"/>
                <w:b w:val="1"/>
                <w:bCs w:val="1"/>
                <w:color w:val="auto"/>
              </w:rPr>
              <w:t>($)</w:t>
            </w:r>
          </w:p>
        </w:tc>
        <w:tc>
          <w:tcPr>
            <w:tcW w:w="1780" w:type="dxa"/>
            <w:vAlign w:val="bottom"/>
            <w:tcBorders>
              <w:bottom w:val="single" w:sz="8" w:color="E8F7F7"/>
            </w:tcBorders>
            <w:shd w:val="clear" w:color="auto" w:fill="E8F7F7"/>
          </w:tcPr>
          <w:p>
            <w:pPr>
              <w:jc w:val="center"/>
              <w:spacing w:after="0"/>
              <w:rPr>
                <w:sz w:val="20"/>
                <w:szCs w:val="20"/>
                <w:color w:val="auto"/>
              </w:rPr>
            </w:pPr>
            <w:r>
              <w:rPr>
                <w:rFonts w:ascii="Arial" w:cs="Arial" w:eastAsia="Arial" w:hAnsi="Arial"/>
                <w:sz w:val="16"/>
                <w:szCs w:val="16"/>
                <w:b w:val="1"/>
                <w:bCs w:val="1"/>
                <w:color w:val="auto"/>
              </w:rPr>
              <w:t>($)</w:t>
            </w:r>
          </w:p>
        </w:tc>
        <w:tc>
          <w:tcPr>
            <w:tcW w:w="1520" w:type="dxa"/>
            <w:vAlign w:val="bottom"/>
            <w:tcBorders>
              <w:bottom w:val="single" w:sz="8" w:color="E8F7F7"/>
            </w:tcBorders>
            <w:shd w:val="clear" w:color="auto" w:fill="E8F7F7"/>
          </w:tcPr>
          <w:p>
            <w:pPr>
              <w:jc w:val="center"/>
              <w:ind w:right="81"/>
              <w:spacing w:after="0"/>
              <w:rPr>
                <w:sz w:val="20"/>
                <w:szCs w:val="20"/>
                <w:color w:val="auto"/>
              </w:rPr>
            </w:pPr>
            <w:r>
              <w:rPr>
                <w:rFonts w:ascii="Arial" w:cs="Arial" w:eastAsia="Arial" w:hAnsi="Arial"/>
                <w:sz w:val="16"/>
                <w:szCs w:val="16"/>
                <w:b w:val="1"/>
                <w:bCs w:val="1"/>
                <w:color w:val="auto"/>
              </w:rPr>
              <w:t>($)</w:t>
            </w:r>
          </w:p>
        </w:tc>
        <w:tc>
          <w:tcPr>
            <w:tcW w:w="1100" w:type="dxa"/>
            <w:vAlign w:val="bottom"/>
            <w:tcBorders>
              <w:bottom w:val="single" w:sz="8" w:color="E8F7F7"/>
            </w:tcBorders>
            <w:shd w:val="clear" w:color="auto" w:fill="E8F7F7"/>
          </w:tcPr>
          <w:p>
            <w:pPr>
              <w:jc w:val="right"/>
              <w:ind w:right="400"/>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208"/>
        </w:trPr>
        <w:tc>
          <w:tcPr>
            <w:tcW w:w="2120" w:type="dxa"/>
            <w:vAlign w:val="bottom"/>
            <w:tcBorders>
              <w:top w:val="single" w:sz="8" w:color="auto"/>
            </w:tcBorders>
          </w:tcPr>
          <w:p>
            <w:pPr>
              <w:ind w:left="20"/>
              <w:spacing w:after="0"/>
              <w:rPr>
                <w:sz w:val="20"/>
                <w:szCs w:val="20"/>
                <w:color w:val="auto"/>
              </w:rPr>
            </w:pPr>
            <w:r>
              <w:rPr>
                <w:rFonts w:ascii="Arial" w:cs="Arial" w:eastAsia="Arial" w:hAnsi="Arial"/>
                <w:sz w:val="16"/>
                <w:szCs w:val="16"/>
                <w:color w:val="auto"/>
              </w:rPr>
              <w:t>Matthew C. Flanigan</w:t>
            </w:r>
          </w:p>
        </w:tc>
        <w:tc>
          <w:tcPr>
            <w:tcW w:w="400" w:type="dxa"/>
            <w:vAlign w:val="bottom"/>
            <w:tcBorders>
              <w:top w:val="single" w:sz="8" w:color="auto"/>
            </w:tcBorders>
          </w:tcPr>
          <w:p>
            <w:pPr>
              <w:spacing w:after="0"/>
              <w:rPr>
                <w:sz w:val="18"/>
                <w:szCs w:val="18"/>
                <w:color w:val="auto"/>
              </w:rPr>
            </w:pPr>
          </w:p>
        </w:tc>
        <w:tc>
          <w:tcPr>
            <w:tcW w:w="1640" w:type="dxa"/>
            <w:vAlign w:val="bottom"/>
            <w:tcBorders>
              <w:top w:val="single" w:sz="8" w:color="auto"/>
            </w:tcBorders>
          </w:tcPr>
          <w:p>
            <w:pPr>
              <w:jc w:val="right"/>
              <w:ind w:right="201"/>
              <w:spacing w:after="0"/>
              <w:rPr>
                <w:sz w:val="20"/>
                <w:szCs w:val="20"/>
                <w:color w:val="auto"/>
              </w:rPr>
            </w:pPr>
            <w:r>
              <w:rPr>
                <w:rFonts w:ascii="Arial" w:cs="Arial" w:eastAsia="Arial" w:hAnsi="Arial"/>
                <w:sz w:val="16"/>
                <w:szCs w:val="16"/>
                <w:color w:val="auto"/>
              </w:rPr>
              <w:t>165,000</w:t>
            </w:r>
          </w:p>
        </w:tc>
        <w:tc>
          <w:tcPr>
            <w:tcW w:w="1280" w:type="dxa"/>
            <w:vAlign w:val="bottom"/>
            <w:tcBorders>
              <w:top w:val="single" w:sz="8" w:color="auto"/>
            </w:tcBorders>
          </w:tcPr>
          <w:p>
            <w:pPr>
              <w:jc w:val="center"/>
              <w:ind w:left="240"/>
              <w:spacing w:after="0"/>
              <w:rPr>
                <w:sz w:val="20"/>
                <w:szCs w:val="20"/>
                <w:color w:val="auto"/>
              </w:rPr>
            </w:pPr>
            <w:r>
              <w:rPr>
                <w:rFonts w:ascii="Arial" w:cs="Arial" w:eastAsia="Arial" w:hAnsi="Arial"/>
                <w:sz w:val="16"/>
                <w:szCs w:val="16"/>
                <w:color w:val="auto"/>
              </w:rPr>
              <w:t>177,475</w:t>
            </w:r>
          </w:p>
        </w:tc>
        <w:tc>
          <w:tcPr>
            <w:tcW w:w="48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w w:val="74"/>
              </w:rPr>
              <w:t>-</w:t>
            </w:r>
          </w:p>
        </w:tc>
        <w:tc>
          <w:tcPr>
            <w:tcW w:w="178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rPr>
              <w:t>-</w:t>
            </w:r>
          </w:p>
        </w:tc>
        <w:tc>
          <w:tcPr>
            <w:tcW w:w="1520" w:type="dxa"/>
            <w:vAlign w:val="bottom"/>
            <w:tcBorders>
              <w:top w:val="single" w:sz="8" w:color="auto"/>
            </w:tcBorders>
          </w:tcPr>
          <w:p>
            <w:pPr>
              <w:jc w:val="center"/>
              <w:ind w:right="81"/>
              <w:spacing w:after="0"/>
              <w:rPr>
                <w:sz w:val="20"/>
                <w:szCs w:val="20"/>
                <w:color w:val="auto"/>
              </w:rPr>
            </w:pPr>
            <w:r>
              <w:rPr>
                <w:rFonts w:ascii="Arial" w:cs="Arial" w:eastAsia="Arial" w:hAnsi="Arial"/>
                <w:sz w:val="16"/>
                <w:szCs w:val="16"/>
                <w:color w:val="auto"/>
                <w:w w:val="74"/>
              </w:rPr>
              <w:t>-</w:t>
            </w: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342,475</w:t>
            </w:r>
          </w:p>
        </w:tc>
        <w:tc>
          <w:tcPr>
            <w:tcW w:w="0" w:type="dxa"/>
            <w:vAlign w:val="bottom"/>
          </w:tcPr>
          <w:p>
            <w:pPr>
              <w:spacing w:after="0"/>
              <w:rPr>
                <w:sz w:val="1"/>
                <w:szCs w:val="1"/>
                <w:color w:val="auto"/>
              </w:rPr>
            </w:pPr>
          </w:p>
        </w:tc>
      </w:tr>
      <w:tr>
        <w:trPr>
          <w:trHeight w:val="28"/>
        </w:trPr>
        <w:tc>
          <w:tcPr>
            <w:tcW w:w="2120" w:type="dxa"/>
            <w:vAlign w:val="bottom"/>
            <w:tcBorders>
              <w:bottom w:val="single" w:sz="8" w:color="DBDBDB"/>
            </w:tcBorders>
          </w:tcPr>
          <w:p>
            <w:pPr>
              <w:spacing w:after="0"/>
              <w:rPr>
                <w:sz w:val="2"/>
                <w:szCs w:val="2"/>
                <w:color w:val="auto"/>
              </w:rPr>
            </w:pPr>
          </w:p>
        </w:tc>
        <w:tc>
          <w:tcPr>
            <w:tcW w:w="400" w:type="dxa"/>
            <w:vAlign w:val="bottom"/>
            <w:tcBorders>
              <w:bottom w:val="single" w:sz="8" w:color="DBDBDB"/>
            </w:tcBorders>
          </w:tcPr>
          <w:p>
            <w:pPr>
              <w:spacing w:after="0"/>
              <w:rPr>
                <w:sz w:val="2"/>
                <w:szCs w:val="2"/>
                <w:color w:val="auto"/>
              </w:rPr>
            </w:pPr>
          </w:p>
        </w:tc>
        <w:tc>
          <w:tcPr>
            <w:tcW w:w="1640" w:type="dxa"/>
            <w:vAlign w:val="bottom"/>
            <w:tcBorders>
              <w:bottom w:val="single" w:sz="8" w:color="DBDBDB"/>
            </w:tcBorders>
          </w:tcPr>
          <w:p>
            <w:pPr>
              <w:spacing w:after="0"/>
              <w:rPr>
                <w:sz w:val="2"/>
                <w:szCs w:val="2"/>
                <w:color w:val="auto"/>
              </w:rPr>
            </w:pPr>
          </w:p>
        </w:tc>
        <w:tc>
          <w:tcPr>
            <w:tcW w:w="1280" w:type="dxa"/>
            <w:vAlign w:val="bottom"/>
            <w:tcBorders>
              <w:bottom w:val="single" w:sz="8" w:color="DBDBDB"/>
            </w:tcBorders>
          </w:tcPr>
          <w:p>
            <w:pPr>
              <w:spacing w:after="0"/>
              <w:rPr>
                <w:sz w:val="2"/>
                <w:szCs w:val="2"/>
                <w:color w:val="auto"/>
              </w:rPr>
            </w:pPr>
          </w:p>
        </w:tc>
        <w:tc>
          <w:tcPr>
            <w:tcW w:w="480" w:type="dxa"/>
            <w:vAlign w:val="bottom"/>
            <w:tcBorders>
              <w:bottom w:val="single" w:sz="8" w:color="DBDBDB"/>
            </w:tcBorders>
          </w:tcPr>
          <w:p>
            <w:pPr>
              <w:spacing w:after="0"/>
              <w:rPr>
                <w:sz w:val="2"/>
                <w:szCs w:val="2"/>
                <w:color w:val="auto"/>
              </w:rPr>
            </w:pPr>
          </w:p>
        </w:tc>
        <w:tc>
          <w:tcPr>
            <w:tcW w:w="920" w:type="dxa"/>
            <w:vAlign w:val="bottom"/>
            <w:tcBorders>
              <w:bottom w:val="single" w:sz="8" w:color="DBDBDB"/>
            </w:tcBorders>
          </w:tcPr>
          <w:p>
            <w:pPr>
              <w:spacing w:after="0"/>
              <w:rPr>
                <w:sz w:val="2"/>
                <w:szCs w:val="2"/>
                <w:color w:val="auto"/>
              </w:rPr>
            </w:pPr>
          </w:p>
        </w:tc>
        <w:tc>
          <w:tcPr>
            <w:tcW w:w="1780" w:type="dxa"/>
            <w:vAlign w:val="bottom"/>
            <w:tcBorders>
              <w:bottom w:val="single" w:sz="8" w:color="DBDBDB"/>
            </w:tcBorders>
          </w:tcPr>
          <w:p>
            <w:pPr>
              <w:spacing w:after="0"/>
              <w:rPr>
                <w:sz w:val="2"/>
                <w:szCs w:val="2"/>
                <w:color w:val="auto"/>
              </w:rPr>
            </w:pPr>
          </w:p>
        </w:tc>
        <w:tc>
          <w:tcPr>
            <w:tcW w:w="1520" w:type="dxa"/>
            <w:vAlign w:val="bottom"/>
            <w:tcBorders>
              <w:bottom w:val="single" w:sz="8" w:color="DBDBDB"/>
            </w:tcBorders>
          </w:tcPr>
          <w:p>
            <w:pPr>
              <w:spacing w:after="0"/>
              <w:rPr>
                <w:sz w:val="2"/>
                <w:szCs w:val="2"/>
                <w:color w:val="auto"/>
              </w:rPr>
            </w:pPr>
          </w:p>
        </w:tc>
        <w:tc>
          <w:tcPr>
            <w:tcW w:w="1100" w:type="dxa"/>
            <w:vAlign w:val="bottom"/>
            <w:tcBorders>
              <w:bottom w:val="single" w:sz="8" w:color="DBDBDB"/>
            </w:tcBorders>
          </w:tcPr>
          <w:p>
            <w:pPr>
              <w:spacing w:after="0"/>
              <w:rPr>
                <w:sz w:val="2"/>
                <w:szCs w:val="2"/>
                <w:color w:val="auto"/>
              </w:rPr>
            </w:pPr>
          </w:p>
        </w:tc>
        <w:tc>
          <w:tcPr>
            <w:tcW w:w="0" w:type="dxa"/>
            <w:vAlign w:val="bottom"/>
          </w:tcPr>
          <w:p>
            <w:pPr>
              <w:spacing w:after="0"/>
              <w:rPr>
                <w:sz w:val="1"/>
                <w:szCs w:val="1"/>
                <w:color w:val="auto"/>
              </w:rPr>
            </w:pPr>
          </w:p>
        </w:tc>
      </w:tr>
      <w:tr>
        <w:trPr>
          <w:trHeight w:val="242"/>
        </w:trPr>
        <w:tc>
          <w:tcPr>
            <w:tcW w:w="2120" w:type="dxa"/>
            <w:vAlign w:val="bottom"/>
            <w:tcBorders>
              <w:bottom w:val="single" w:sz="8" w:color="E7ECF0"/>
            </w:tcBorders>
            <w:shd w:val="clear" w:color="auto" w:fill="E7ECF0"/>
          </w:tcPr>
          <w:p>
            <w:pPr>
              <w:ind w:left="20"/>
              <w:spacing w:after="0"/>
              <w:rPr>
                <w:sz w:val="20"/>
                <w:szCs w:val="20"/>
                <w:color w:val="auto"/>
              </w:rPr>
            </w:pPr>
            <w:r>
              <w:rPr>
                <w:rFonts w:ascii="Arial" w:cs="Arial" w:eastAsia="Arial" w:hAnsi="Arial"/>
                <w:sz w:val="16"/>
                <w:szCs w:val="16"/>
                <w:color w:val="auto"/>
              </w:rPr>
              <w:t>Thomas H. Wilson, Jr.</w:t>
            </w:r>
          </w:p>
        </w:tc>
        <w:tc>
          <w:tcPr>
            <w:tcW w:w="400" w:type="dxa"/>
            <w:vAlign w:val="bottom"/>
            <w:tcBorders>
              <w:bottom w:val="single" w:sz="8" w:color="E7ECF0"/>
            </w:tcBorders>
            <w:shd w:val="clear" w:color="auto" w:fill="E7ECF0"/>
          </w:tcPr>
          <w:p>
            <w:pPr>
              <w:spacing w:after="0"/>
              <w:rPr>
                <w:sz w:val="20"/>
                <w:szCs w:val="20"/>
                <w:color w:val="auto"/>
              </w:rPr>
            </w:pPr>
          </w:p>
        </w:tc>
        <w:tc>
          <w:tcPr>
            <w:tcW w:w="1640" w:type="dxa"/>
            <w:vAlign w:val="bottom"/>
            <w:tcBorders>
              <w:bottom w:val="single" w:sz="8" w:color="E7ECF0"/>
            </w:tcBorders>
            <w:shd w:val="clear" w:color="auto" w:fill="E7ECF0"/>
          </w:tcPr>
          <w:p>
            <w:pPr>
              <w:jc w:val="right"/>
              <w:ind w:right="201"/>
              <w:spacing w:after="0"/>
              <w:rPr>
                <w:sz w:val="20"/>
                <w:szCs w:val="20"/>
                <w:color w:val="auto"/>
              </w:rPr>
            </w:pPr>
            <w:r>
              <w:rPr>
                <w:rFonts w:ascii="Arial" w:cs="Arial" w:eastAsia="Arial" w:hAnsi="Arial"/>
                <w:sz w:val="16"/>
                <w:szCs w:val="16"/>
                <w:color w:val="auto"/>
              </w:rPr>
              <w:t>130,000</w:t>
            </w:r>
          </w:p>
        </w:tc>
        <w:tc>
          <w:tcPr>
            <w:tcW w:w="1280" w:type="dxa"/>
            <w:vAlign w:val="bottom"/>
            <w:tcBorders>
              <w:bottom w:val="single" w:sz="8" w:color="E7ECF0"/>
            </w:tcBorders>
            <w:shd w:val="clear" w:color="auto" w:fill="E7ECF0"/>
          </w:tcPr>
          <w:p>
            <w:pPr>
              <w:jc w:val="center"/>
              <w:ind w:left="240"/>
              <w:spacing w:after="0"/>
              <w:rPr>
                <w:sz w:val="20"/>
                <w:szCs w:val="20"/>
                <w:color w:val="auto"/>
              </w:rPr>
            </w:pPr>
            <w:r>
              <w:rPr>
                <w:rFonts w:ascii="Arial" w:cs="Arial" w:eastAsia="Arial" w:hAnsi="Arial"/>
                <w:sz w:val="16"/>
                <w:szCs w:val="16"/>
                <w:color w:val="auto"/>
              </w:rPr>
              <w:t>177,475</w:t>
            </w:r>
          </w:p>
        </w:tc>
        <w:tc>
          <w:tcPr>
            <w:tcW w:w="480" w:type="dxa"/>
            <w:vAlign w:val="bottom"/>
            <w:tcBorders>
              <w:bottom w:val="single" w:sz="8" w:color="E7ECF0"/>
            </w:tcBorders>
            <w:shd w:val="clear" w:color="auto" w:fill="E7ECF0"/>
          </w:tcPr>
          <w:p>
            <w:pPr>
              <w:spacing w:after="0"/>
              <w:rPr>
                <w:sz w:val="20"/>
                <w:szCs w:val="20"/>
                <w:color w:val="auto"/>
              </w:rPr>
            </w:pPr>
          </w:p>
        </w:tc>
        <w:tc>
          <w:tcPr>
            <w:tcW w:w="920" w:type="dxa"/>
            <w:vAlign w:val="bottom"/>
            <w:tcBorders>
              <w:bottom w:val="single" w:sz="8" w:color="E7ECF0"/>
            </w:tcBorders>
            <w:shd w:val="clear" w:color="auto" w:fill="E7ECF0"/>
          </w:tcPr>
          <w:p>
            <w:pPr>
              <w:jc w:val="center"/>
              <w:spacing w:after="0"/>
              <w:rPr>
                <w:sz w:val="20"/>
                <w:szCs w:val="20"/>
                <w:color w:val="auto"/>
              </w:rPr>
            </w:pPr>
            <w:r>
              <w:rPr>
                <w:rFonts w:ascii="Arial" w:cs="Arial" w:eastAsia="Arial" w:hAnsi="Arial"/>
                <w:sz w:val="16"/>
                <w:szCs w:val="16"/>
                <w:color w:val="auto"/>
                <w:w w:val="74"/>
              </w:rPr>
              <w:t>-</w:t>
            </w:r>
          </w:p>
        </w:tc>
        <w:tc>
          <w:tcPr>
            <w:tcW w:w="1780" w:type="dxa"/>
            <w:vAlign w:val="bottom"/>
            <w:tcBorders>
              <w:bottom w:val="single" w:sz="8" w:color="E7ECF0"/>
            </w:tcBorders>
            <w:shd w:val="clear" w:color="auto" w:fill="E7ECF0"/>
          </w:tcPr>
          <w:p>
            <w:pPr>
              <w:jc w:val="center"/>
              <w:spacing w:after="0"/>
              <w:rPr>
                <w:sz w:val="20"/>
                <w:szCs w:val="20"/>
                <w:color w:val="auto"/>
              </w:rPr>
            </w:pPr>
            <w:r>
              <w:rPr>
                <w:rFonts w:ascii="Arial" w:cs="Arial" w:eastAsia="Arial" w:hAnsi="Arial"/>
                <w:sz w:val="16"/>
                <w:szCs w:val="16"/>
                <w:color w:val="auto"/>
              </w:rPr>
              <w:t>-</w:t>
            </w:r>
          </w:p>
        </w:tc>
        <w:tc>
          <w:tcPr>
            <w:tcW w:w="1520" w:type="dxa"/>
            <w:vAlign w:val="bottom"/>
            <w:tcBorders>
              <w:bottom w:val="single" w:sz="8" w:color="E7ECF0"/>
            </w:tcBorders>
            <w:shd w:val="clear" w:color="auto" w:fill="E7ECF0"/>
          </w:tcPr>
          <w:p>
            <w:pPr>
              <w:jc w:val="center"/>
              <w:ind w:right="81"/>
              <w:spacing w:after="0"/>
              <w:rPr>
                <w:sz w:val="20"/>
                <w:szCs w:val="20"/>
                <w:color w:val="auto"/>
              </w:rPr>
            </w:pPr>
            <w:r>
              <w:rPr>
                <w:rFonts w:ascii="Arial" w:cs="Arial" w:eastAsia="Arial" w:hAnsi="Arial"/>
                <w:sz w:val="16"/>
                <w:szCs w:val="16"/>
                <w:color w:val="auto"/>
                <w:w w:val="74"/>
              </w:rPr>
              <w:t>-</w:t>
            </w:r>
          </w:p>
        </w:tc>
        <w:tc>
          <w:tcPr>
            <w:tcW w:w="1100" w:type="dxa"/>
            <w:vAlign w:val="bottom"/>
            <w:tcBorders>
              <w:bottom w:val="single" w:sz="8" w:color="E7ECF0"/>
            </w:tcBorders>
            <w:shd w:val="clear" w:color="auto" w:fill="E7ECF0"/>
          </w:tcPr>
          <w:p>
            <w:pPr>
              <w:jc w:val="right"/>
              <w:spacing w:after="0"/>
              <w:rPr>
                <w:sz w:val="20"/>
                <w:szCs w:val="20"/>
                <w:color w:val="auto"/>
              </w:rPr>
            </w:pPr>
            <w:r>
              <w:rPr>
                <w:rFonts w:ascii="Arial" w:cs="Arial" w:eastAsia="Arial" w:hAnsi="Arial"/>
                <w:sz w:val="16"/>
                <w:szCs w:val="16"/>
                <w:color w:val="auto"/>
              </w:rPr>
              <w:t>307,475</w:t>
            </w:r>
          </w:p>
        </w:tc>
        <w:tc>
          <w:tcPr>
            <w:tcW w:w="0" w:type="dxa"/>
            <w:vAlign w:val="bottom"/>
          </w:tcPr>
          <w:p>
            <w:pPr>
              <w:spacing w:after="0"/>
              <w:rPr>
                <w:sz w:val="1"/>
                <w:szCs w:val="1"/>
                <w:color w:val="auto"/>
              </w:rPr>
            </w:pPr>
          </w:p>
        </w:tc>
      </w:tr>
      <w:tr>
        <w:trPr>
          <w:trHeight w:val="208"/>
        </w:trPr>
        <w:tc>
          <w:tcPr>
            <w:tcW w:w="2120" w:type="dxa"/>
            <w:vAlign w:val="bottom"/>
            <w:tcBorders>
              <w:top w:val="single" w:sz="8" w:color="DBDBDB"/>
            </w:tcBorders>
          </w:tcPr>
          <w:p>
            <w:pPr>
              <w:ind w:left="20"/>
              <w:spacing w:after="0"/>
              <w:rPr>
                <w:sz w:val="20"/>
                <w:szCs w:val="20"/>
                <w:color w:val="auto"/>
              </w:rPr>
            </w:pPr>
            <w:r>
              <w:rPr>
                <w:rFonts w:ascii="Arial" w:cs="Arial" w:eastAsia="Arial" w:hAnsi="Arial"/>
                <w:sz w:val="16"/>
                <w:szCs w:val="16"/>
                <w:color w:val="auto"/>
              </w:rPr>
              <w:t>Jacque R. Fiegel</w:t>
            </w:r>
          </w:p>
        </w:tc>
        <w:tc>
          <w:tcPr>
            <w:tcW w:w="400" w:type="dxa"/>
            <w:vAlign w:val="bottom"/>
            <w:tcBorders>
              <w:top w:val="single" w:sz="8" w:color="DBDBDB"/>
            </w:tcBorders>
          </w:tcPr>
          <w:p>
            <w:pPr>
              <w:spacing w:after="0"/>
              <w:rPr>
                <w:sz w:val="18"/>
                <w:szCs w:val="18"/>
                <w:color w:val="auto"/>
              </w:rPr>
            </w:pPr>
          </w:p>
        </w:tc>
        <w:tc>
          <w:tcPr>
            <w:tcW w:w="1640" w:type="dxa"/>
            <w:vAlign w:val="bottom"/>
            <w:tcBorders>
              <w:top w:val="single" w:sz="8" w:color="DBDBDB"/>
            </w:tcBorders>
          </w:tcPr>
          <w:p>
            <w:pPr>
              <w:jc w:val="right"/>
              <w:ind w:right="261"/>
              <w:spacing w:after="0"/>
              <w:rPr>
                <w:sz w:val="20"/>
                <w:szCs w:val="20"/>
                <w:color w:val="auto"/>
              </w:rPr>
            </w:pPr>
            <w:r>
              <w:rPr>
                <w:rFonts w:ascii="Arial" w:cs="Arial" w:eastAsia="Arial" w:hAnsi="Arial"/>
                <w:sz w:val="16"/>
                <w:szCs w:val="16"/>
                <w:color w:val="auto"/>
              </w:rPr>
              <w:t>95,000</w:t>
            </w:r>
          </w:p>
        </w:tc>
        <w:tc>
          <w:tcPr>
            <w:tcW w:w="1280" w:type="dxa"/>
            <w:vAlign w:val="bottom"/>
            <w:tcBorders>
              <w:top w:val="single" w:sz="8" w:color="DBDBDB"/>
            </w:tcBorders>
          </w:tcPr>
          <w:p>
            <w:pPr>
              <w:jc w:val="center"/>
              <w:ind w:left="240"/>
              <w:spacing w:after="0"/>
              <w:rPr>
                <w:sz w:val="20"/>
                <w:szCs w:val="20"/>
                <w:color w:val="auto"/>
              </w:rPr>
            </w:pPr>
            <w:r>
              <w:rPr>
                <w:rFonts w:ascii="Arial" w:cs="Arial" w:eastAsia="Arial" w:hAnsi="Arial"/>
                <w:sz w:val="16"/>
                <w:szCs w:val="16"/>
                <w:color w:val="auto"/>
              </w:rPr>
              <w:t>177,475</w:t>
            </w:r>
          </w:p>
        </w:tc>
        <w:tc>
          <w:tcPr>
            <w:tcW w:w="480" w:type="dxa"/>
            <w:vAlign w:val="bottom"/>
            <w:tcBorders>
              <w:top w:val="single" w:sz="8" w:color="DBDBDB"/>
            </w:tcBorders>
          </w:tcPr>
          <w:p>
            <w:pPr>
              <w:spacing w:after="0"/>
              <w:rPr>
                <w:sz w:val="18"/>
                <w:szCs w:val="18"/>
                <w:color w:val="auto"/>
              </w:rPr>
            </w:pPr>
          </w:p>
        </w:tc>
        <w:tc>
          <w:tcPr>
            <w:tcW w:w="920" w:type="dxa"/>
            <w:vAlign w:val="bottom"/>
            <w:tcBorders>
              <w:top w:val="single" w:sz="8" w:color="DBDBDB"/>
            </w:tcBorders>
          </w:tcPr>
          <w:p>
            <w:pPr>
              <w:jc w:val="center"/>
              <w:spacing w:after="0"/>
              <w:rPr>
                <w:sz w:val="20"/>
                <w:szCs w:val="20"/>
                <w:color w:val="auto"/>
              </w:rPr>
            </w:pPr>
            <w:r>
              <w:rPr>
                <w:rFonts w:ascii="Arial" w:cs="Arial" w:eastAsia="Arial" w:hAnsi="Arial"/>
                <w:sz w:val="16"/>
                <w:szCs w:val="16"/>
                <w:color w:val="auto"/>
                <w:w w:val="74"/>
              </w:rPr>
              <w:t>-</w:t>
            </w:r>
          </w:p>
        </w:tc>
        <w:tc>
          <w:tcPr>
            <w:tcW w:w="1780" w:type="dxa"/>
            <w:vAlign w:val="bottom"/>
            <w:tcBorders>
              <w:top w:val="single" w:sz="8" w:color="DBDBDB"/>
            </w:tcBorders>
          </w:tcPr>
          <w:p>
            <w:pPr>
              <w:jc w:val="center"/>
              <w:spacing w:after="0"/>
              <w:rPr>
                <w:sz w:val="20"/>
                <w:szCs w:val="20"/>
                <w:color w:val="auto"/>
              </w:rPr>
            </w:pPr>
            <w:r>
              <w:rPr>
                <w:rFonts w:ascii="Arial" w:cs="Arial" w:eastAsia="Arial" w:hAnsi="Arial"/>
                <w:sz w:val="16"/>
                <w:szCs w:val="16"/>
                <w:color w:val="auto"/>
              </w:rPr>
              <w:t>-</w:t>
            </w:r>
          </w:p>
        </w:tc>
        <w:tc>
          <w:tcPr>
            <w:tcW w:w="1520" w:type="dxa"/>
            <w:vAlign w:val="bottom"/>
            <w:tcBorders>
              <w:top w:val="single" w:sz="8" w:color="DBDBDB"/>
            </w:tcBorders>
          </w:tcPr>
          <w:p>
            <w:pPr>
              <w:jc w:val="center"/>
              <w:ind w:right="81"/>
              <w:spacing w:after="0"/>
              <w:rPr>
                <w:sz w:val="20"/>
                <w:szCs w:val="20"/>
                <w:color w:val="auto"/>
              </w:rPr>
            </w:pPr>
            <w:r>
              <w:rPr>
                <w:rFonts w:ascii="Arial" w:cs="Arial" w:eastAsia="Arial" w:hAnsi="Arial"/>
                <w:sz w:val="16"/>
                <w:szCs w:val="16"/>
                <w:color w:val="auto"/>
                <w:w w:val="74"/>
              </w:rPr>
              <w:t>-</w:t>
            </w:r>
          </w:p>
        </w:tc>
        <w:tc>
          <w:tcPr>
            <w:tcW w:w="1100" w:type="dxa"/>
            <w:vAlign w:val="bottom"/>
            <w:tcBorders>
              <w:top w:val="single" w:sz="8" w:color="DBDBDB"/>
            </w:tcBorders>
          </w:tcPr>
          <w:p>
            <w:pPr>
              <w:jc w:val="right"/>
              <w:spacing w:after="0"/>
              <w:rPr>
                <w:sz w:val="20"/>
                <w:szCs w:val="20"/>
                <w:color w:val="auto"/>
              </w:rPr>
            </w:pPr>
            <w:r>
              <w:rPr>
                <w:rFonts w:ascii="Arial" w:cs="Arial" w:eastAsia="Arial" w:hAnsi="Arial"/>
                <w:sz w:val="16"/>
                <w:szCs w:val="16"/>
                <w:color w:val="auto"/>
              </w:rPr>
              <w:t>272,475</w:t>
            </w:r>
          </w:p>
        </w:tc>
        <w:tc>
          <w:tcPr>
            <w:tcW w:w="0" w:type="dxa"/>
            <w:vAlign w:val="bottom"/>
          </w:tcPr>
          <w:p>
            <w:pPr>
              <w:spacing w:after="0"/>
              <w:rPr>
                <w:sz w:val="1"/>
                <w:szCs w:val="1"/>
                <w:color w:val="auto"/>
              </w:rPr>
            </w:pPr>
          </w:p>
        </w:tc>
      </w:tr>
      <w:tr>
        <w:trPr>
          <w:trHeight w:val="28"/>
        </w:trPr>
        <w:tc>
          <w:tcPr>
            <w:tcW w:w="2120" w:type="dxa"/>
            <w:vAlign w:val="bottom"/>
            <w:tcBorders>
              <w:bottom w:val="single" w:sz="8" w:color="DBDBDB"/>
            </w:tcBorders>
          </w:tcPr>
          <w:p>
            <w:pPr>
              <w:spacing w:after="0"/>
              <w:rPr>
                <w:sz w:val="2"/>
                <w:szCs w:val="2"/>
                <w:color w:val="auto"/>
              </w:rPr>
            </w:pPr>
          </w:p>
        </w:tc>
        <w:tc>
          <w:tcPr>
            <w:tcW w:w="400" w:type="dxa"/>
            <w:vAlign w:val="bottom"/>
            <w:tcBorders>
              <w:bottom w:val="single" w:sz="8" w:color="DBDBDB"/>
            </w:tcBorders>
          </w:tcPr>
          <w:p>
            <w:pPr>
              <w:spacing w:after="0"/>
              <w:rPr>
                <w:sz w:val="2"/>
                <w:szCs w:val="2"/>
                <w:color w:val="auto"/>
              </w:rPr>
            </w:pPr>
          </w:p>
        </w:tc>
        <w:tc>
          <w:tcPr>
            <w:tcW w:w="1640" w:type="dxa"/>
            <w:vAlign w:val="bottom"/>
            <w:tcBorders>
              <w:bottom w:val="single" w:sz="8" w:color="DBDBDB"/>
            </w:tcBorders>
          </w:tcPr>
          <w:p>
            <w:pPr>
              <w:spacing w:after="0"/>
              <w:rPr>
                <w:sz w:val="2"/>
                <w:szCs w:val="2"/>
                <w:color w:val="auto"/>
              </w:rPr>
            </w:pPr>
          </w:p>
        </w:tc>
        <w:tc>
          <w:tcPr>
            <w:tcW w:w="1280" w:type="dxa"/>
            <w:vAlign w:val="bottom"/>
            <w:tcBorders>
              <w:bottom w:val="single" w:sz="8" w:color="DBDBDB"/>
            </w:tcBorders>
          </w:tcPr>
          <w:p>
            <w:pPr>
              <w:spacing w:after="0"/>
              <w:rPr>
                <w:sz w:val="2"/>
                <w:szCs w:val="2"/>
                <w:color w:val="auto"/>
              </w:rPr>
            </w:pPr>
          </w:p>
        </w:tc>
        <w:tc>
          <w:tcPr>
            <w:tcW w:w="480" w:type="dxa"/>
            <w:vAlign w:val="bottom"/>
            <w:tcBorders>
              <w:bottom w:val="single" w:sz="8" w:color="DBDBDB"/>
            </w:tcBorders>
          </w:tcPr>
          <w:p>
            <w:pPr>
              <w:spacing w:after="0"/>
              <w:rPr>
                <w:sz w:val="2"/>
                <w:szCs w:val="2"/>
                <w:color w:val="auto"/>
              </w:rPr>
            </w:pPr>
          </w:p>
        </w:tc>
        <w:tc>
          <w:tcPr>
            <w:tcW w:w="920" w:type="dxa"/>
            <w:vAlign w:val="bottom"/>
            <w:tcBorders>
              <w:bottom w:val="single" w:sz="8" w:color="DBDBDB"/>
            </w:tcBorders>
          </w:tcPr>
          <w:p>
            <w:pPr>
              <w:spacing w:after="0"/>
              <w:rPr>
                <w:sz w:val="2"/>
                <w:szCs w:val="2"/>
                <w:color w:val="auto"/>
              </w:rPr>
            </w:pPr>
          </w:p>
        </w:tc>
        <w:tc>
          <w:tcPr>
            <w:tcW w:w="1780" w:type="dxa"/>
            <w:vAlign w:val="bottom"/>
            <w:tcBorders>
              <w:bottom w:val="single" w:sz="8" w:color="DBDBDB"/>
            </w:tcBorders>
          </w:tcPr>
          <w:p>
            <w:pPr>
              <w:spacing w:after="0"/>
              <w:rPr>
                <w:sz w:val="2"/>
                <w:szCs w:val="2"/>
                <w:color w:val="auto"/>
              </w:rPr>
            </w:pPr>
          </w:p>
        </w:tc>
        <w:tc>
          <w:tcPr>
            <w:tcW w:w="1520" w:type="dxa"/>
            <w:vAlign w:val="bottom"/>
            <w:tcBorders>
              <w:bottom w:val="single" w:sz="8" w:color="DBDBDB"/>
            </w:tcBorders>
          </w:tcPr>
          <w:p>
            <w:pPr>
              <w:spacing w:after="0"/>
              <w:rPr>
                <w:sz w:val="2"/>
                <w:szCs w:val="2"/>
                <w:color w:val="auto"/>
              </w:rPr>
            </w:pPr>
          </w:p>
        </w:tc>
        <w:tc>
          <w:tcPr>
            <w:tcW w:w="1100" w:type="dxa"/>
            <w:vAlign w:val="bottom"/>
            <w:tcBorders>
              <w:bottom w:val="single" w:sz="8" w:color="DBDBDB"/>
            </w:tcBorders>
          </w:tcPr>
          <w:p>
            <w:pPr>
              <w:spacing w:after="0"/>
              <w:rPr>
                <w:sz w:val="2"/>
                <w:szCs w:val="2"/>
                <w:color w:val="auto"/>
              </w:rPr>
            </w:pPr>
          </w:p>
        </w:tc>
        <w:tc>
          <w:tcPr>
            <w:tcW w:w="0" w:type="dxa"/>
            <w:vAlign w:val="bottom"/>
          </w:tcPr>
          <w:p>
            <w:pPr>
              <w:spacing w:after="0"/>
              <w:rPr>
                <w:sz w:val="1"/>
                <w:szCs w:val="1"/>
                <w:color w:val="auto"/>
              </w:rPr>
            </w:pPr>
          </w:p>
        </w:tc>
      </w:tr>
      <w:tr>
        <w:trPr>
          <w:trHeight w:val="242"/>
        </w:trPr>
        <w:tc>
          <w:tcPr>
            <w:tcW w:w="2120" w:type="dxa"/>
            <w:vAlign w:val="bottom"/>
            <w:tcBorders>
              <w:bottom w:val="single" w:sz="8" w:color="E7ECF0"/>
            </w:tcBorders>
            <w:shd w:val="clear" w:color="auto" w:fill="E7ECF0"/>
          </w:tcPr>
          <w:p>
            <w:pPr>
              <w:ind w:left="20"/>
              <w:spacing w:after="0"/>
              <w:rPr>
                <w:sz w:val="20"/>
                <w:szCs w:val="20"/>
                <w:color w:val="auto"/>
              </w:rPr>
            </w:pPr>
            <w:r>
              <w:rPr>
                <w:rFonts w:ascii="Arial" w:cs="Arial" w:eastAsia="Arial" w:hAnsi="Arial"/>
                <w:sz w:val="16"/>
                <w:szCs w:val="16"/>
                <w:color w:val="auto"/>
              </w:rPr>
              <w:t>Thomas A. Wimsett</w:t>
            </w:r>
          </w:p>
        </w:tc>
        <w:tc>
          <w:tcPr>
            <w:tcW w:w="400" w:type="dxa"/>
            <w:vAlign w:val="bottom"/>
            <w:tcBorders>
              <w:bottom w:val="single" w:sz="8" w:color="E7ECF0"/>
            </w:tcBorders>
            <w:shd w:val="clear" w:color="auto" w:fill="E7ECF0"/>
          </w:tcPr>
          <w:p>
            <w:pPr>
              <w:spacing w:after="0"/>
              <w:rPr>
                <w:sz w:val="20"/>
                <w:szCs w:val="20"/>
                <w:color w:val="auto"/>
              </w:rPr>
            </w:pPr>
          </w:p>
        </w:tc>
        <w:tc>
          <w:tcPr>
            <w:tcW w:w="1640" w:type="dxa"/>
            <w:vAlign w:val="bottom"/>
            <w:tcBorders>
              <w:bottom w:val="single" w:sz="8" w:color="E7ECF0"/>
            </w:tcBorders>
            <w:shd w:val="clear" w:color="auto" w:fill="E7ECF0"/>
          </w:tcPr>
          <w:p>
            <w:pPr>
              <w:jc w:val="right"/>
              <w:ind w:right="261"/>
              <w:spacing w:after="0"/>
              <w:rPr>
                <w:sz w:val="20"/>
                <w:szCs w:val="20"/>
                <w:color w:val="auto"/>
              </w:rPr>
            </w:pPr>
            <w:r>
              <w:rPr>
                <w:rFonts w:ascii="Arial" w:cs="Arial" w:eastAsia="Arial" w:hAnsi="Arial"/>
                <w:sz w:val="16"/>
                <w:szCs w:val="16"/>
                <w:color w:val="auto"/>
              </w:rPr>
              <w:t>130,000</w:t>
            </w:r>
          </w:p>
        </w:tc>
        <w:tc>
          <w:tcPr>
            <w:tcW w:w="1280" w:type="dxa"/>
            <w:vAlign w:val="bottom"/>
            <w:tcBorders>
              <w:bottom w:val="single" w:sz="8" w:color="E7ECF0"/>
            </w:tcBorders>
            <w:shd w:val="clear" w:color="auto" w:fill="E7ECF0"/>
          </w:tcPr>
          <w:p>
            <w:pPr>
              <w:jc w:val="center"/>
              <w:ind w:left="240"/>
              <w:spacing w:after="0"/>
              <w:rPr>
                <w:sz w:val="20"/>
                <w:szCs w:val="20"/>
                <w:color w:val="auto"/>
              </w:rPr>
            </w:pPr>
            <w:r>
              <w:rPr>
                <w:rFonts w:ascii="Arial" w:cs="Arial" w:eastAsia="Arial" w:hAnsi="Arial"/>
                <w:sz w:val="16"/>
                <w:szCs w:val="16"/>
                <w:color w:val="auto"/>
              </w:rPr>
              <w:t>177,475</w:t>
            </w:r>
          </w:p>
        </w:tc>
        <w:tc>
          <w:tcPr>
            <w:tcW w:w="480" w:type="dxa"/>
            <w:vAlign w:val="bottom"/>
            <w:tcBorders>
              <w:bottom w:val="single" w:sz="8" w:color="E7ECF0"/>
            </w:tcBorders>
            <w:shd w:val="clear" w:color="auto" w:fill="E7ECF0"/>
          </w:tcPr>
          <w:p>
            <w:pPr>
              <w:spacing w:after="0"/>
              <w:rPr>
                <w:sz w:val="20"/>
                <w:szCs w:val="20"/>
                <w:color w:val="auto"/>
              </w:rPr>
            </w:pPr>
          </w:p>
        </w:tc>
        <w:tc>
          <w:tcPr>
            <w:tcW w:w="920" w:type="dxa"/>
            <w:vAlign w:val="bottom"/>
            <w:tcBorders>
              <w:bottom w:val="single" w:sz="8" w:color="E7ECF0"/>
            </w:tcBorders>
            <w:shd w:val="clear" w:color="auto" w:fill="E7ECF0"/>
          </w:tcPr>
          <w:p>
            <w:pPr>
              <w:jc w:val="center"/>
              <w:spacing w:after="0"/>
              <w:rPr>
                <w:sz w:val="20"/>
                <w:szCs w:val="20"/>
                <w:color w:val="auto"/>
              </w:rPr>
            </w:pPr>
            <w:r>
              <w:rPr>
                <w:rFonts w:ascii="Arial" w:cs="Arial" w:eastAsia="Arial" w:hAnsi="Arial"/>
                <w:sz w:val="16"/>
                <w:szCs w:val="16"/>
                <w:color w:val="auto"/>
                <w:w w:val="74"/>
              </w:rPr>
              <w:t>-</w:t>
            </w:r>
          </w:p>
        </w:tc>
        <w:tc>
          <w:tcPr>
            <w:tcW w:w="1780" w:type="dxa"/>
            <w:vAlign w:val="bottom"/>
            <w:tcBorders>
              <w:bottom w:val="single" w:sz="8" w:color="E7ECF0"/>
            </w:tcBorders>
            <w:shd w:val="clear" w:color="auto" w:fill="E7ECF0"/>
          </w:tcPr>
          <w:p>
            <w:pPr>
              <w:jc w:val="center"/>
              <w:spacing w:after="0"/>
              <w:rPr>
                <w:sz w:val="20"/>
                <w:szCs w:val="20"/>
                <w:color w:val="auto"/>
              </w:rPr>
            </w:pPr>
            <w:r>
              <w:rPr>
                <w:rFonts w:ascii="Arial" w:cs="Arial" w:eastAsia="Arial" w:hAnsi="Arial"/>
                <w:sz w:val="16"/>
                <w:szCs w:val="16"/>
                <w:color w:val="auto"/>
              </w:rPr>
              <w:t>-</w:t>
            </w:r>
          </w:p>
        </w:tc>
        <w:tc>
          <w:tcPr>
            <w:tcW w:w="1520" w:type="dxa"/>
            <w:vAlign w:val="bottom"/>
            <w:tcBorders>
              <w:bottom w:val="single" w:sz="8" w:color="E7ECF0"/>
            </w:tcBorders>
            <w:shd w:val="clear" w:color="auto" w:fill="E7ECF0"/>
          </w:tcPr>
          <w:p>
            <w:pPr>
              <w:jc w:val="center"/>
              <w:ind w:right="81"/>
              <w:spacing w:after="0"/>
              <w:rPr>
                <w:sz w:val="20"/>
                <w:szCs w:val="20"/>
                <w:color w:val="auto"/>
              </w:rPr>
            </w:pPr>
            <w:r>
              <w:rPr>
                <w:rFonts w:ascii="Arial" w:cs="Arial" w:eastAsia="Arial" w:hAnsi="Arial"/>
                <w:sz w:val="16"/>
                <w:szCs w:val="16"/>
                <w:color w:val="auto"/>
                <w:w w:val="74"/>
              </w:rPr>
              <w:t>-</w:t>
            </w:r>
          </w:p>
        </w:tc>
        <w:tc>
          <w:tcPr>
            <w:tcW w:w="1100" w:type="dxa"/>
            <w:vAlign w:val="bottom"/>
            <w:tcBorders>
              <w:bottom w:val="single" w:sz="8" w:color="E7ECF0"/>
            </w:tcBorders>
            <w:shd w:val="clear" w:color="auto" w:fill="E7ECF0"/>
          </w:tcPr>
          <w:p>
            <w:pPr>
              <w:jc w:val="right"/>
              <w:spacing w:after="0"/>
              <w:rPr>
                <w:sz w:val="20"/>
                <w:szCs w:val="20"/>
                <w:color w:val="auto"/>
              </w:rPr>
            </w:pPr>
            <w:r>
              <w:rPr>
                <w:rFonts w:ascii="Arial" w:cs="Arial" w:eastAsia="Arial" w:hAnsi="Arial"/>
                <w:sz w:val="16"/>
                <w:szCs w:val="16"/>
                <w:color w:val="auto"/>
              </w:rPr>
              <w:t>307,475</w:t>
            </w:r>
          </w:p>
        </w:tc>
        <w:tc>
          <w:tcPr>
            <w:tcW w:w="0" w:type="dxa"/>
            <w:vAlign w:val="bottom"/>
          </w:tcPr>
          <w:p>
            <w:pPr>
              <w:spacing w:after="0"/>
              <w:rPr>
                <w:sz w:val="1"/>
                <w:szCs w:val="1"/>
                <w:color w:val="auto"/>
              </w:rPr>
            </w:pPr>
          </w:p>
        </w:tc>
      </w:tr>
      <w:tr>
        <w:trPr>
          <w:trHeight w:val="208"/>
        </w:trPr>
        <w:tc>
          <w:tcPr>
            <w:tcW w:w="2120" w:type="dxa"/>
            <w:vAlign w:val="bottom"/>
            <w:tcBorders>
              <w:top w:val="single" w:sz="8" w:color="DBDBDB"/>
            </w:tcBorders>
          </w:tcPr>
          <w:p>
            <w:pPr>
              <w:ind w:left="20"/>
              <w:spacing w:after="0"/>
              <w:rPr>
                <w:sz w:val="20"/>
                <w:szCs w:val="20"/>
                <w:color w:val="auto"/>
              </w:rPr>
            </w:pPr>
            <w:r>
              <w:rPr>
                <w:rFonts w:ascii="Arial" w:cs="Arial" w:eastAsia="Arial" w:hAnsi="Arial"/>
                <w:sz w:val="16"/>
                <w:szCs w:val="16"/>
                <w:color w:val="auto"/>
              </w:rPr>
              <w:t>Laura G. Kelly</w:t>
            </w:r>
          </w:p>
        </w:tc>
        <w:tc>
          <w:tcPr>
            <w:tcW w:w="400" w:type="dxa"/>
            <w:vAlign w:val="bottom"/>
            <w:tcBorders>
              <w:top w:val="single" w:sz="8" w:color="DBDBDB"/>
            </w:tcBorders>
          </w:tcPr>
          <w:p>
            <w:pPr>
              <w:jc w:val="right"/>
              <w:ind w:right="99"/>
              <w:spacing w:after="0"/>
              <w:rPr>
                <w:sz w:val="20"/>
                <w:szCs w:val="20"/>
                <w:color w:val="auto"/>
              </w:rPr>
            </w:pPr>
            <w:r>
              <w:rPr>
                <w:rFonts w:ascii="Arial" w:cs="Arial" w:eastAsia="Arial" w:hAnsi="Arial"/>
                <w:sz w:val="16"/>
                <w:szCs w:val="16"/>
                <w:color w:val="auto"/>
              </w:rPr>
              <w:t>(3)</w:t>
            </w:r>
          </w:p>
        </w:tc>
        <w:tc>
          <w:tcPr>
            <w:tcW w:w="1640" w:type="dxa"/>
            <w:vAlign w:val="bottom"/>
            <w:tcBorders>
              <w:top w:val="single" w:sz="8" w:color="DBDBDB"/>
            </w:tcBorders>
          </w:tcPr>
          <w:p>
            <w:pPr>
              <w:jc w:val="right"/>
              <w:ind w:right="261"/>
              <w:spacing w:after="0"/>
              <w:rPr>
                <w:sz w:val="20"/>
                <w:szCs w:val="20"/>
                <w:color w:val="auto"/>
              </w:rPr>
            </w:pPr>
            <w:r>
              <w:rPr>
                <w:rFonts w:ascii="Arial" w:cs="Arial" w:eastAsia="Arial" w:hAnsi="Arial"/>
                <w:sz w:val="16"/>
                <w:szCs w:val="16"/>
                <w:color w:val="auto"/>
              </w:rPr>
              <w:t>82,500</w:t>
            </w:r>
          </w:p>
        </w:tc>
        <w:tc>
          <w:tcPr>
            <w:tcW w:w="1280" w:type="dxa"/>
            <w:vAlign w:val="bottom"/>
            <w:tcBorders>
              <w:top w:val="single" w:sz="8" w:color="DBDBDB"/>
            </w:tcBorders>
          </w:tcPr>
          <w:p>
            <w:pPr>
              <w:jc w:val="center"/>
              <w:ind w:left="240"/>
              <w:spacing w:after="0"/>
              <w:rPr>
                <w:sz w:val="20"/>
                <w:szCs w:val="20"/>
                <w:color w:val="auto"/>
              </w:rPr>
            </w:pPr>
            <w:r>
              <w:rPr>
                <w:rFonts w:ascii="Arial" w:cs="Arial" w:eastAsia="Arial" w:hAnsi="Arial"/>
                <w:sz w:val="16"/>
                <w:szCs w:val="16"/>
                <w:color w:val="auto"/>
              </w:rPr>
              <w:t>177,475</w:t>
            </w:r>
          </w:p>
        </w:tc>
        <w:tc>
          <w:tcPr>
            <w:tcW w:w="480" w:type="dxa"/>
            <w:vAlign w:val="bottom"/>
            <w:tcBorders>
              <w:top w:val="single" w:sz="8" w:color="DBDBDB"/>
            </w:tcBorders>
          </w:tcPr>
          <w:p>
            <w:pPr>
              <w:jc w:val="right"/>
              <w:ind w:right="139"/>
              <w:spacing w:after="0"/>
              <w:rPr>
                <w:sz w:val="20"/>
                <w:szCs w:val="20"/>
                <w:color w:val="auto"/>
              </w:rPr>
            </w:pPr>
            <w:r>
              <w:rPr>
                <w:rFonts w:ascii="Arial" w:cs="Arial" w:eastAsia="Arial" w:hAnsi="Arial"/>
                <w:sz w:val="16"/>
                <w:szCs w:val="16"/>
                <w:color w:val="auto"/>
              </w:rPr>
              <w:t>(4)</w:t>
            </w:r>
          </w:p>
        </w:tc>
        <w:tc>
          <w:tcPr>
            <w:tcW w:w="920" w:type="dxa"/>
            <w:vAlign w:val="bottom"/>
            <w:tcBorders>
              <w:top w:val="single" w:sz="8" w:color="DBDBDB"/>
            </w:tcBorders>
          </w:tcPr>
          <w:p>
            <w:pPr>
              <w:jc w:val="center"/>
              <w:spacing w:after="0"/>
              <w:rPr>
                <w:sz w:val="20"/>
                <w:szCs w:val="20"/>
                <w:color w:val="auto"/>
              </w:rPr>
            </w:pPr>
            <w:r>
              <w:rPr>
                <w:rFonts w:ascii="Arial" w:cs="Arial" w:eastAsia="Arial" w:hAnsi="Arial"/>
                <w:sz w:val="16"/>
                <w:szCs w:val="16"/>
                <w:color w:val="auto"/>
                <w:w w:val="74"/>
              </w:rPr>
              <w:t>-</w:t>
            </w:r>
          </w:p>
        </w:tc>
        <w:tc>
          <w:tcPr>
            <w:tcW w:w="1780" w:type="dxa"/>
            <w:vAlign w:val="bottom"/>
            <w:tcBorders>
              <w:top w:val="single" w:sz="8" w:color="DBDBDB"/>
            </w:tcBorders>
          </w:tcPr>
          <w:p>
            <w:pPr>
              <w:jc w:val="center"/>
              <w:spacing w:after="0"/>
              <w:rPr>
                <w:sz w:val="20"/>
                <w:szCs w:val="20"/>
                <w:color w:val="auto"/>
              </w:rPr>
            </w:pPr>
            <w:r>
              <w:rPr>
                <w:rFonts w:ascii="Arial" w:cs="Arial" w:eastAsia="Arial" w:hAnsi="Arial"/>
                <w:sz w:val="16"/>
                <w:szCs w:val="16"/>
                <w:color w:val="auto"/>
              </w:rPr>
              <w:t>-</w:t>
            </w:r>
          </w:p>
        </w:tc>
        <w:tc>
          <w:tcPr>
            <w:tcW w:w="1520" w:type="dxa"/>
            <w:vAlign w:val="bottom"/>
            <w:tcBorders>
              <w:top w:val="single" w:sz="8" w:color="DBDBDB"/>
            </w:tcBorders>
          </w:tcPr>
          <w:p>
            <w:pPr>
              <w:jc w:val="center"/>
              <w:ind w:right="81"/>
              <w:spacing w:after="0"/>
              <w:rPr>
                <w:sz w:val="20"/>
                <w:szCs w:val="20"/>
                <w:color w:val="auto"/>
              </w:rPr>
            </w:pPr>
            <w:r>
              <w:rPr>
                <w:rFonts w:ascii="Arial" w:cs="Arial" w:eastAsia="Arial" w:hAnsi="Arial"/>
                <w:sz w:val="16"/>
                <w:szCs w:val="16"/>
                <w:color w:val="auto"/>
                <w:w w:val="74"/>
              </w:rPr>
              <w:t>-</w:t>
            </w:r>
          </w:p>
        </w:tc>
        <w:tc>
          <w:tcPr>
            <w:tcW w:w="1100" w:type="dxa"/>
            <w:vAlign w:val="bottom"/>
            <w:tcBorders>
              <w:top w:val="single" w:sz="8" w:color="DBDBDB"/>
            </w:tcBorders>
          </w:tcPr>
          <w:p>
            <w:pPr>
              <w:jc w:val="right"/>
              <w:spacing w:after="0"/>
              <w:rPr>
                <w:sz w:val="20"/>
                <w:szCs w:val="20"/>
                <w:color w:val="auto"/>
              </w:rPr>
            </w:pPr>
            <w:r>
              <w:rPr>
                <w:rFonts w:ascii="Arial" w:cs="Arial" w:eastAsia="Arial" w:hAnsi="Arial"/>
                <w:sz w:val="16"/>
                <w:szCs w:val="16"/>
                <w:color w:val="auto"/>
              </w:rPr>
              <w:t>259,975</w:t>
            </w:r>
          </w:p>
        </w:tc>
        <w:tc>
          <w:tcPr>
            <w:tcW w:w="0" w:type="dxa"/>
            <w:vAlign w:val="bottom"/>
          </w:tcPr>
          <w:p>
            <w:pPr>
              <w:spacing w:after="0"/>
              <w:rPr>
                <w:sz w:val="1"/>
                <w:szCs w:val="1"/>
                <w:color w:val="auto"/>
              </w:rPr>
            </w:pPr>
          </w:p>
        </w:tc>
      </w:tr>
      <w:tr>
        <w:trPr>
          <w:trHeight w:val="28"/>
        </w:trPr>
        <w:tc>
          <w:tcPr>
            <w:tcW w:w="2120" w:type="dxa"/>
            <w:vAlign w:val="bottom"/>
            <w:tcBorders>
              <w:bottom w:val="single" w:sz="8" w:color="DBDBDB"/>
            </w:tcBorders>
          </w:tcPr>
          <w:p>
            <w:pPr>
              <w:spacing w:after="0"/>
              <w:rPr>
                <w:sz w:val="2"/>
                <w:szCs w:val="2"/>
                <w:color w:val="auto"/>
              </w:rPr>
            </w:pPr>
          </w:p>
        </w:tc>
        <w:tc>
          <w:tcPr>
            <w:tcW w:w="400" w:type="dxa"/>
            <w:vAlign w:val="bottom"/>
            <w:tcBorders>
              <w:bottom w:val="single" w:sz="8" w:color="DBDBDB"/>
            </w:tcBorders>
          </w:tcPr>
          <w:p>
            <w:pPr>
              <w:spacing w:after="0"/>
              <w:rPr>
                <w:sz w:val="2"/>
                <w:szCs w:val="2"/>
                <w:color w:val="auto"/>
              </w:rPr>
            </w:pPr>
          </w:p>
        </w:tc>
        <w:tc>
          <w:tcPr>
            <w:tcW w:w="1640" w:type="dxa"/>
            <w:vAlign w:val="bottom"/>
            <w:tcBorders>
              <w:bottom w:val="single" w:sz="8" w:color="DBDBDB"/>
            </w:tcBorders>
          </w:tcPr>
          <w:p>
            <w:pPr>
              <w:spacing w:after="0"/>
              <w:rPr>
                <w:sz w:val="2"/>
                <w:szCs w:val="2"/>
                <w:color w:val="auto"/>
              </w:rPr>
            </w:pPr>
          </w:p>
        </w:tc>
        <w:tc>
          <w:tcPr>
            <w:tcW w:w="1280" w:type="dxa"/>
            <w:vAlign w:val="bottom"/>
            <w:tcBorders>
              <w:bottom w:val="single" w:sz="8" w:color="DBDBDB"/>
            </w:tcBorders>
          </w:tcPr>
          <w:p>
            <w:pPr>
              <w:spacing w:after="0"/>
              <w:rPr>
                <w:sz w:val="2"/>
                <w:szCs w:val="2"/>
                <w:color w:val="auto"/>
              </w:rPr>
            </w:pPr>
          </w:p>
        </w:tc>
        <w:tc>
          <w:tcPr>
            <w:tcW w:w="480" w:type="dxa"/>
            <w:vAlign w:val="bottom"/>
            <w:tcBorders>
              <w:bottom w:val="single" w:sz="8" w:color="DBDBDB"/>
            </w:tcBorders>
          </w:tcPr>
          <w:p>
            <w:pPr>
              <w:spacing w:after="0"/>
              <w:rPr>
                <w:sz w:val="2"/>
                <w:szCs w:val="2"/>
                <w:color w:val="auto"/>
              </w:rPr>
            </w:pPr>
          </w:p>
        </w:tc>
        <w:tc>
          <w:tcPr>
            <w:tcW w:w="920" w:type="dxa"/>
            <w:vAlign w:val="bottom"/>
            <w:tcBorders>
              <w:bottom w:val="single" w:sz="8" w:color="DBDBDB"/>
            </w:tcBorders>
          </w:tcPr>
          <w:p>
            <w:pPr>
              <w:spacing w:after="0"/>
              <w:rPr>
                <w:sz w:val="2"/>
                <w:szCs w:val="2"/>
                <w:color w:val="auto"/>
              </w:rPr>
            </w:pPr>
          </w:p>
        </w:tc>
        <w:tc>
          <w:tcPr>
            <w:tcW w:w="1780" w:type="dxa"/>
            <w:vAlign w:val="bottom"/>
            <w:tcBorders>
              <w:bottom w:val="single" w:sz="8" w:color="DBDBDB"/>
            </w:tcBorders>
          </w:tcPr>
          <w:p>
            <w:pPr>
              <w:spacing w:after="0"/>
              <w:rPr>
                <w:sz w:val="2"/>
                <w:szCs w:val="2"/>
                <w:color w:val="auto"/>
              </w:rPr>
            </w:pPr>
          </w:p>
        </w:tc>
        <w:tc>
          <w:tcPr>
            <w:tcW w:w="1520" w:type="dxa"/>
            <w:vAlign w:val="bottom"/>
            <w:tcBorders>
              <w:bottom w:val="single" w:sz="8" w:color="DBDBDB"/>
            </w:tcBorders>
          </w:tcPr>
          <w:p>
            <w:pPr>
              <w:spacing w:after="0"/>
              <w:rPr>
                <w:sz w:val="2"/>
                <w:szCs w:val="2"/>
                <w:color w:val="auto"/>
              </w:rPr>
            </w:pPr>
          </w:p>
        </w:tc>
        <w:tc>
          <w:tcPr>
            <w:tcW w:w="1100" w:type="dxa"/>
            <w:vAlign w:val="bottom"/>
            <w:tcBorders>
              <w:bottom w:val="single" w:sz="8" w:color="DBDBDB"/>
            </w:tcBorders>
          </w:tcPr>
          <w:p>
            <w:pPr>
              <w:spacing w:after="0"/>
              <w:rPr>
                <w:sz w:val="2"/>
                <w:szCs w:val="2"/>
                <w:color w:val="auto"/>
              </w:rPr>
            </w:pPr>
          </w:p>
        </w:tc>
        <w:tc>
          <w:tcPr>
            <w:tcW w:w="0" w:type="dxa"/>
            <w:vAlign w:val="bottom"/>
          </w:tcPr>
          <w:p>
            <w:pPr>
              <w:spacing w:after="0"/>
              <w:rPr>
                <w:sz w:val="1"/>
                <w:szCs w:val="1"/>
                <w:color w:val="auto"/>
              </w:rPr>
            </w:pPr>
          </w:p>
        </w:tc>
      </w:tr>
      <w:tr>
        <w:trPr>
          <w:trHeight w:val="242"/>
        </w:trPr>
        <w:tc>
          <w:tcPr>
            <w:tcW w:w="2120" w:type="dxa"/>
            <w:vAlign w:val="bottom"/>
            <w:tcBorders>
              <w:bottom w:val="single" w:sz="8" w:color="E7ECF0"/>
            </w:tcBorders>
            <w:shd w:val="clear" w:color="auto" w:fill="E7ECF0"/>
          </w:tcPr>
          <w:p>
            <w:pPr>
              <w:ind w:left="20"/>
              <w:spacing w:after="0"/>
              <w:rPr>
                <w:sz w:val="20"/>
                <w:szCs w:val="20"/>
                <w:color w:val="auto"/>
              </w:rPr>
            </w:pPr>
            <w:r>
              <w:rPr>
                <w:rFonts w:ascii="Arial" w:cs="Arial" w:eastAsia="Arial" w:hAnsi="Arial"/>
                <w:sz w:val="16"/>
                <w:szCs w:val="16"/>
                <w:color w:val="auto"/>
              </w:rPr>
              <w:t>Shruti S. Miyashiro</w:t>
            </w:r>
          </w:p>
        </w:tc>
        <w:tc>
          <w:tcPr>
            <w:tcW w:w="400" w:type="dxa"/>
            <w:vAlign w:val="bottom"/>
            <w:tcBorders>
              <w:bottom w:val="single" w:sz="8" w:color="E7ECF0"/>
            </w:tcBorders>
            <w:shd w:val="clear" w:color="auto" w:fill="E7ECF0"/>
          </w:tcPr>
          <w:p>
            <w:pPr>
              <w:spacing w:after="0"/>
              <w:rPr>
                <w:sz w:val="20"/>
                <w:szCs w:val="20"/>
                <w:color w:val="auto"/>
              </w:rPr>
            </w:pPr>
          </w:p>
        </w:tc>
        <w:tc>
          <w:tcPr>
            <w:tcW w:w="1640" w:type="dxa"/>
            <w:vAlign w:val="bottom"/>
            <w:tcBorders>
              <w:bottom w:val="single" w:sz="8" w:color="E7ECF0"/>
            </w:tcBorders>
            <w:shd w:val="clear" w:color="auto" w:fill="E7ECF0"/>
          </w:tcPr>
          <w:p>
            <w:pPr>
              <w:jc w:val="right"/>
              <w:ind w:right="261"/>
              <w:spacing w:after="0"/>
              <w:rPr>
                <w:sz w:val="20"/>
                <w:szCs w:val="20"/>
                <w:color w:val="auto"/>
              </w:rPr>
            </w:pPr>
            <w:r>
              <w:rPr>
                <w:rFonts w:ascii="Arial" w:cs="Arial" w:eastAsia="Arial" w:hAnsi="Arial"/>
                <w:sz w:val="16"/>
                <w:szCs w:val="16"/>
                <w:color w:val="auto"/>
              </w:rPr>
              <w:t>125,000</w:t>
            </w:r>
          </w:p>
        </w:tc>
        <w:tc>
          <w:tcPr>
            <w:tcW w:w="1280" w:type="dxa"/>
            <w:vAlign w:val="bottom"/>
            <w:tcBorders>
              <w:bottom w:val="single" w:sz="8" w:color="E7ECF0"/>
            </w:tcBorders>
            <w:shd w:val="clear" w:color="auto" w:fill="E7ECF0"/>
          </w:tcPr>
          <w:p>
            <w:pPr>
              <w:jc w:val="center"/>
              <w:ind w:left="240"/>
              <w:spacing w:after="0"/>
              <w:rPr>
                <w:sz w:val="20"/>
                <w:szCs w:val="20"/>
                <w:color w:val="auto"/>
              </w:rPr>
            </w:pPr>
            <w:r>
              <w:rPr>
                <w:rFonts w:ascii="Arial" w:cs="Arial" w:eastAsia="Arial" w:hAnsi="Arial"/>
                <w:sz w:val="16"/>
                <w:szCs w:val="16"/>
                <w:color w:val="auto"/>
              </w:rPr>
              <w:t>177,475</w:t>
            </w:r>
          </w:p>
        </w:tc>
        <w:tc>
          <w:tcPr>
            <w:tcW w:w="480" w:type="dxa"/>
            <w:vAlign w:val="bottom"/>
            <w:tcBorders>
              <w:bottom w:val="single" w:sz="8" w:color="E7ECF0"/>
            </w:tcBorders>
            <w:shd w:val="clear" w:color="auto" w:fill="E7ECF0"/>
          </w:tcPr>
          <w:p>
            <w:pPr>
              <w:spacing w:after="0"/>
              <w:rPr>
                <w:sz w:val="20"/>
                <w:szCs w:val="20"/>
                <w:color w:val="auto"/>
              </w:rPr>
            </w:pPr>
          </w:p>
        </w:tc>
        <w:tc>
          <w:tcPr>
            <w:tcW w:w="920" w:type="dxa"/>
            <w:vAlign w:val="bottom"/>
            <w:tcBorders>
              <w:bottom w:val="single" w:sz="8" w:color="E7ECF0"/>
            </w:tcBorders>
            <w:shd w:val="clear" w:color="auto" w:fill="E7ECF0"/>
          </w:tcPr>
          <w:p>
            <w:pPr>
              <w:jc w:val="center"/>
              <w:spacing w:after="0"/>
              <w:rPr>
                <w:sz w:val="20"/>
                <w:szCs w:val="20"/>
                <w:color w:val="auto"/>
              </w:rPr>
            </w:pPr>
            <w:r>
              <w:rPr>
                <w:rFonts w:ascii="Arial" w:cs="Arial" w:eastAsia="Arial" w:hAnsi="Arial"/>
                <w:sz w:val="16"/>
                <w:szCs w:val="16"/>
                <w:color w:val="auto"/>
                <w:w w:val="74"/>
              </w:rPr>
              <w:t>-</w:t>
            </w:r>
          </w:p>
        </w:tc>
        <w:tc>
          <w:tcPr>
            <w:tcW w:w="1780" w:type="dxa"/>
            <w:vAlign w:val="bottom"/>
            <w:tcBorders>
              <w:bottom w:val="single" w:sz="8" w:color="E7ECF0"/>
            </w:tcBorders>
            <w:shd w:val="clear" w:color="auto" w:fill="E7ECF0"/>
          </w:tcPr>
          <w:p>
            <w:pPr>
              <w:jc w:val="center"/>
              <w:spacing w:after="0"/>
              <w:rPr>
                <w:sz w:val="20"/>
                <w:szCs w:val="20"/>
                <w:color w:val="auto"/>
              </w:rPr>
            </w:pPr>
            <w:r>
              <w:rPr>
                <w:rFonts w:ascii="Arial" w:cs="Arial" w:eastAsia="Arial" w:hAnsi="Arial"/>
                <w:sz w:val="16"/>
                <w:szCs w:val="16"/>
                <w:color w:val="auto"/>
              </w:rPr>
              <w:t>-</w:t>
            </w:r>
          </w:p>
        </w:tc>
        <w:tc>
          <w:tcPr>
            <w:tcW w:w="1520" w:type="dxa"/>
            <w:vAlign w:val="bottom"/>
            <w:tcBorders>
              <w:bottom w:val="single" w:sz="8" w:color="E7ECF0"/>
            </w:tcBorders>
            <w:shd w:val="clear" w:color="auto" w:fill="E7ECF0"/>
          </w:tcPr>
          <w:p>
            <w:pPr>
              <w:jc w:val="center"/>
              <w:ind w:right="81"/>
              <w:spacing w:after="0"/>
              <w:rPr>
                <w:sz w:val="20"/>
                <w:szCs w:val="20"/>
                <w:color w:val="auto"/>
              </w:rPr>
            </w:pPr>
            <w:r>
              <w:rPr>
                <w:rFonts w:ascii="Arial" w:cs="Arial" w:eastAsia="Arial" w:hAnsi="Arial"/>
                <w:sz w:val="16"/>
                <w:szCs w:val="16"/>
                <w:color w:val="auto"/>
                <w:w w:val="74"/>
              </w:rPr>
              <w:t>-</w:t>
            </w:r>
          </w:p>
        </w:tc>
        <w:tc>
          <w:tcPr>
            <w:tcW w:w="1100" w:type="dxa"/>
            <w:vAlign w:val="bottom"/>
            <w:tcBorders>
              <w:bottom w:val="single" w:sz="8" w:color="E7ECF0"/>
            </w:tcBorders>
            <w:shd w:val="clear" w:color="auto" w:fill="E7ECF0"/>
          </w:tcPr>
          <w:p>
            <w:pPr>
              <w:jc w:val="right"/>
              <w:spacing w:after="0"/>
              <w:rPr>
                <w:sz w:val="20"/>
                <w:szCs w:val="20"/>
                <w:color w:val="auto"/>
              </w:rPr>
            </w:pPr>
            <w:r>
              <w:rPr>
                <w:rFonts w:ascii="Arial" w:cs="Arial" w:eastAsia="Arial" w:hAnsi="Arial"/>
                <w:sz w:val="16"/>
                <w:szCs w:val="16"/>
                <w:color w:val="auto"/>
              </w:rPr>
              <w:t>302,475</w:t>
            </w:r>
          </w:p>
        </w:tc>
        <w:tc>
          <w:tcPr>
            <w:tcW w:w="0" w:type="dxa"/>
            <w:vAlign w:val="bottom"/>
          </w:tcPr>
          <w:p>
            <w:pPr>
              <w:spacing w:after="0"/>
              <w:rPr>
                <w:sz w:val="1"/>
                <w:szCs w:val="1"/>
                <w:color w:val="auto"/>
              </w:rPr>
            </w:pPr>
          </w:p>
        </w:tc>
      </w:tr>
      <w:tr>
        <w:trPr>
          <w:trHeight w:val="208"/>
        </w:trPr>
        <w:tc>
          <w:tcPr>
            <w:tcW w:w="2120" w:type="dxa"/>
            <w:vAlign w:val="bottom"/>
            <w:tcBorders>
              <w:top w:val="single" w:sz="8" w:color="DBDBDB"/>
            </w:tcBorders>
          </w:tcPr>
          <w:p>
            <w:pPr>
              <w:ind w:left="20"/>
              <w:spacing w:after="0"/>
              <w:rPr>
                <w:sz w:val="20"/>
                <w:szCs w:val="20"/>
                <w:color w:val="auto"/>
              </w:rPr>
            </w:pPr>
            <w:r>
              <w:rPr>
                <w:rFonts w:ascii="Arial" w:cs="Arial" w:eastAsia="Arial" w:hAnsi="Arial"/>
                <w:sz w:val="16"/>
                <w:szCs w:val="16"/>
                <w:color w:val="auto"/>
              </w:rPr>
              <w:t>Wesley A. Brown</w:t>
            </w:r>
          </w:p>
        </w:tc>
        <w:tc>
          <w:tcPr>
            <w:tcW w:w="400" w:type="dxa"/>
            <w:vAlign w:val="bottom"/>
            <w:tcBorders>
              <w:top w:val="single" w:sz="8" w:color="DBDBDB"/>
            </w:tcBorders>
          </w:tcPr>
          <w:p>
            <w:pPr>
              <w:spacing w:after="0"/>
              <w:rPr>
                <w:sz w:val="18"/>
                <w:szCs w:val="18"/>
                <w:color w:val="auto"/>
              </w:rPr>
            </w:pPr>
          </w:p>
        </w:tc>
        <w:tc>
          <w:tcPr>
            <w:tcW w:w="1640" w:type="dxa"/>
            <w:vAlign w:val="bottom"/>
            <w:tcBorders>
              <w:top w:val="single" w:sz="8" w:color="DBDBDB"/>
            </w:tcBorders>
          </w:tcPr>
          <w:p>
            <w:pPr>
              <w:jc w:val="right"/>
              <w:ind w:right="261"/>
              <w:spacing w:after="0"/>
              <w:rPr>
                <w:sz w:val="20"/>
                <w:szCs w:val="20"/>
                <w:color w:val="auto"/>
              </w:rPr>
            </w:pPr>
            <w:r>
              <w:rPr>
                <w:rFonts w:ascii="Arial" w:cs="Arial" w:eastAsia="Arial" w:hAnsi="Arial"/>
                <w:sz w:val="16"/>
                <w:szCs w:val="16"/>
                <w:color w:val="auto"/>
              </w:rPr>
              <w:t>105,000</w:t>
            </w:r>
          </w:p>
        </w:tc>
        <w:tc>
          <w:tcPr>
            <w:tcW w:w="1280" w:type="dxa"/>
            <w:vAlign w:val="bottom"/>
            <w:tcBorders>
              <w:top w:val="single" w:sz="8" w:color="DBDBDB"/>
            </w:tcBorders>
          </w:tcPr>
          <w:p>
            <w:pPr>
              <w:jc w:val="center"/>
              <w:ind w:left="240"/>
              <w:spacing w:after="0"/>
              <w:rPr>
                <w:sz w:val="20"/>
                <w:szCs w:val="20"/>
                <w:color w:val="auto"/>
              </w:rPr>
            </w:pPr>
            <w:r>
              <w:rPr>
                <w:rFonts w:ascii="Arial" w:cs="Arial" w:eastAsia="Arial" w:hAnsi="Arial"/>
                <w:sz w:val="16"/>
                <w:szCs w:val="16"/>
                <w:color w:val="auto"/>
              </w:rPr>
              <w:t>177,475</w:t>
            </w:r>
          </w:p>
        </w:tc>
        <w:tc>
          <w:tcPr>
            <w:tcW w:w="480" w:type="dxa"/>
            <w:vAlign w:val="bottom"/>
            <w:tcBorders>
              <w:top w:val="single" w:sz="8" w:color="DBDBDB"/>
            </w:tcBorders>
          </w:tcPr>
          <w:p>
            <w:pPr>
              <w:spacing w:after="0"/>
              <w:rPr>
                <w:sz w:val="18"/>
                <w:szCs w:val="18"/>
                <w:color w:val="auto"/>
              </w:rPr>
            </w:pPr>
          </w:p>
        </w:tc>
        <w:tc>
          <w:tcPr>
            <w:tcW w:w="920" w:type="dxa"/>
            <w:vAlign w:val="bottom"/>
            <w:tcBorders>
              <w:top w:val="single" w:sz="8" w:color="DBDBDB"/>
            </w:tcBorders>
          </w:tcPr>
          <w:p>
            <w:pPr>
              <w:jc w:val="center"/>
              <w:spacing w:after="0"/>
              <w:rPr>
                <w:sz w:val="20"/>
                <w:szCs w:val="20"/>
                <w:color w:val="auto"/>
              </w:rPr>
            </w:pPr>
            <w:r>
              <w:rPr>
                <w:rFonts w:ascii="Arial" w:cs="Arial" w:eastAsia="Arial" w:hAnsi="Arial"/>
                <w:sz w:val="16"/>
                <w:szCs w:val="16"/>
                <w:color w:val="auto"/>
                <w:w w:val="74"/>
              </w:rPr>
              <w:t>-</w:t>
            </w:r>
          </w:p>
        </w:tc>
        <w:tc>
          <w:tcPr>
            <w:tcW w:w="1780" w:type="dxa"/>
            <w:vAlign w:val="bottom"/>
            <w:tcBorders>
              <w:top w:val="single" w:sz="8" w:color="DBDBDB"/>
            </w:tcBorders>
          </w:tcPr>
          <w:p>
            <w:pPr>
              <w:jc w:val="center"/>
              <w:spacing w:after="0"/>
              <w:rPr>
                <w:sz w:val="20"/>
                <w:szCs w:val="20"/>
                <w:color w:val="auto"/>
              </w:rPr>
            </w:pPr>
            <w:r>
              <w:rPr>
                <w:rFonts w:ascii="Arial" w:cs="Arial" w:eastAsia="Arial" w:hAnsi="Arial"/>
                <w:sz w:val="16"/>
                <w:szCs w:val="16"/>
                <w:color w:val="auto"/>
              </w:rPr>
              <w:t>-</w:t>
            </w:r>
          </w:p>
        </w:tc>
        <w:tc>
          <w:tcPr>
            <w:tcW w:w="1520" w:type="dxa"/>
            <w:vAlign w:val="bottom"/>
            <w:tcBorders>
              <w:top w:val="single" w:sz="8" w:color="DBDBDB"/>
            </w:tcBorders>
          </w:tcPr>
          <w:p>
            <w:pPr>
              <w:jc w:val="center"/>
              <w:ind w:right="81"/>
              <w:spacing w:after="0"/>
              <w:rPr>
                <w:sz w:val="20"/>
                <w:szCs w:val="20"/>
                <w:color w:val="auto"/>
              </w:rPr>
            </w:pPr>
            <w:r>
              <w:rPr>
                <w:rFonts w:ascii="Arial" w:cs="Arial" w:eastAsia="Arial" w:hAnsi="Arial"/>
                <w:sz w:val="16"/>
                <w:szCs w:val="16"/>
                <w:color w:val="auto"/>
                <w:w w:val="74"/>
              </w:rPr>
              <w:t>-</w:t>
            </w:r>
          </w:p>
        </w:tc>
        <w:tc>
          <w:tcPr>
            <w:tcW w:w="1100" w:type="dxa"/>
            <w:vAlign w:val="bottom"/>
            <w:tcBorders>
              <w:top w:val="single" w:sz="8" w:color="DBDBDB"/>
            </w:tcBorders>
          </w:tcPr>
          <w:p>
            <w:pPr>
              <w:jc w:val="right"/>
              <w:spacing w:after="0"/>
              <w:rPr>
                <w:sz w:val="20"/>
                <w:szCs w:val="20"/>
                <w:color w:val="auto"/>
              </w:rPr>
            </w:pPr>
            <w:r>
              <w:rPr>
                <w:rFonts w:ascii="Arial" w:cs="Arial" w:eastAsia="Arial" w:hAnsi="Arial"/>
                <w:sz w:val="16"/>
                <w:szCs w:val="16"/>
                <w:color w:val="auto"/>
              </w:rPr>
              <w:t>282,475</w:t>
            </w:r>
          </w:p>
        </w:tc>
        <w:tc>
          <w:tcPr>
            <w:tcW w:w="0" w:type="dxa"/>
            <w:vAlign w:val="bottom"/>
          </w:tcPr>
          <w:p>
            <w:pPr>
              <w:spacing w:after="0"/>
              <w:rPr>
                <w:sz w:val="1"/>
                <w:szCs w:val="1"/>
                <w:color w:val="auto"/>
              </w:rPr>
            </w:pPr>
          </w:p>
        </w:tc>
      </w:tr>
      <w:tr>
        <w:trPr>
          <w:trHeight w:val="28"/>
        </w:trPr>
        <w:tc>
          <w:tcPr>
            <w:tcW w:w="2120" w:type="dxa"/>
            <w:vAlign w:val="bottom"/>
            <w:tcBorders>
              <w:bottom w:val="single" w:sz="8" w:color="DBDBDB"/>
            </w:tcBorders>
          </w:tcPr>
          <w:p>
            <w:pPr>
              <w:spacing w:after="0"/>
              <w:rPr>
                <w:sz w:val="2"/>
                <w:szCs w:val="2"/>
                <w:color w:val="auto"/>
              </w:rPr>
            </w:pPr>
          </w:p>
        </w:tc>
        <w:tc>
          <w:tcPr>
            <w:tcW w:w="400" w:type="dxa"/>
            <w:vAlign w:val="bottom"/>
            <w:tcBorders>
              <w:bottom w:val="single" w:sz="8" w:color="DBDBDB"/>
            </w:tcBorders>
          </w:tcPr>
          <w:p>
            <w:pPr>
              <w:spacing w:after="0"/>
              <w:rPr>
                <w:sz w:val="2"/>
                <w:szCs w:val="2"/>
                <w:color w:val="auto"/>
              </w:rPr>
            </w:pPr>
          </w:p>
        </w:tc>
        <w:tc>
          <w:tcPr>
            <w:tcW w:w="1640" w:type="dxa"/>
            <w:vAlign w:val="bottom"/>
            <w:tcBorders>
              <w:bottom w:val="single" w:sz="8" w:color="DBDBDB"/>
            </w:tcBorders>
          </w:tcPr>
          <w:p>
            <w:pPr>
              <w:spacing w:after="0"/>
              <w:rPr>
                <w:sz w:val="2"/>
                <w:szCs w:val="2"/>
                <w:color w:val="auto"/>
              </w:rPr>
            </w:pPr>
          </w:p>
        </w:tc>
        <w:tc>
          <w:tcPr>
            <w:tcW w:w="1280" w:type="dxa"/>
            <w:vAlign w:val="bottom"/>
            <w:tcBorders>
              <w:bottom w:val="single" w:sz="8" w:color="DBDBDB"/>
            </w:tcBorders>
          </w:tcPr>
          <w:p>
            <w:pPr>
              <w:spacing w:after="0"/>
              <w:rPr>
                <w:sz w:val="2"/>
                <w:szCs w:val="2"/>
                <w:color w:val="auto"/>
              </w:rPr>
            </w:pPr>
          </w:p>
        </w:tc>
        <w:tc>
          <w:tcPr>
            <w:tcW w:w="480" w:type="dxa"/>
            <w:vAlign w:val="bottom"/>
            <w:tcBorders>
              <w:bottom w:val="single" w:sz="8" w:color="DBDBDB"/>
            </w:tcBorders>
          </w:tcPr>
          <w:p>
            <w:pPr>
              <w:spacing w:after="0"/>
              <w:rPr>
                <w:sz w:val="2"/>
                <w:szCs w:val="2"/>
                <w:color w:val="auto"/>
              </w:rPr>
            </w:pPr>
          </w:p>
        </w:tc>
        <w:tc>
          <w:tcPr>
            <w:tcW w:w="920" w:type="dxa"/>
            <w:vAlign w:val="bottom"/>
            <w:tcBorders>
              <w:bottom w:val="single" w:sz="8" w:color="DBDBDB"/>
            </w:tcBorders>
          </w:tcPr>
          <w:p>
            <w:pPr>
              <w:spacing w:after="0"/>
              <w:rPr>
                <w:sz w:val="2"/>
                <w:szCs w:val="2"/>
                <w:color w:val="auto"/>
              </w:rPr>
            </w:pPr>
          </w:p>
        </w:tc>
        <w:tc>
          <w:tcPr>
            <w:tcW w:w="1780" w:type="dxa"/>
            <w:vAlign w:val="bottom"/>
            <w:tcBorders>
              <w:bottom w:val="single" w:sz="8" w:color="DBDBDB"/>
            </w:tcBorders>
          </w:tcPr>
          <w:p>
            <w:pPr>
              <w:spacing w:after="0"/>
              <w:rPr>
                <w:sz w:val="2"/>
                <w:szCs w:val="2"/>
                <w:color w:val="auto"/>
              </w:rPr>
            </w:pPr>
          </w:p>
        </w:tc>
        <w:tc>
          <w:tcPr>
            <w:tcW w:w="1520" w:type="dxa"/>
            <w:vAlign w:val="bottom"/>
            <w:tcBorders>
              <w:bottom w:val="single" w:sz="8" w:color="DBDBDB"/>
            </w:tcBorders>
          </w:tcPr>
          <w:p>
            <w:pPr>
              <w:spacing w:after="0"/>
              <w:rPr>
                <w:sz w:val="2"/>
                <w:szCs w:val="2"/>
                <w:color w:val="auto"/>
              </w:rPr>
            </w:pPr>
          </w:p>
        </w:tc>
        <w:tc>
          <w:tcPr>
            <w:tcW w:w="1100" w:type="dxa"/>
            <w:vAlign w:val="bottom"/>
            <w:tcBorders>
              <w:bottom w:val="single" w:sz="8" w:color="DBDBDB"/>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2120" w:type="dxa"/>
            <w:vAlign w:val="bottom"/>
            <w:tcBorders>
              <w:bottom w:val="single" w:sz="8" w:color="DBDBDB"/>
            </w:tcBorders>
            <w:shd w:val="clear" w:color="auto" w:fill="E7ECF0"/>
          </w:tcPr>
          <w:p>
            <w:pPr>
              <w:ind w:left="20"/>
              <w:spacing w:after="0"/>
              <w:rPr>
                <w:sz w:val="20"/>
                <w:szCs w:val="20"/>
                <w:color w:val="auto"/>
              </w:rPr>
            </w:pPr>
            <w:r>
              <w:rPr>
                <w:rFonts w:ascii="Arial" w:cs="Arial" w:eastAsia="Arial" w:hAnsi="Arial"/>
                <w:sz w:val="16"/>
                <w:szCs w:val="16"/>
                <w:color w:val="auto"/>
              </w:rPr>
              <w:t>Curtis. A. Campbell</w:t>
            </w:r>
          </w:p>
        </w:tc>
        <w:tc>
          <w:tcPr>
            <w:tcW w:w="400" w:type="dxa"/>
            <w:vAlign w:val="bottom"/>
            <w:tcBorders>
              <w:bottom w:val="single" w:sz="8" w:color="DBDBDB"/>
            </w:tcBorders>
            <w:shd w:val="clear" w:color="auto" w:fill="E7ECF0"/>
          </w:tcPr>
          <w:p>
            <w:pPr>
              <w:spacing w:after="0"/>
              <w:rPr>
                <w:sz w:val="20"/>
                <w:szCs w:val="20"/>
                <w:color w:val="auto"/>
              </w:rPr>
            </w:pPr>
          </w:p>
        </w:tc>
        <w:tc>
          <w:tcPr>
            <w:tcW w:w="1640" w:type="dxa"/>
            <w:vAlign w:val="bottom"/>
            <w:tcBorders>
              <w:bottom w:val="single" w:sz="8" w:color="DBDBDB"/>
            </w:tcBorders>
            <w:shd w:val="clear" w:color="auto" w:fill="E7ECF0"/>
          </w:tcPr>
          <w:p>
            <w:pPr>
              <w:jc w:val="right"/>
              <w:ind w:right="261"/>
              <w:spacing w:after="0"/>
              <w:rPr>
                <w:sz w:val="20"/>
                <w:szCs w:val="20"/>
                <w:color w:val="auto"/>
              </w:rPr>
            </w:pPr>
            <w:r>
              <w:rPr>
                <w:rFonts w:ascii="Arial" w:cs="Arial" w:eastAsia="Arial" w:hAnsi="Arial"/>
                <w:sz w:val="16"/>
                <w:szCs w:val="16"/>
                <w:color w:val="auto"/>
              </w:rPr>
              <w:t>95,000</w:t>
            </w:r>
          </w:p>
        </w:tc>
        <w:tc>
          <w:tcPr>
            <w:tcW w:w="1280" w:type="dxa"/>
            <w:vAlign w:val="bottom"/>
            <w:tcBorders>
              <w:bottom w:val="single" w:sz="8" w:color="DBDBDB"/>
            </w:tcBorders>
            <w:shd w:val="clear" w:color="auto" w:fill="E7ECF0"/>
          </w:tcPr>
          <w:p>
            <w:pPr>
              <w:jc w:val="center"/>
              <w:ind w:left="240"/>
              <w:spacing w:after="0"/>
              <w:rPr>
                <w:sz w:val="20"/>
                <w:szCs w:val="20"/>
                <w:color w:val="auto"/>
              </w:rPr>
            </w:pPr>
            <w:r>
              <w:rPr>
                <w:rFonts w:ascii="Arial" w:cs="Arial" w:eastAsia="Arial" w:hAnsi="Arial"/>
                <w:sz w:val="16"/>
                <w:szCs w:val="16"/>
                <w:color w:val="auto"/>
              </w:rPr>
              <w:t>177,475</w:t>
            </w:r>
          </w:p>
        </w:tc>
        <w:tc>
          <w:tcPr>
            <w:tcW w:w="480" w:type="dxa"/>
            <w:vAlign w:val="bottom"/>
            <w:tcBorders>
              <w:bottom w:val="single" w:sz="8" w:color="DBDBDB"/>
            </w:tcBorders>
            <w:shd w:val="clear" w:color="auto" w:fill="E7ECF0"/>
          </w:tcPr>
          <w:p>
            <w:pPr>
              <w:jc w:val="right"/>
              <w:ind w:right="139"/>
              <w:spacing w:after="0"/>
              <w:rPr>
                <w:sz w:val="20"/>
                <w:szCs w:val="20"/>
                <w:color w:val="auto"/>
              </w:rPr>
            </w:pPr>
            <w:r>
              <w:rPr>
                <w:rFonts w:ascii="Arial" w:cs="Arial" w:eastAsia="Arial" w:hAnsi="Arial"/>
                <w:sz w:val="16"/>
                <w:szCs w:val="16"/>
                <w:color w:val="auto"/>
              </w:rPr>
              <w:t>(4)</w:t>
            </w:r>
          </w:p>
        </w:tc>
        <w:tc>
          <w:tcPr>
            <w:tcW w:w="920" w:type="dxa"/>
            <w:vAlign w:val="bottom"/>
            <w:tcBorders>
              <w:bottom w:val="single" w:sz="8" w:color="DBDBDB"/>
            </w:tcBorders>
            <w:shd w:val="clear" w:color="auto" w:fill="E7ECF0"/>
          </w:tcPr>
          <w:p>
            <w:pPr>
              <w:jc w:val="center"/>
              <w:spacing w:after="0"/>
              <w:rPr>
                <w:sz w:val="20"/>
                <w:szCs w:val="20"/>
                <w:color w:val="auto"/>
              </w:rPr>
            </w:pPr>
            <w:r>
              <w:rPr>
                <w:rFonts w:ascii="Arial" w:cs="Arial" w:eastAsia="Arial" w:hAnsi="Arial"/>
                <w:sz w:val="16"/>
                <w:szCs w:val="16"/>
                <w:color w:val="auto"/>
                <w:w w:val="74"/>
              </w:rPr>
              <w:t>-</w:t>
            </w:r>
          </w:p>
        </w:tc>
        <w:tc>
          <w:tcPr>
            <w:tcW w:w="1780" w:type="dxa"/>
            <w:vAlign w:val="bottom"/>
            <w:tcBorders>
              <w:bottom w:val="single" w:sz="8" w:color="DBDBDB"/>
            </w:tcBorders>
            <w:shd w:val="clear" w:color="auto" w:fill="E7ECF0"/>
          </w:tcPr>
          <w:p>
            <w:pPr>
              <w:jc w:val="center"/>
              <w:spacing w:after="0"/>
              <w:rPr>
                <w:sz w:val="20"/>
                <w:szCs w:val="20"/>
                <w:color w:val="auto"/>
              </w:rPr>
            </w:pPr>
            <w:r>
              <w:rPr>
                <w:rFonts w:ascii="Arial" w:cs="Arial" w:eastAsia="Arial" w:hAnsi="Arial"/>
                <w:sz w:val="16"/>
                <w:szCs w:val="16"/>
                <w:color w:val="auto"/>
              </w:rPr>
              <w:t>-</w:t>
            </w:r>
          </w:p>
        </w:tc>
        <w:tc>
          <w:tcPr>
            <w:tcW w:w="1520" w:type="dxa"/>
            <w:vAlign w:val="bottom"/>
            <w:tcBorders>
              <w:bottom w:val="single" w:sz="8" w:color="DBDBDB"/>
            </w:tcBorders>
            <w:shd w:val="clear" w:color="auto" w:fill="E7ECF0"/>
          </w:tcPr>
          <w:p>
            <w:pPr>
              <w:jc w:val="center"/>
              <w:ind w:right="81"/>
              <w:spacing w:after="0"/>
              <w:rPr>
                <w:sz w:val="20"/>
                <w:szCs w:val="20"/>
                <w:color w:val="auto"/>
              </w:rPr>
            </w:pPr>
            <w:r>
              <w:rPr>
                <w:rFonts w:ascii="Arial" w:cs="Arial" w:eastAsia="Arial" w:hAnsi="Arial"/>
                <w:sz w:val="16"/>
                <w:szCs w:val="16"/>
                <w:color w:val="auto"/>
                <w:w w:val="74"/>
              </w:rPr>
              <w:t>-</w:t>
            </w:r>
          </w:p>
        </w:tc>
        <w:tc>
          <w:tcPr>
            <w:tcW w:w="1100" w:type="dxa"/>
            <w:vAlign w:val="bottom"/>
            <w:tcBorders>
              <w:bottom w:val="single" w:sz="8" w:color="DBDBDB"/>
            </w:tcBorders>
            <w:shd w:val="clear" w:color="auto" w:fill="E7ECF0"/>
          </w:tcPr>
          <w:p>
            <w:pPr>
              <w:jc w:val="right"/>
              <w:spacing w:after="0"/>
              <w:rPr>
                <w:sz w:val="20"/>
                <w:szCs w:val="20"/>
                <w:color w:val="auto"/>
              </w:rPr>
            </w:pPr>
            <w:r>
              <w:rPr>
                <w:rFonts w:ascii="Arial" w:cs="Arial" w:eastAsia="Arial" w:hAnsi="Arial"/>
                <w:sz w:val="16"/>
                <w:szCs w:val="16"/>
                <w:color w:val="auto"/>
              </w:rPr>
              <w:t>272,475</w:t>
            </w:r>
          </w:p>
        </w:tc>
        <w:tc>
          <w:tcPr>
            <w:tcW w:w="0" w:type="dxa"/>
            <w:vAlign w:val="bottom"/>
          </w:tcPr>
          <w:p>
            <w:pPr>
              <w:spacing w:after="0"/>
              <w:rPr>
                <w:sz w:val="1"/>
                <w:szCs w:val="1"/>
                <w:color w:val="auto"/>
              </w:rPr>
            </w:pPr>
          </w:p>
        </w:tc>
      </w:tr>
      <w:tr>
        <w:trPr>
          <w:trHeight w:val="215"/>
        </w:trPr>
        <w:tc>
          <w:tcPr>
            <w:tcW w:w="2120" w:type="dxa"/>
            <w:vAlign w:val="bottom"/>
            <w:tcBorders>
              <w:bottom w:val="single" w:sz="8" w:color="DBDBDB"/>
            </w:tcBorders>
          </w:tcPr>
          <w:p>
            <w:pPr>
              <w:ind w:left="20"/>
              <w:spacing w:after="0"/>
              <w:rPr>
                <w:sz w:val="20"/>
                <w:szCs w:val="20"/>
                <w:color w:val="auto"/>
              </w:rPr>
            </w:pPr>
            <w:r>
              <w:rPr>
                <w:rFonts w:ascii="Arial" w:cs="Arial" w:eastAsia="Arial" w:hAnsi="Arial"/>
                <w:sz w:val="16"/>
                <w:szCs w:val="16"/>
                <w:color w:val="auto"/>
              </w:rPr>
              <w:t>Tammy S. LoCascio</w:t>
            </w:r>
          </w:p>
        </w:tc>
        <w:tc>
          <w:tcPr>
            <w:tcW w:w="400" w:type="dxa"/>
            <w:vAlign w:val="bottom"/>
            <w:tcBorders>
              <w:bottom w:val="single" w:sz="8" w:color="DBDBDB"/>
            </w:tcBorders>
          </w:tcPr>
          <w:p>
            <w:pPr>
              <w:jc w:val="right"/>
              <w:ind w:right="99"/>
              <w:spacing w:after="0"/>
              <w:rPr>
                <w:sz w:val="20"/>
                <w:szCs w:val="20"/>
                <w:color w:val="auto"/>
              </w:rPr>
            </w:pPr>
            <w:r>
              <w:rPr>
                <w:rFonts w:ascii="Arial" w:cs="Arial" w:eastAsia="Arial" w:hAnsi="Arial"/>
                <w:sz w:val="16"/>
                <w:szCs w:val="16"/>
                <w:color w:val="auto"/>
              </w:rPr>
              <w:t>(5)</w:t>
            </w:r>
          </w:p>
        </w:tc>
        <w:tc>
          <w:tcPr>
            <w:tcW w:w="1640" w:type="dxa"/>
            <w:vAlign w:val="bottom"/>
            <w:tcBorders>
              <w:bottom w:val="single" w:sz="8" w:color="DBDBDB"/>
            </w:tcBorders>
          </w:tcPr>
          <w:p>
            <w:pPr>
              <w:spacing w:after="0"/>
              <w:rPr>
                <w:sz w:val="18"/>
                <w:szCs w:val="18"/>
                <w:color w:val="auto"/>
              </w:rPr>
            </w:pPr>
          </w:p>
        </w:tc>
        <w:tc>
          <w:tcPr>
            <w:tcW w:w="1280" w:type="dxa"/>
            <w:vAlign w:val="bottom"/>
            <w:tcBorders>
              <w:bottom w:val="single" w:sz="8" w:color="DBDBDB"/>
            </w:tcBorders>
          </w:tcPr>
          <w:p>
            <w:pPr>
              <w:spacing w:after="0"/>
              <w:rPr>
                <w:sz w:val="18"/>
                <w:szCs w:val="18"/>
                <w:color w:val="auto"/>
              </w:rPr>
            </w:pPr>
          </w:p>
        </w:tc>
        <w:tc>
          <w:tcPr>
            <w:tcW w:w="480" w:type="dxa"/>
            <w:vAlign w:val="bottom"/>
            <w:tcBorders>
              <w:bottom w:val="single" w:sz="8" w:color="DBDBDB"/>
            </w:tcBorders>
          </w:tcPr>
          <w:p>
            <w:pPr>
              <w:spacing w:after="0"/>
              <w:rPr>
                <w:sz w:val="18"/>
                <w:szCs w:val="18"/>
                <w:color w:val="auto"/>
              </w:rPr>
            </w:pPr>
          </w:p>
        </w:tc>
        <w:tc>
          <w:tcPr>
            <w:tcW w:w="920" w:type="dxa"/>
            <w:vAlign w:val="bottom"/>
            <w:tcBorders>
              <w:bottom w:val="single" w:sz="8" w:color="DBDBDB"/>
            </w:tcBorders>
          </w:tcPr>
          <w:p>
            <w:pPr>
              <w:spacing w:after="0"/>
              <w:rPr>
                <w:sz w:val="18"/>
                <w:szCs w:val="18"/>
                <w:color w:val="auto"/>
              </w:rPr>
            </w:pPr>
          </w:p>
        </w:tc>
        <w:tc>
          <w:tcPr>
            <w:tcW w:w="1780" w:type="dxa"/>
            <w:vAlign w:val="bottom"/>
            <w:tcBorders>
              <w:bottom w:val="single" w:sz="8" w:color="DBDBDB"/>
            </w:tcBorders>
          </w:tcPr>
          <w:p>
            <w:pPr>
              <w:spacing w:after="0"/>
              <w:rPr>
                <w:sz w:val="18"/>
                <w:szCs w:val="18"/>
                <w:color w:val="auto"/>
              </w:rPr>
            </w:pPr>
          </w:p>
        </w:tc>
        <w:tc>
          <w:tcPr>
            <w:tcW w:w="1520" w:type="dxa"/>
            <w:vAlign w:val="bottom"/>
            <w:tcBorders>
              <w:bottom w:val="single" w:sz="8" w:color="DBDBDB"/>
            </w:tcBorders>
          </w:tcPr>
          <w:p>
            <w:pPr>
              <w:spacing w:after="0"/>
              <w:rPr>
                <w:sz w:val="18"/>
                <w:szCs w:val="18"/>
                <w:color w:val="auto"/>
              </w:rPr>
            </w:pPr>
          </w:p>
        </w:tc>
        <w:tc>
          <w:tcPr>
            <w:tcW w:w="1100" w:type="dxa"/>
            <w:vAlign w:val="bottom"/>
            <w:tcBorders>
              <w:bottom w:val="single" w:sz="8" w:color="DBDBDB"/>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120" w:type="dxa"/>
            <w:vAlign w:val="bottom"/>
            <w:shd w:val="clear" w:color="auto" w:fill="E7ECF0"/>
          </w:tcPr>
          <w:p>
            <w:pPr>
              <w:ind w:left="20"/>
              <w:spacing w:after="0"/>
              <w:rPr>
                <w:sz w:val="20"/>
                <w:szCs w:val="20"/>
                <w:color w:val="auto"/>
              </w:rPr>
            </w:pPr>
            <w:r>
              <w:rPr>
                <w:rFonts w:ascii="Arial" w:cs="Arial" w:eastAsia="Arial" w:hAnsi="Arial"/>
                <w:sz w:val="16"/>
                <w:szCs w:val="16"/>
                <w:color w:val="auto"/>
              </w:rPr>
              <w:t>Lisa M. Nelson</w:t>
            </w:r>
          </w:p>
        </w:tc>
        <w:tc>
          <w:tcPr>
            <w:tcW w:w="400" w:type="dxa"/>
            <w:vAlign w:val="bottom"/>
            <w:shd w:val="clear" w:color="auto" w:fill="E7ECF0"/>
          </w:tcPr>
          <w:p>
            <w:pPr>
              <w:jc w:val="right"/>
              <w:ind w:right="99"/>
              <w:spacing w:after="0"/>
              <w:rPr>
                <w:sz w:val="20"/>
                <w:szCs w:val="20"/>
                <w:color w:val="auto"/>
              </w:rPr>
            </w:pPr>
            <w:r>
              <w:rPr>
                <w:rFonts w:ascii="Arial" w:cs="Arial" w:eastAsia="Arial" w:hAnsi="Arial"/>
                <w:sz w:val="16"/>
                <w:szCs w:val="16"/>
                <w:color w:val="auto"/>
              </w:rPr>
              <w:t>(5)</w:t>
            </w:r>
          </w:p>
        </w:tc>
        <w:tc>
          <w:tcPr>
            <w:tcW w:w="1640" w:type="dxa"/>
            <w:vAlign w:val="bottom"/>
            <w:shd w:val="clear" w:color="auto" w:fill="E7ECF0"/>
          </w:tcPr>
          <w:p>
            <w:pPr>
              <w:spacing w:after="0"/>
              <w:rPr>
                <w:sz w:val="18"/>
                <w:szCs w:val="18"/>
                <w:color w:val="auto"/>
              </w:rPr>
            </w:pPr>
          </w:p>
        </w:tc>
        <w:tc>
          <w:tcPr>
            <w:tcW w:w="1280" w:type="dxa"/>
            <w:vAlign w:val="bottom"/>
            <w:shd w:val="clear" w:color="auto" w:fill="E7ECF0"/>
          </w:tcPr>
          <w:p>
            <w:pPr>
              <w:spacing w:after="0"/>
              <w:rPr>
                <w:sz w:val="18"/>
                <w:szCs w:val="18"/>
                <w:color w:val="auto"/>
              </w:rPr>
            </w:pPr>
          </w:p>
        </w:tc>
        <w:tc>
          <w:tcPr>
            <w:tcW w:w="480" w:type="dxa"/>
            <w:vAlign w:val="bottom"/>
            <w:shd w:val="clear" w:color="auto" w:fill="E7ECF0"/>
          </w:tcPr>
          <w:p>
            <w:pPr>
              <w:spacing w:after="0"/>
              <w:rPr>
                <w:sz w:val="18"/>
                <w:szCs w:val="18"/>
                <w:color w:val="auto"/>
              </w:rPr>
            </w:pPr>
          </w:p>
        </w:tc>
        <w:tc>
          <w:tcPr>
            <w:tcW w:w="920" w:type="dxa"/>
            <w:vAlign w:val="bottom"/>
            <w:shd w:val="clear" w:color="auto" w:fill="E7ECF0"/>
          </w:tcPr>
          <w:p>
            <w:pPr>
              <w:spacing w:after="0"/>
              <w:rPr>
                <w:sz w:val="18"/>
                <w:szCs w:val="18"/>
                <w:color w:val="auto"/>
              </w:rPr>
            </w:pPr>
          </w:p>
        </w:tc>
        <w:tc>
          <w:tcPr>
            <w:tcW w:w="1780" w:type="dxa"/>
            <w:vAlign w:val="bottom"/>
            <w:shd w:val="clear" w:color="auto" w:fill="E7ECF0"/>
          </w:tcPr>
          <w:p>
            <w:pPr>
              <w:spacing w:after="0"/>
              <w:rPr>
                <w:sz w:val="18"/>
                <w:szCs w:val="18"/>
                <w:color w:val="auto"/>
              </w:rPr>
            </w:pPr>
          </w:p>
        </w:tc>
        <w:tc>
          <w:tcPr>
            <w:tcW w:w="1520" w:type="dxa"/>
            <w:vAlign w:val="bottom"/>
            <w:shd w:val="clear" w:color="auto" w:fill="E7ECF0"/>
          </w:tcPr>
          <w:p>
            <w:pPr>
              <w:spacing w:after="0"/>
              <w:rPr>
                <w:sz w:val="18"/>
                <w:szCs w:val="18"/>
                <w:color w:val="auto"/>
              </w:rPr>
            </w:pPr>
          </w:p>
        </w:tc>
        <w:tc>
          <w:tcPr>
            <w:tcW w:w="1100" w:type="dxa"/>
            <w:vAlign w:val="bottom"/>
            <w:shd w:val="clear" w:color="auto" w:fill="E7ECF0"/>
          </w:tcPr>
          <w:p>
            <w:pPr>
              <w:spacing w:after="0"/>
              <w:rPr>
                <w:sz w:val="18"/>
                <w:szCs w:val="18"/>
                <w:color w:val="auto"/>
              </w:rPr>
            </w:pPr>
          </w:p>
        </w:tc>
        <w:tc>
          <w:tcPr>
            <w:tcW w:w="0" w:type="dxa"/>
            <w:vAlign w:val="bottom"/>
          </w:tcPr>
          <w:p>
            <w:pPr>
              <w:spacing w:after="0"/>
              <w:rPr>
                <w:sz w:val="1"/>
                <w:szCs w:val="1"/>
                <w:color w:val="auto"/>
              </w:rPr>
            </w:pPr>
          </w:p>
        </w:tc>
      </w:tr>
    </w:tbl>
    <w:p>
      <w:pPr>
        <w:spacing w:after="0" w:line="89" w:lineRule="exact"/>
        <w:rPr>
          <w:sz w:val="20"/>
          <w:szCs w:val="20"/>
          <w:color w:val="auto"/>
        </w:rPr>
      </w:pPr>
    </w:p>
    <w:p>
      <w:pPr>
        <w:jc w:val="both"/>
        <w:ind w:left="980" w:hanging="324"/>
        <w:spacing w:after="0" w:line="273" w:lineRule="auto"/>
        <w:tabs>
          <w:tab w:leader="none" w:pos="1138"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These amounts reflect the aggregate grant date fair value of restricted stock units granted in the fiscal year ended June 30, 2024, in accordance with FASB ASC Topic 718. For assumptions used in determining the fair value of restricted stock units granted, see Note 10 to the Company’s 2024 consolidated financial statements in our Annual Report on Form 10-K for the year ended June 30, 2024.</w:t>
      </w:r>
    </w:p>
    <w:p>
      <w:pPr>
        <w:spacing w:after="0" w:line="57" w:lineRule="exact"/>
        <w:rPr>
          <w:rFonts w:ascii="Arial" w:cs="Arial" w:eastAsia="Arial" w:hAnsi="Arial"/>
          <w:sz w:val="18"/>
          <w:szCs w:val="18"/>
          <w:color w:val="auto"/>
        </w:rPr>
      </w:pPr>
    </w:p>
    <w:p>
      <w:pPr>
        <w:ind w:left="980" w:hanging="324"/>
        <w:spacing w:after="0" w:line="303" w:lineRule="auto"/>
        <w:tabs>
          <w:tab w:leader="none" w:pos="955" w:val="left"/>
        </w:tabs>
        <w:numPr>
          <w:ilvl w:val="0"/>
          <w:numId w:val="7"/>
        </w:numPr>
        <w:rPr>
          <w:rFonts w:ascii="Arial" w:cs="Arial" w:eastAsia="Arial" w:hAnsi="Arial"/>
          <w:sz w:val="18"/>
          <w:szCs w:val="18"/>
          <w:color w:val="auto"/>
        </w:rPr>
      </w:pPr>
      <w:r>
        <w:rPr>
          <w:rFonts w:ascii="Arial" w:cs="Arial" w:eastAsia="Arial" w:hAnsi="Arial"/>
          <w:sz w:val="18"/>
          <w:szCs w:val="18"/>
          <w:color w:val="auto"/>
        </w:rPr>
        <w:t>As of June 30, 2024, each director listed, other than Ms. Kelly, Ms. LoCascio, and Ms. Nelson, held an aggregate of 1,173 unvested restricted stock units.</w:t>
      </w:r>
    </w:p>
    <w:p>
      <w:pPr>
        <w:spacing w:after="0" w:line="44" w:lineRule="exact"/>
        <w:rPr>
          <w:rFonts w:ascii="Arial" w:cs="Arial" w:eastAsia="Arial" w:hAnsi="Arial"/>
          <w:sz w:val="18"/>
          <w:szCs w:val="18"/>
          <w:color w:val="auto"/>
        </w:rPr>
      </w:pPr>
    </w:p>
    <w:p>
      <w:pPr>
        <w:ind w:left="980" w:right="20" w:hanging="324"/>
        <w:spacing w:after="0" w:line="287" w:lineRule="auto"/>
        <w:tabs>
          <w:tab w:leader="none" w:pos="1149" w:val="left"/>
        </w:tabs>
        <w:numPr>
          <w:ilvl w:val="0"/>
          <w:numId w:val="7"/>
        </w:numPr>
        <w:rPr>
          <w:rFonts w:ascii="Arial" w:cs="Arial" w:eastAsia="Arial" w:hAnsi="Arial"/>
          <w:sz w:val="18"/>
          <w:szCs w:val="18"/>
          <w:color w:val="auto"/>
        </w:rPr>
      </w:pPr>
      <w:r>
        <w:rPr>
          <w:rFonts w:ascii="Arial" w:cs="Arial" w:eastAsia="Arial" w:hAnsi="Arial"/>
          <w:sz w:val="18"/>
          <w:szCs w:val="18"/>
          <w:color w:val="auto"/>
        </w:rPr>
        <w:t>Director Laura Kelly passed away on March 15, 2024. A pro-rata portion of her fiscal 2024 restricted stock unit award equal to the period from her date of death through the Annual Meeting was cancelled pursuant to the terms of the award agreement.</w:t>
      </w:r>
    </w:p>
    <w:p>
      <w:pPr>
        <w:spacing w:after="0" w:line="58" w:lineRule="exact"/>
        <w:rPr>
          <w:rFonts w:ascii="Arial" w:cs="Arial" w:eastAsia="Arial" w:hAnsi="Arial"/>
          <w:sz w:val="18"/>
          <w:szCs w:val="18"/>
          <w:color w:val="auto"/>
        </w:rPr>
      </w:pPr>
    </w:p>
    <w:p>
      <w:pPr>
        <w:ind w:left="1080" w:hanging="424"/>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Includes amounts deferred pursuant to the Company’s Non-Employee Director Deferred Compensation Plan.</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Mses. LoCascio and Nelson were appointed to the Board on July 22, 2024, and received no compensation in fiscal year 2024.</w:t>
      </w:r>
    </w:p>
    <w:p>
      <w:pPr>
        <w:spacing w:after="0" w:line="127"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20"/>
          <w:szCs w:val="20"/>
          <w:i w:val="1"/>
          <w:iCs w:val="1"/>
          <w:color w:val="06185F"/>
        </w:rPr>
        <w:t>Summary of Fiscal 2024 Compensation Elements</w:t>
      </w: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9760" w:type="dxa"/>
            <w:vAlign w:val="bottom"/>
            <w:tcBorders>
              <w:bottom w:val="single" w:sz="8" w:color="auto"/>
            </w:tcBorders>
            <w:shd w:val="clear" w:color="auto" w:fill="E8F7F7"/>
          </w:tcPr>
          <w:p>
            <w:pPr>
              <w:ind w:left="20"/>
              <w:spacing w:after="0"/>
              <w:rPr>
                <w:sz w:val="20"/>
                <w:szCs w:val="20"/>
                <w:color w:val="auto"/>
              </w:rPr>
            </w:pPr>
            <w:r>
              <w:rPr>
                <w:rFonts w:ascii="Arial" w:cs="Arial" w:eastAsia="Arial" w:hAnsi="Arial"/>
                <w:sz w:val="18"/>
                <w:szCs w:val="18"/>
                <w:b w:val="1"/>
                <w:bCs w:val="1"/>
                <w:color w:val="auto"/>
              </w:rPr>
              <w:t>Annual Compensation Elements</w:t>
            </w:r>
          </w:p>
        </w:tc>
        <w:tc>
          <w:tcPr>
            <w:tcW w:w="1480" w:type="dxa"/>
            <w:vAlign w:val="bottom"/>
            <w:tcBorders>
              <w:bottom w:val="single" w:sz="8" w:color="auto"/>
            </w:tcBorders>
            <w:shd w:val="clear" w:color="auto" w:fill="E8F7F7"/>
          </w:tcPr>
          <w:p>
            <w:pPr>
              <w:ind w:left="20"/>
              <w:spacing w:after="0"/>
              <w:rPr>
                <w:sz w:val="20"/>
                <w:szCs w:val="20"/>
                <w:color w:val="auto"/>
              </w:rPr>
            </w:pPr>
            <w:r>
              <w:rPr>
                <w:rFonts w:ascii="Arial" w:cs="Arial" w:eastAsia="Arial" w:hAnsi="Arial"/>
                <w:sz w:val="18"/>
                <w:szCs w:val="18"/>
                <w:b w:val="1"/>
                <w:bCs w:val="1"/>
                <w:color w:val="auto"/>
              </w:rPr>
              <w:t>Amount</w:t>
            </w:r>
          </w:p>
        </w:tc>
      </w:tr>
      <w:tr>
        <w:trPr>
          <w:trHeight w:val="245"/>
        </w:trPr>
        <w:tc>
          <w:tcPr>
            <w:tcW w:w="9760" w:type="dxa"/>
            <w:vAlign w:val="bottom"/>
            <w:tcBorders>
              <w:bottom w:val="single" w:sz="8" w:color="DBDBDB"/>
            </w:tcBorders>
          </w:tcPr>
          <w:p>
            <w:pPr>
              <w:ind w:left="20"/>
              <w:spacing w:after="0"/>
              <w:rPr>
                <w:sz w:val="20"/>
                <w:szCs w:val="20"/>
                <w:color w:val="auto"/>
              </w:rPr>
            </w:pPr>
            <w:r>
              <w:rPr>
                <w:rFonts w:ascii="Arial" w:cs="Arial" w:eastAsia="Arial" w:hAnsi="Arial"/>
                <w:sz w:val="18"/>
                <w:szCs w:val="18"/>
                <w:color w:val="auto"/>
              </w:rPr>
              <w:t>Board Retainer (non-employee directors)*</w:t>
            </w:r>
          </w:p>
        </w:tc>
        <w:tc>
          <w:tcPr>
            <w:tcW w:w="1480" w:type="dxa"/>
            <w:vAlign w:val="bottom"/>
            <w:tcBorders>
              <w:bottom w:val="single" w:sz="8" w:color="E7ECF0"/>
            </w:tcBorders>
          </w:tcPr>
          <w:p>
            <w:pPr>
              <w:ind w:left="20"/>
              <w:spacing w:after="0"/>
              <w:rPr>
                <w:sz w:val="20"/>
                <w:szCs w:val="20"/>
                <w:color w:val="auto"/>
              </w:rPr>
            </w:pPr>
            <w:r>
              <w:rPr>
                <w:rFonts w:ascii="Arial" w:cs="Arial" w:eastAsia="Arial" w:hAnsi="Arial"/>
                <w:sz w:val="18"/>
                <w:szCs w:val="18"/>
                <w:color w:val="auto"/>
              </w:rPr>
              <w:t>$ 70,000</w:t>
            </w:r>
          </w:p>
        </w:tc>
      </w:tr>
      <w:tr>
        <w:trPr>
          <w:trHeight w:val="250"/>
        </w:trPr>
        <w:tc>
          <w:tcPr>
            <w:tcW w:w="9760" w:type="dxa"/>
            <w:vAlign w:val="bottom"/>
            <w:tcBorders>
              <w:bottom w:val="single" w:sz="8" w:color="DBDBDB"/>
            </w:tcBorders>
            <w:shd w:val="clear" w:color="auto" w:fill="E7ECF0"/>
          </w:tcPr>
          <w:p>
            <w:pPr>
              <w:ind w:left="20"/>
              <w:spacing w:after="0"/>
              <w:rPr>
                <w:sz w:val="20"/>
                <w:szCs w:val="20"/>
                <w:color w:val="auto"/>
              </w:rPr>
            </w:pPr>
            <w:r>
              <w:rPr>
                <w:rFonts w:ascii="Arial" w:cs="Arial" w:eastAsia="Arial" w:hAnsi="Arial"/>
                <w:sz w:val="18"/>
                <w:szCs w:val="18"/>
                <w:color w:val="auto"/>
              </w:rPr>
              <w:t>Lead Director*</w:t>
            </w:r>
          </w:p>
        </w:tc>
        <w:tc>
          <w:tcPr>
            <w:tcW w:w="1480" w:type="dxa"/>
            <w:vAlign w:val="bottom"/>
            <w:tcBorders>
              <w:bottom w:val="single" w:sz="8" w:color="DBDBDB"/>
            </w:tcBorders>
            <w:shd w:val="clear" w:color="auto" w:fill="E7ECF0"/>
          </w:tcPr>
          <w:p>
            <w:pPr>
              <w:ind w:left="20"/>
              <w:spacing w:after="0"/>
              <w:rPr>
                <w:sz w:val="20"/>
                <w:szCs w:val="20"/>
                <w:color w:val="auto"/>
              </w:rPr>
            </w:pPr>
            <w:r>
              <w:rPr>
                <w:rFonts w:ascii="Arial" w:cs="Arial" w:eastAsia="Arial" w:hAnsi="Arial"/>
                <w:sz w:val="18"/>
                <w:szCs w:val="18"/>
                <w:color w:val="auto"/>
              </w:rPr>
              <w:t>$ 50,000</w:t>
            </w:r>
          </w:p>
        </w:tc>
      </w:tr>
      <w:tr>
        <w:trPr>
          <w:trHeight w:val="250"/>
        </w:trPr>
        <w:tc>
          <w:tcPr>
            <w:tcW w:w="9760" w:type="dxa"/>
            <w:vAlign w:val="bottom"/>
            <w:tcBorders>
              <w:bottom w:val="single" w:sz="8" w:color="DBDBDB"/>
            </w:tcBorders>
          </w:tcPr>
          <w:p>
            <w:pPr>
              <w:ind w:left="20"/>
              <w:spacing w:after="0"/>
              <w:rPr>
                <w:sz w:val="20"/>
                <w:szCs w:val="20"/>
                <w:color w:val="auto"/>
              </w:rPr>
            </w:pPr>
            <w:r>
              <w:rPr>
                <w:rFonts w:ascii="Arial" w:cs="Arial" w:eastAsia="Arial" w:hAnsi="Arial"/>
                <w:sz w:val="18"/>
                <w:szCs w:val="18"/>
                <w:color w:val="auto"/>
              </w:rPr>
              <w:t>Audit Committee Retainer*</w:t>
            </w:r>
          </w:p>
        </w:tc>
        <w:tc>
          <w:tcPr>
            <w:tcW w:w="1480" w:type="dxa"/>
            <w:vAlign w:val="bottom"/>
            <w:tcBorders>
              <w:bottom w:val="single" w:sz="8" w:color="DBDBDB"/>
            </w:tcBorders>
          </w:tcPr>
          <w:p>
            <w:pPr>
              <w:ind w:left="20"/>
              <w:spacing w:after="0"/>
              <w:rPr>
                <w:sz w:val="20"/>
                <w:szCs w:val="20"/>
                <w:color w:val="auto"/>
              </w:rPr>
            </w:pPr>
            <w:r>
              <w:rPr>
                <w:rFonts w:ascii="Arial" w:cs="Arial" w:eastAsia="Arial" w:hAnsi="Arial"/>
                <w:sz w:val="18"/>
                <w:szCs w:val="18"/>
                <w:color w:val="auto"/>
              </w:rPr>
              <w:t>$ 20,000</w:t>
            </w:r>
          </w:p>
        </w:tc>
      </w:tr>
      <w:tr>
        <w:trPr>
          <w:trHeight w:val="250"/>
        </w:trPr>
        <w:tc>
          <w:tcPr>
            <w:tcW w:w="9760" w:type="dxa"/>
            <w:vAlign w:val="bottom"/>
            <w:tcBorders>
              <w:bottom w:val="single" w:sz="8" w:color="DBDBDB"/>
            </w:tcBorders>
            <w:shd w:val="clear" w:color="auto" w:fill="E7ECF0"/>
          </w:tcPr>
          <w:p>
            <w:pPr>
              <w:ind w:left="20"/>
              <w:spacing w:after="0"/>
              <w:rPr>
                <w:sz w:val="20"/>
                <w:szCs w:val="20"/>
                <w:color w:val="auto"/>
              </w:rPr>
            </w:pPr>
            <w:r>
              <w:rPr>
                <w:rFonts w:ascii="Arial" w:cs="Arial" w:eastAsia="Arial" w:hAnsi="Arial"/>
                <w:sz w:val="18"/>
                <w:szCs w:val="18"/>
                <w:color w:val="auto"/>
              </w:rPr>
              <w:t>Human Capital &amp; Compensation Committee &amp; Risk and Compliance Committee Retainer*</w:t>
            </w:r>
          </w:p>
        </w:tc>
        <w:tc>
          <w:tcPr>
            <w:tcW w:w="1480" w:type="dxa"/>
            <w:vAlign w:val="bottom"/>
            <w:tcBorders>
              <w:bottom w:val="single" w:sz="8" w:color="DBDBDB"/>
            </w:tcBorders>
            <w:shd w:val="clear" w:color="auto" w:fill="E7ECF0"/>
          </w:tcPr>
          <w:p>
            <w:pPr>
              <w:ind w:left="20"/>
              <w:spacing w:after="0"/>
              <w:rPr>
                <w:sz w:val="20"/>
                <w:szCs w:val="20"/>
                <w:color w:val="auto"/>
              </w:rPr>
            </w:pPr>
            <w:r>
              <w:rPr>
                <w:rFonts w:ascii="Arial" w:cs="Arial" w:eastAsia="Arial" w:hAnsi="Arial"/>
                <w:sz w:val="18"/>
                <w:szCs w:val="18"/>
                <w:color w:val="auto"/>
              </w:rPr>
              <w:t>$ 15,000</w:t>
            </w:r>
          </w:p>
        </w:tc>
      </w:tr>
      <w:tr>
        <w:trPr>
          <w:trHeight w:val="250"/>
        </w:trPr>
        <w:tc>
          <w:tcPr>
            <w:tcW w:w="9760" w:type="dxa"/>
            <w:vAlign w:val="bottom"/>
            <w:tcBorders>
              <w:bottom w:val="single" w:sz="8" w:color="DBDBDB"/>
            </w:tcBorders>
          </w:tcPr>
          <w:p>
            <w:pPr>
              <w:ind w:left="20"/>
              <w:spacing w:after="0"/>
              <w:rPr>
                <w:sz w:val="20"/>
                <w:szCs w:val="20"/>
                <w:color w:val="auto"/>
              </w:rPr>
            </w:pPr>
            <w:r>
              <w:rPr>
                <w:rFonts w:ascii="Arial" w:cs="Arial" w:eastAsia="Arial" w:hAnsi="Arial"/>
                <w:sz w:val="18"/>
                <w:szCs w:val="18"/>
                <w:color w:val="auto"/>
              </w:rPr>
              <w:t>Governance Committee Retainer*</w:t>
            </w:r>
          </w:p>
        </w:tc>
        <w:tc>
          <w:tcPr>
            <w:tcW w:w="1480" w:type="dxa"/>
            <w:vAlign w:val="bottom"/>
            <w:tcBorders>
              <w:bottom w:val="single" w:sz="8" w:color="DBDBDB"/>
            </w:tcBorders>
          </w:tcPr>
          <w:p>
            <w:pPr>
              <w:ind w:left="20"/>
              <w:spacing w:after="0"/>
              <w:rPr>
                <w:sz w:val="20"/>
                <w:szCs w:val="20"/>
                <w:color w:val="auto"/>
              </w:rPr>
            </w:pPr>
            <w:r>
              <w:rPr>
                <w:rFonts w:ascii="Arial" w:cs="Arial" w:eastAsia="Arial" w:hAnsi="Arial"/>
                <w:sz w:val="18"/>
                <w:szCs w:val="18"/>
                <w:color w:val="auto"/>
              </w:rPr>
              <w:t>$ 10,000</w:t>
            </w:r>
          </w:p>
        </w:tc>
      </w:tr>
      <w:tr>
        <w:trPr>
          <w:trHeight w:val="209"/>
        </w:trPr>
        <w:tc>
          <w:tcPr>
            <w:tcW w:w="11240" w:type="dxa"/>
            <w:vAlign w:val="bottom"/>
            <w:gridSpan w:val="2"/>
            <w:shd w:val="clear" w:color="auto" w:fill="E7ECF0"/>
          </w:tcPr>
          <w:p>
            <w:pPr>
              <w:ind w:left="20"/>
              <w:spacing w:after="0"/>
              <w:rPr>
                <w:sz w:val="20"/>
                <w:szCs w:val="20"/>
                <w:color w:val="auto"/>
              </w:rPr>
            </w:pPr>
            <w:r>
              <w:rPr>
                <w:rFonts w:ascii="Arial" w:cs="Arial" w:eastAsia="Arial" w:hAnsi="Arial"/>
                <w:sz w:val="18"/>
                <w:szCs w:val="18"/>
                <w:color w:val="auto"/>
              </w:rPr>
              <w:t>Additional Audit Committee, Human Capital &amp; Compensation Committee, Risk and Compliance Committee Chair $ 25,000</w:t>
            </w:r>
          </w:p>
        </w:tc>
      </w:tr>
      <w:tr>
        <w:trPr>
          <w:trHeight w:val="267"/>
        </w:trPr>
        <w:tc>
          <w:tcPr>
            <w:tcW w:w="9760" w:type="dxa"/>
            <w:vAlign w:val="bottom"/>
            <w:tcBorders>
              <w:bottom w:val="single" w:sz="8" w:color="E7ECF0"/>
            </w:tcBorders>
            <w:shd w:val="clear" w:color="auto" w:fill="E7ECF0"/>
          </w:tcPr>
          <w:p>
            <w:pPr>
              <w:ind w:left="20"/>
              <w:spacing w:after="0"/>
              <w:rPr>
                <w:sz w:val="20"/>
                <w:szCs w:val="20"/>
                <w:color w:val="auto"/>
              </w:rPr>
            </w:pPr>
            <w:r>
              <w:rPr>
                <w:rFonts w:ascii="Arial" w:cs="Arial" w:eastAsia="Arial" w:hAnsi="Arial"/>
                <w:sz w:val="18"/>
                <w:szCs w:val="18"/>
                <w:color w:val="auto"/>
              </w:rPr>
              <w:t>Retainer*</w:t>
            </w:r>
          </w:p>
        </w:tc>
        <w:tc>
          <w:tcPr>
            <w:tcW w:w="1480" w:type="dxa"/>
            <w:vAlign w:val="bottom"/>
            <w:tcBorders>
              <w:bottom w:val="single" w:sz="8" w:color="E7ECF0"/>
            </w:tcBorders>
            <w:shd w:val="clear" w:color="auto" w:fill="E7ECF0"/>
          </w:tcPr>
          <w:p>
            <w:pPr>
              <w:spacing w:after="0"/>
              <w:rPr>
                <w:sz w:val="22"/>
                <w:szCs w:val="22"/>
                <w:color w:val="auto"/>
              </w:rPr>
            </w:pPr>
          </w:p>
        </w:tc>
      </w:tr>
      <w:tr>
        <w:trPr>
          <w:trHeight w:val="245"/>
        </w:trPr>
        <w:tc>
          <w:tcPr>
            <w:tcW w:w="9760" w:type="dxa"/>
            <w:vAlign w:val="bottom"/>
            <w:tcBorders>
              <w:top w:val="single" w:sz="8" w:color="DBDBDB"/>
              <w:bottom w:val="single" w:sz="8" w:color="DBDBDB"/>
            </w:tcBorders>
          </w:tcPr>
          <w:p>
            <w:pPr>
              <w:ind w:left="20"/>
              <w:spacing w:after="0"/>
              <w:rPr>
                <w:sz w:val="20"/>
                <w:szCs w:val="20"/>
                <w:color w:val="auto"/>
              </w:rPr>
            </w:pPr>
            <w:r>
              <w:rPr>
                <w:rFonts w:ascii="Arial" w:cs="Arial" w:eastAsia="Arial" w:hAnsi="Arial"/>
                <w:sz w:val="18"/>
                <w:szCs w:val="18"/>
                <w:color w:val="auto"/>
              </w:rPr>
              <w:t>Additional Governance Committee Chair Retainer*</w:t>
            </w:r>
          </w:p>
        </w:tc>
        <w:tc>
          <w:tcPr>
            <w:tcW w:w="1480" w:type="dxa"/>
            <w:vAlign w:val="bottom"/>
            <w:tcBorders>
              <w:top w:val="single" w:sz="8" w:color="DBDBDB"/>
              <w:bottom w:val="single" w:sz="8" w:color="DBDBDB"/>
            </w:tcBorders>
          </w:tcPr>
          <w:p>
            <w:pPr>
              <w:ind w:left="20"/>
              <w:spacing w:after="0"/>
              <w:rPr>
                <w:sz w:val="20"/>
                <w:szCs w:val="20"/>
                <w:color w:val="auto"/>
              </w:rPr>
            </w:pPr>
            <w:r>
              <w:rPr>
                <w:rFonts w:ascii="Arial" w:cs="Arial" w:eastAsia="Arial" w:hAnsi="Arial"/>
                <w:sz w:val="18"/>
                <w:szCs w:val="18"/>
                <w:color w:val="auto"/>
              </w:rPr>
              <w:t>$ 15,000</w:t>
            </w:r>
          </w:p>
        </w:tc>
      </w:tr>
      <w:tr>
        <w:trPr>
          <w:trHeight w:val="250"/>
        </w:trPr>
        <w:tc>
          <w:tcPr>
            <w:tcW w:w="9760" w:type="dxa"/>
            <w:vAlign w:val="bottom"/>
            <w:tcBorders>
              <w:bottom w:val="single" w:sz="8" w:color="DBDBDB"/>
            </w:tcBorders>
            <w:shd w:val="clear" w:color="auto" w:fill="E7ECF0"/>
          </w:tcPr>
          <w:p>
            <w:pPr>
              <w:ind w:left="20"/>
              <w:spacing w:after="0"/>
              <w:rPr>
                <w:sz w:val="20"/>
                <w:szCs w:val="20"/>
                <w:color w:val="auto"/>
              </w:rPr>
            </w:pPr>
            <w:r>
              <w:rPr>
                <w:rFonts w:ascii="Arial" w:cs="Arial" w:eastAsia="Arial" w:hAnsi="Arial"/>
                <w:sz w:val="18"/>
                <w:szCs w:val="18"/>
                <w:color w:val="auto"/>
              </w:rPr>
              <w:t>Annual Equity Award**</w:t>
            </w:r>
          </w:p>
        </w:tc>
        <w:tc>
          <w:tcPr>
            <w:tcW w:w="1480" w:type="dxa"/>
            <w:vAlign w:val="bottom"/>
            <w:tcBorders>
              <w:bottom w:val="single" w:sz="8" w:color="DBDBDB"/>
            </w:tcBorders>
            <w:shd w:val="clear" w:color="auto" w:fill="E7ECF0"/>
          </w:tcPr>
          <w:p>
            <w:pPr>
              <w:ind w:left="20"/>
              <w:spacing w:after="0"/>
              <w:rPr>
                <w:sz w:val="20"/>
                <w:szCs w:val="20"/>
                <w:color w:val="auto"/>
              </w:rPr>
            </w:pPr>
            <w:r>
              <w:rPr>
                <w:rFonts w:ascii="Arial" w:cs="Arial" w:eastAsia="Arial" w:hAnsi="Arial"/>
                <w:sz w:val="18"/>
                <w:szCs w:val="18"/>
                <w:color w:val="auto"/>
              </w:rPr>
              <w:t>$ 180,000</w:t>
            </w:r>
          </w:p>
        </w:tc>
      </w:tr>
      <w:tr>
        <w:trPr>
          <w:trHeight w:val="263"/>
        </w:trPr>
        <w:tc>
          <w:tcPr>
            <w:tcW w:w="9760" w:type="dxa"/>
            <w:vAlign w:val="bottom"/>
          </w:tcPr>
          <w:p>
            <w:pPr>
              <w:spacing w:after="0"/>
              <w:rPr>
                <w:sz w:val="20"/>
                <w:szCs w:val="20"/>
                <w:color w:val="auto"/>
              </w:rPr>
            </w:pPr>
            <w:r>
              <w:rPr>
                <w:rFonts w:ascii="Arial" w:cs="Arial" w:eastAsia="Arial" w:hAnsi="Arial"/>
                <w:sz w:val="18"/>
                <w:szCs w:val="18"/>
                <w:color w:val="auto"/>
              </w:rPr>
              <w:t>* All retainers are paid in cash quarterly in arrears</w:t>
            </w:r>
          </w:p>
        </w:tc>
        <w:tc>
          <w:tcPr>
            <w:tcW w:w="1480" w:type="dxa"/>
            <w:vAlign w:val="bottom"/>
          </w:tcPr>
          <w:p>
            <w:pPr>
              <w:spacing w:after="0"/>
              <w:rPr>
                <w:sz w:val="22"/>
                <w:szCs w:val="22"/>
                <w:color w:val="auto"/>
              </w:rPr>
            </w:pPr>
          </w:p>
        </w:tc>
      </w:tr>
      <w:tr>
        <w:trPr>
          <w:trHeight w:val="239"/>
        </w:trPr>
        <w:tc>
          <w:tcPr>
            <w:tcW w:w="9760" w:type="dxa"/>
            <w:vAlign w:val="bottom"/>
          </w:tcPr>
          <w:p>
            <w:pPr>
              <w:spacing w:after="0"/>
              <w:rPr>
                <w:sz w:val="20"/>
                <w:szCs w:val="20"/>
                <w:color w:val="auto"/>
              </w:rPr>
            </w:pPr>
            <w:r>
              <w:rPr>
                <w:rFonts w:ascii="Arial" w:cs="Arial" w:eastAsia="Arial" w:hAnsi="Arial"/>
                <w:sz w:val="18"/>
                <w:szCs w:val="18"/>
                <w:color w:val="auto"/>
              </w:rPr>
              <w:t>** Equity compensation is paid annually to the non-employee directors in the form of restricted stock units.</w:t>
            </w:r>
          </w:p>
        </w:tc>
        <w:tc>
          <w:tcPr>
            <w:tcW w:w="1480" w:type="dxa"/>
            <w:vAlign w:val="bottom"/>
          </w:tcPr>
          <w:p>
            <w:pPr>
              <w:spacing w:after="0"/>
              <w:rPr>
                <w:sz w:val="20"/>
                <w:szCs w:val="20"/>
                <w:color w:val="auto"/>
              </w:rPr>
            </w:pPr>
          </w:p>
        </w:tc>
      </w:tr>
      <w:tr>
        <w:trPr>
          <w:trHeight w:val="77"/>
        </w:trPr>
        <w:tc>
          <w:tcPr>
            <w:tcW w:w="9760" w:type="dxa"/>
            <w:vAlign w:val="bottom"/>
            <w:tcBorders>
              <w:bottom w:val="single" w:sz="8" w:color="005DA6"/>
            </w:tcBorders>
          </w:tcPr>
          <w:p>
            <w:pPr>
              <w:spacing w:after="0"/>
              <w:rPr>
                <w:sz w:val="6"/>
                <w:szCs w:val="6"/>
                <w:color w:val="auto"/>
              </w:rPr>
            </w:pPr>
          </w:p>
        </w:tc>
        <w:tc>
          <w:tcPr>
            <w:tcW w:w="1480" w:type="dxa"/>
            <w:vAlign w:val="bottom"/>
            <w:tcBorders>
              <w:bottom w:val="single" w:sz="8" w:color="005DA6"/>
            </w:tcBorders>
          </w:tcPr>
          <w:p>
            <w:pPr>
              <w:spacing w:after="0"/>
              <w:rPr>
                <w:sz w:val="6"/>
                <w:szCs w:val="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2773680</wp:posOffset>
            </wp:positionH>
            <wp:positionV relativeFrom="paragraph">
              <wp:posOffset>0</wp:posOffset>
            </wp:positionV>
            <wp:extent cx="1508760" cy="3429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1508760" cy="342900"/>
                    </a:xfrm>
                    <a:prstGeom prst="rect">
                      <a:avLst/>
                    </a:prstGeom>
                    <a:noFill/>
                  </pic:spPr>
                </pic:pic>
              </a:graphicData>
            </a:graphic>
          </wp:anchor>
        </w:drawing>
      </w:r>
    </w:p>
    <w:p>
      <w:pPr>
        <w:spacing w:after="0" w:line="177" w:lineRule="exact"/>
        <w:rPr>
          <w:sz w:val="20"/>
          <w:szCs w:val="20"/>
          <w:color w:val="auto"/>
        </w:rPr>
      </w:pPr>
    </w:p>
    <w:p>
      <w:pPr>
        <w:ind w:left="9000"/>
        <w:spacing w:after="0"/>
        <w:tabs>
          <w:tab w:leader="none" w:pos="11000" w:val="left"/>
        </w:tabs>
        <w:rPr>
          <w:sz w:val="20"/>
          <w:szCs w:val="20"/>
          <w:color w:val="auto"/>
        </w:rPr>
      </w:pPr>
      <w:r>
        <w:rPr>
          <w:rFonts w:ascii="Arial" w:cs="Arial" w:eastAsia="Arial" w:hAnsi="Arial"/>
          <w:sz w:val="18"/>
          <w:szCs w:val="18"/>
          <w:color w:val="auto"/>
        </w:rPr>
        <w:t>2024 Proxy Statement</w:t>
      </w:r>
      <w:r>
        <w:rPr>
          <w:sz w:val="20"/>
          <w:szCs w:val="20"/>
          <w:color w:val="auto"/>
        </w:rPr>
        <w:tab/>
      </w:r>
      <w:r>
        <w:rPr>
          <w:rFonts w:ascii="Arial" w:cs="Arial" w:eastAsia="Arial" w:hAnsi="Arial"/>
          <w:sz w:val="17"/>
          <w:szCs w:val="17"/>
          <w:color w:val="1E3767"/>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262255</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01" w:right="339" w:bottom="1440" w:gutter="0" w:footer="0" w:header="0"/>
        </w:sectPr>
      </w:pPr>
    </w:p>
    <w:bookmarkStart w:id="24" w:name="page25"/>
    <w:bookmarkEnd w:id="24"/>
    <w:p>
      <w:pPr>
        <w:jc w:val="both"/>
        <w:spacing w:after="0" w:line="259" w:lineRule="auto"/>
        <w:rPr>
          <w:sz w:val="20"/>
          <w:szCs w:val="20"/>
          <w:color w:val="auto"/>
        </w:rPr>
      </w:pPr>
      <w:r>
        <w:rPr>
          <w:rFonts w:ascii="Arial" w:cs="Arial" w:eastAsia="Arial" w:hAnsi="Arial"/>
          <w:sz w:val="20"/>
          <w:szCs w:val="20"/>
          <w:color w:val="auto"/>
        </w:rPr>
        <w:t>In fiscal 2024, the directors listed above were not eligible to participate in any non-equity incentive compensation plan from the Company or any pension plan of the Company. Non-employee directors are eligible for and may elect to participate in the Company’s Non-Employee Director Deferred Compensation Plan. In fiscal 2024, only the restricted stock unit awards to non-employee directors were eligible for deferral and two of the non-employee directors elected deferral of all or part of their award. Deferred amounts are maintained by the Company in bookkeeping accounts. Stock awards that are deferred are deemed invested in the Company’s common stock, and deemed dividends paid on deferred equity awards are invested in a Federal Rate fund. The deferred amounts are unsecured obligations of the Company. Restricted stock units that are deferred under the Company’s Non-Employee Director Deferred Compensation Plan may be settled in stock or, at the option of the Human Capital</w:t>
      </w:r>
    </w:p>
    <w:p>
      <w:pPr>
        <w:spacing w:after="0" w:line="4" w:lineRule="exact"/>
        <w:rPr>
          <w:sz w:val="20"/>
          <w:szCs w:val="20"/>
          <w:color w:val="auto"/>
        </w:rPr>
      </w:pPr>
    </w:p>
    <w:p>
      <w:pPr>
        <w:ind w:firstLine="8"/>
        <w:spacing w:after="0" w:line="281" w:lineRule="auto"/>
        <w:tabs>
          <w:tab w:leader="none" w:pos="194" w:val="left"/>
        </w:tabs>
        <w:numPr>
          <w:ilvl w:val="0"/>
          <w:numId w:val="8"/>
        </w:numPr>
        <w:rPr>
          <w:rFonts w:ascii="Arial" w:cs="Arial" w:eastAsia="Arial" w:hAnsi="Arial"/>
          <w:sz w:val="20"/>
          <w:szCs w:val="20"/>
          <w:color w:val="auto"/>
        </w:rPr>
      </w:pPr>
      <w:r>
        <w:rPr>
          <w:rFonts w:ascii="Arial" w:cs="Arial" w:eastAsia="Arial" w:hAnsi="Arial"/>
          <w:sz w:val="20"/>
          <w:szCs w:val="20"/>
          <w:color w:val="auto"/>
        </w:rPr>
        <w:t>Compensation Committee, in cash. Earnings on deferred amounts are not included in the above table because plan earnings were not preferred or above market.</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CERTAIN RELATIONSHIPS AND RELATED TRANSACTIONS</w:t>
      </w:r>
    </w:p>
    <w:p>
      <w:pPr>
        <w:spacing w:after="0" w:line="26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Related Party Transactions</w:t>
      </w:r>
    </w:p>
    <w:p>
      <w:pPr>
        <w:spacing w:after="0" w:line="272"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Director Shruti S. Miyashiro is the President and Chief Executive Officer of Digital Federal Credit Union (“DFCU”). At the time of her appointment as the President and CEO of DFCU, DFCU was not a customer of the Company. On August 31, 2022, the Company completed its acquisition of Payrailz, LLC (“Payrailz”). DFCU was a customer of Payrailz at the time of the acquisition and became a customer of the Company. During the year ended June 30, 2024, cash receipts from DFCU were $2,121,925 for Payrailz complementary solutions. Prior to Ms. Miyashiro joining DFCU, the credit union had prepaid Payrailz for services. This prepaid account balance was $2,500,000 when the Company acquired Payrailz, which the Company held as deferred revenue. Several other Payrailz customers also had prepaid account balances at the time of acquisition. During fiscal 2023, DFCU’s prepaid account balance was reduced by $886,793 for services provided by the Company. The Company determined to offer the return of all remaining prepaid amounts to all Payrailz customers and move to ordinary course billing for such customers. DFCU accepted the offer and in August 2023, the Company returned $1,448,178 to DFCU, reducing the prepaid account balance to $0. The Audit Committee has reviewed the transactions with DCFU and has concluded that they were on terms no less favorable to the Company than arrangements with other unaffiliated customers.</w:t>
      </w:r>
    </w:p>
    <w:p>
      <w:pPr>
        <w:spacing w:after="0" w:line="223" w:lineRule="exact"/>
        <w:rPr>
          <w:sz w:val="20"/>
          <w:szCs w:val="20"/>
          <w:color w:val="auto"/>
        </w:rPr>
      </w:pPr>
    </w:p>
    <w:p>
      <w:pPr>
        <w:jc w:val="both"/>
        <w:spacing w:after="0" w:line="269" w:lineRule="auto"/>
        <w:rPr>
          <w:sz w:val="20"/>
          <w:szCs w:val="20"/>
          <w:color w:val="auto"/>
        </w:rPr>
      </w:pPr>
      <w:r>
        <w:rPr>
          <w:rFonts w:ascii="Arial" w:cs="Arial" w:eastAsia="Arial" w:hAnsi="Arial"/>
          <w:sz w:val="20"/>
          <w:szCs w:val="20"/>
          <w:color w:val="auto"/>
        </w:rPr>
        <w:t>Director Jacque R. Fiegel is Chairman of Central Oklahoma Area of Prosperity Bank, which is a customer of the Company. Total fiscal 2024 cash receipts from Prosperity Bank were $394,266, primarily for electronic payment solutions. The Audit Committee has reviewed the transactions with the bank and has concluded that they were on terms no less favorable to the Company than arrangements with other unaffiliated customers.</w:t>
      </w:r>
    </w:p>
    <w:p>
      <w:pPr>
        <w:spacing w:after="0" w:line="197" w:lineRule="exact"/>
        <w:rPr>
          <w:sz w:val="20"/>
          <w:szCs w:val="20"/>
          <w:color w:val="auto"/>
        </w:rPr>
      </w:pPr>
    </w:p>
    <w:p>
      <w:pPr>
        <w:jc w:val="both"/>
        <w:spacing w:after="0" w:line="269" w:lineRule="auto"/>
        <w:rPr>
          <w:sz w:val="20"/>
          <w:szCs w:val="20"/>
          <w:color w:val="auto"/>
        </w:rPr>
      </w:pPr>
      <w:r>
        <w:rPr>
          <w:rFonts w:ascii="Arial" w:cs="Arial" w:eastAsia="Arial" w:hAnsi="Arial"/>
          <w:sz w:val="20"/>
          <w:szCs w:val="20"/>
          <w:color w:val="auto"/>
        </w:rPr>
        <w:t>Director Wesley A. Brown is a director of FirstBank Holding of Lakewood, Colorado, which is a customer of the Company. Total fiscal 2024 cash receipts from this customer were $22,479, primarily for online financial management. The Audit Committee has reviewed the transactions with the bank and has concluded that they were on terms no less favorable to the Company than arrangements with other unaffiliated customers.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182245</wp:posOffset>
            </wp:positionV>
            <wp:extent cx="7132320" cy="3511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32320" cy="351155"/>
                    </a:xfrm>
                    <a:prstGeom prst="rect">
                      <a:avLst/>
                    </a:prstGeom>
                    <a:noFill/>
                  </pic:spPr>
                </pic:pic>
              </a:graphicData>
            </a:graphic>
          </wp:anchor>
        </w:drawing>
      </w:r>
    </w:p>
    <w:p>
      <w:pPr>
        <w:spacing w:after="0" w:line="200" w:lineRule="exact"/>
        <w:rPr>
          <w:sz w:val="20"/>
          <w:szCs w:val="20"/>
          <w:color w:val="auto"/>
        </w:rPr>
      </w:pPr>
    </w:p>
    <w:p>
      <w:pPr>
        <w:spacing w:after="0" w:line="277" w:lineRule="exact"/>
        <w:rPr>
          <w:sz w:val="20"/>
          <w:szCs w:val="20"/>
          <w:color w:val="auto"/>
        </w:rPr>
      </w:pPr>
    </w:p>
    <w:p>
      <w:pPr>
        <w:ind w:left="20"/>
        <w:spacing w:after="0"/>
        <w:tabs>
          <w:tab w:leader="none" w:pos="440" w:val="left"/>
        </w:tabs>
        <w:rPr>
          <w:sz w:val="20"/>
          <w:szCs w:val="20"/>
          <w:color w:val="auto"/>
        </w:rPr>
      </w:pPr>
      <w:r>
        <w:rPr>
          <w:rFonts w:ascii="Arial" w:cs="Arial" w:eastAsia="Arial" w:hAnsi="Arial"/>
          <w:sz w:val="18"/>
          <w:szCs w:val="18"/>
          <w:color w:val="auto"/>
        </w:rPr>
        <w:t>22</w:t>
        <w:tab/>
        <w:t>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253365</wp:posOffset>
            </wp:positionV>
            <wp:extent cx="71577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4" w:right="339" w:bottom="1440" w:gutter="0" w:footer="0" w:header="0"/>
        </w:sectPr>
      </w:pPr>
    </w:p>
    <w:bookmarkStart w:id="25" w:name="page26"/>
    <w:bookmarkEnd w:id="25"/>
    <w:p>
      <w:pPr>
        <w:jc w:val="both"/>
        <w:spacing w:after="0" w:line="265" w:lineRule="auto"/>
        <w:rPr>
          <w:sz w:val="20"/>
          <w:szCs w:val="20"/>
          <w:color w:val="auto"/>
        </w:rPr>
      </w:pPr>
      <w:r>
        <w:rPr>
          <w:rFonts w:ascii="Arial" w:cs="Arial" w:eastAsia="Arial" w:hAnsi="Arial"/>
          <w:sz w:val="20"/>
          <w:szCs w:val="20"/>
          <w:color w:val="auto"/>
        </w:rPr>
        <w:t>Director Tammy LoCascio is Senior Executive Vice President and Chief Operating Officer of First Horizon Corporation, which is the holding company for First Horizon Bank, a customer of the Company. Total fiscal 2024 cash receipts from this customer were $1,089,871, primarily for payment processing solutions. The Audit Committee has reviewed the transactions with the bank and has concluded that they were on terms no less favorable to the Company than arrangements with other unaffiliated customers.</w:t>
      </w:r>
    </w:p>
    <w:p>
      <w:pPr>
        <w:spacing w:after="0" w:line="215"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Director Thomas A. Wimsett is Chairman, Managing Partner, and majority owner of Merchant’s PACT, formerly known as Wimsett &amp; Co. On July 1, 2016, a “Referral Partner Agreement” was entered into between Merchant’s PACT and the Company under which the Company may refer certain customers to Merchant’s PACT for credit and debit card consulting services with a portion of the consulting fees paid to the Company for the referrals. On July 15, 2019, Merchant’s PACT and the Company entered into an “Amended and Restated Referral Partner Agreement” which expanded the scope of the services and responsibilities of Merchant’s PACT stated in the 2016 Referral Partner Agreement. In addition to the credit and debit card consulting services, Merchant’s PACT may also engage and negotiate with certain merchant processing companies on revenue share, pricing, and terms on behalf of financial institution customers and their merchants. Under the terms of the amended agreement, all payments are made from Merchant’s PACT to the Company and Merchant’s PACT will not receive any payments from the Company. Merchant’s PACT paid the Company $50,373 in referral fees in fiscal 2024. Mr. Wimsett is also a director of Revenue Management Solutions, LLC, a non-financial institution entity that uses the Company’s enterprise payment solutions. Total fiscal 2024 cash receipts from this customer were less than $10,000.</w:t>
      </w:r>
    </w:p>
    <w:p>
      <w:pPr>
        <w:spacing w:after="0" w:line="223" w:lineRule="exact"/>
        <w:rPr>
          <w:sz w:val="20"/>
          <w:szCs w:val="20"/>
          <w:color w:val="auto"/>
        </w:rPr>
      </w:pPr>
    </w:p>
    <w:p>
      <w:pPr>
        <w:jc w:val="both"/>
        <w:spacing w:after="0" w:line="269" w:lineRule="auto"/>
        <w:rPr>
          <w:sz w:val="20"/>
          <w:szCs w:val="20"/>
          <w:color w:val="auto"/>
        </w:rPr>
      </w:pPr>
      <w:r>
        <w:rPr>
          <w:rFonts w:ascii="Arial" w:cs="Arial" w:eastAsia="Arial" w:hAnsi="Arial"/>
          <w:sz w:val="20"/>
          <w:szCs w:val="20"/>
          <w:color w:val="auto"/>
        </w:rPr>
        <w:t>Director Lisa M. Nelson is President, International at of Equifax, Inc., which offers linked services to Company customers and has a partner agreement with the Company pursuant to which the Company is paid a fee when Company customers purchase the linked interface solution. Total fiscal 2024 fees paid by Equifax to the Company related to this agreement were $47,782.</w:t>
      </w:r>
    </w:p>
    <w:p>
      <w:pPr>
        <w:spacing w:after="0" w:line="212" w:lineRule="exact"/>
        <w:rPr>
          <w:sz w:val="20"/>
          <w:szCs w:val="20"/>
          <w:color w:val="auto"/>
        </w:rPr>
      </w:pPr>
    </w:p>
    <w:p>
      <w:pPr>
        <w:jc w:val="both"/>
        <w:spacing w:after="0" w:line="261" w:lineRule="auto"/>
        <w:rPr>
          <w:sz w:val="20"/>
          <w:szCs w:val="20"/>
          <w:color w:val="auto"/>
        </w:rPr>
      </w:pPr>
      <w:r>
        <w:rPr>
          <w:rFonts w:ascii="Arial" w:cs="Arial" w:eastAsia="Arial" w:hAnsi="Arial"/>
          <w:sz w:val="20"/>
          <w:szCs w:val="20"/>
          <w:color w:val="auto"/>
        </w:rPr>
        <w:t>The Audit Committee reviewed the relationship with Ms. Fiegel and determined that because Ms. Fiegel is an employee and not an executive officer of Prosperity Bank, and the total amounts paid to the Company do not exceed the greater of $1,000,000 or two percent of Prosperity Bank’s total annual revenue, this relationship falls under the standing pre-approval granted in the Related Party Transaction Policy. The Audit Committee also reviewed the relationships with each of Mr. Brown, Mr. Wimsett, and Ms. Nelson and determined that they each did not qualify as a “Related Party Transaction” under the policy because, for Mr. Brown, he is solely a director of FirstBank Holding and the aggregate amount involved did not exceed the greater of $1,000,000 or two percent of FirstBank Holding’s total annual revenue, for Mr. Wimsett, total payments from Merchant’s PACT and from Revenue Management Solutions to the Company in fiscal 2024 did not exceed $100,000, and because for Ms. Nelson, total payments from Equifax, Inc. to the Company in fiscal 2024 did not exceed $100,000. The Audit Committee reviewed the relationships with Ms. Miyashiro relating to DFCU and with Ms. LoCascio relating to First Horizon Bank in accordance with the Company’s Related Party Transaction Policy and approved the related transactions.</w:t>
      </w:r>
    </w:p>
    <w:p>
      <w:pPr>
        <w:spacing w:after="0" w:line="205" w:lineRule="exact"/>
        <w:rPr>
          <w:sz w:val="20"/>
          <w:szCs w:val="20"/>
          <w:color w:val="auto"/>
        </w:rPr>
      </w:pPr>
    </w:p>
    <w:p>
      <w:pPr>
        <w:jc w:val="both"/>
        <w:spacing w:after="0" w:line="265" w:lineRule="auto"/>
        <w:rPr>
          <w:sz w:val="20"/>
          <w:szCs w:val="20"/>
          <w:color w:val="auto"/>
        </w:rPr>
      </w:pPr>
      <w:r>
        <w:rPr>
          <w:rFonts w:ascii="Arial" w:cs="Arial" w:eastAsia="Arial" w:hAnsi="Arial"/>
          <w:sz w:val="20"/>
          <w:szCs w:val="20"/>
          <w:color w:val="auto"/>
        </w:rPr>
        <w:t>The Governance Committee also considered each of the transactions described in this section and concluded that Ms. Miyashiro, Ms. Fiegel, Mr. Brown, and Ms. LoCascio to be independent directors despite the customer relationships. The Governance Committee also determined Mr. Wimsett to be independent despite the relationship between the Company and Merchant’s PACT and despite the customer relationship with Revenue Management Solutions, and Ms. Nelson to be independent despite the relationship between the Company and Equifax,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339090</wp:posOffset>
            </wp:positionV>
            <wp:extent cx="7132320" cy="3511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32320" cy="3511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9000"/>
        <w:spacing w:after="0"/>
        <w:tabs>
          <w:tab w:leader="none" w:pos="11000" w:val="left"/>
        </w:tabs>
        <w:rPr>
          <w:sz w:val="20"/>
          <w:szCs w:val="20"/>
          <w:color w:val="auto"/>
        </w:rPr>
      </w:pPr>
      <w:r>
        <w:rPr>
          <w:rFonts w:ascii="Arial" w:cs="Arial" w:eastAsia="Arial" w:hAnsi="Arial"/>
          <w:sz w:val="18"/>
          <w:szCs w:val="18"/>
          <w:color w:val="auto"/>
        </w:rPr>
        <w:t>2024 Proxy Statement</w:t>
      </w:r>
      <w:r>
        <w:rPr>
          <w:sz w:val="20"/>
          <w:szCs w:val="20"/>
          <w:color w:val="auto"/>
        </w:rPr>
        <w:tab/>
      </w:r>
      <w:r>
        <w:rPr>
          <w:rFonts w:ascii="Arial" w:cs="Arial" w:eastAsia="Arial" w:hAnsi="Arial"/>
          <w:sz w:val="17"/>
          <w:szCs w:val="17"/>
          <w:color w:val="1E3767"/>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262255</wp:posOffset>
            </wp:positionV>
            <wp:extent cx="71577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01" w:right="339" w:bottom="1440" w:gutter="0" w:footer="0" w:header="0"/>
        </w:sectPr>
      </w:pPr>
    </w:p>
    <w:bookmarkStart w:id="26" w:name="page27"/>
    <w:bookmarkEnd w:id="26"/>
    <w:p>
      <w:pPr>
        <w:spacing w:after="0"/>
        <w:rPr>
          <w:sz w:val="20"/>
          <w:szCs w:val="20"/>
          <w:color w:val="auto"/>
        </w:rPr>
      </w:pPr>
      <w:r>
        <w:rPr>
          <w:rFonts w:ascii="Arial" w:cs="Arial" w:eastAsia="Arial" w:hAnsi="Arial"/>
          <w:sz w:val="20"/>
          <w:szCs w:val="20"/>
          <w:b w:val="1"/>
          <w:bCs w:val="1"/>
          <w:color w:val="auto"/>
        </w:rPr>
        <w:t>Related Party Transaction Policy</w:t>
      </w:r>
    </w:p>
    <w:p>
      <w:pPr>
        <w:spacing w:after="0" w:line="258" w:lineRule="exact"/>
        <w:rPr>
          <w:sz w:val="20"/>
          <w:szCs w:val="20"/>
          <w:color w:val="auto"/>
        </w:rPr>
      </w:pPr>
    </w:p>
    <w:p>
      <w:pPr>
        <w:jc w:val="both"/>
        <w:spacing w:after="0" w:line="276" w:lineRule="auto"/>
        <w:rPr>
          <w:sz w:val="20"/>
          <w:szCs w:val="20"/>
          <w:color w:val="auto"/>
        </w:rPr>
      </w:pPr>
      <w:r>
        <w:rPr>
          <w:rFonts w:ascii="Arial" w:cs="Arial" w:eastAsia="Arial" w:hAnsi="Arial"/>
          <w:sz w:val="19"/>
          <w:szCs w:val="19"/>
          <w:color w:val="auto"/>
        </w:rPr>
        <w:t>The Board has adopted a written policy that requires all related party transactions to be reviewed and approved by the Audit Committee of the Board. The Audit Committee is charged with determining whether a related party transaction is in the best interests of, or not inconsistent with the interests of, the Company and its stockholders. In making this determination, the Audit Committee will consider such factors as whether the related party transaction is on terms no less favorable to the Company than terms generally available to unaffiliated third parties and the extent of the related party’s interest in the transaction. No director may participate in any discussion, approval, or ratification of any transaction in which he or she has an interest, except for the purpose of providing information concerning the transaction. For transactions in which the aggregate amount is expected to be less than $200,000, the Chair of the Audit Committee has been delegated the authority to pre-approve related party transactions, subject to later review by the full committee. At least annually, ongoing related party transactions will be reviewed to assess continued compliance with the policy. For purposes of the Related Party Transaction Policy, a related party transaction is a transaction or relationship in which the aggregate amount involved will or may exceed $ 100,000 in any calendar year, involves the Company as a participant, and in which any related party has or will have a direct or indirect interest (other than solely as a result of being a director or less than 10% beneficial owner of the other entity). A related party is any executive officer, director, or more than 5% beneficial owner of the Company or any immediate family member of such persons.</w:t>
      </w:r>
    </w:p>
    <w:p>
      <w:pPr>
        <w:spacing w:after="0" w:line="195" w:lineRule="exact"/>
        <w:rPr>
          <w:sz w:val="20"/>
          <w:szCs w:val="20"/>
          <w:color w:val="auto"/>
        </w:rPr>
      </w:pPr>
    </w:p>
    <w:p>
      <w:pPr>
        <w:jc w:val="both"/>
        <w:spacing w:after="0" w:line="262" w:lineRule="auto"/>
        <w:rPr>
          <w:sz w:val="20"/>
          <w:szCs w:val="20"/>
          <w:color w:val="auto"/>
        </w:rPr>
      </w:pPr>
      <w:r>
        <w:rPr>
          <w:rFonts w:ascii="Arial" w:cs="Arial" w:eastAsia="Arial" w:hAnsi="Arial"/>
          <w:sz w:val="20"/>
          <w:szCs w:val="20"/>
          <w:color w:val="auto"/>
        </w:rPr>
        <w:t>The policy also contains standing pre-approvals of certain transactions that are not believed to pose any material risk to the Company even if the aggregate amount exceeds $100,000 in a calendar year, including: employment arrangements with executive officers, director compensation, transactions involving competitive bids, certain banking-related services, certain Company charitable contributions, transactions where all stockholders receive proportional benefits, certain regulated transactions, and satisfaction of indemnification obligations. Standing approval is also provided for transactions with another company where the related party’s only relationship is as an employee (other than an executive officer), director, or beneficial owner of less than 10% of that entity’s shares, if the aggregate amount does not exceed the greater of $1,000,000 or 2% of that entity’s annual revenues.</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DELINQUENT SECTION 16(a) REPORTS</w:t>
      </w:r>
    </w:p>
    <w:p>
      <w:pPr>
        <w:spacing w:after="0" w:line="267" w:lineRule="exact"/>
        <w:rPr>
          <w:sz w:val="20"/>
          <w:szCs w:val="20"/>
          <w:color w:val="auto"/>
        </w:rPr>
      </w:pPr>
    </w:p>
    <w:p>
      <w:pPr>
        <w:jc w:val="both"/>
        <w:spacing w:after="0" w:line="265" w:lineRule="auto"/>
        <w:rPr>
          <w:sz w:val="20"/>
          <w:szCs w:val="20"/>
          <w:color w:val="auto"/>
        </w:rPr>
      </w:pPr>
      <w:r>
        <w:rPr>
          <w:rFonts w:ascii="Arial" w:cs="Arial" w:eastAsia="Arial" w:hAnsi="Arial"/>
          <w:sz w:val="20"/>
          <w:szCs w:val="20"/>
          <w:color w:val="auto"/>
        </w:rPr>
        <w:t>The Company is required to identify any director, officer, or greater than 10% beneficial owner who failed to timely file with the SEC a report required under Section 16(a) of the Exchange Act relating to ownership and changes in ownership of the Company’s common stock. The required reports consist of initial statements on Form 3, statements of changes on Form 4, and annual statements on Form 5. To the Company’s knowledge, based solely on its review of the copies of such forms received by it, the Company believes that during the fiscal year ended June 30, 2024 all required Section 16(a) filings were filed timely.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184785</wp:posOffset>
            </wp:positionV>
            <wp:extent cx="7132320" cy="3511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32320" cy="351155"/>
                    </a:xfrm>
                    <a:prstGeom prst="rect">
                      <a:avLst/>
                    </a:prstGeom>
                    <a:noFill/>
                  </pic:spPr>
                </pic:pic>
              </a:graphicData>
            </a:graphic>
          </wp:anchor>
        </w:drawing>
      </w:r>
    </w:p>
    <w:p>
      <w:pPr>
        <w:spacing w:after="0" w:line="200" w:lineRule="exact"/>
        <w:rPr>
          <w:sz w:val="20"/>
          <w:szCs w:val="20"/>
          <w:color w:val="auto"/>
        </w:rPr>
      </w:pPr>
    </w:p>
    <w:p>
      <w:pPr>
        <w:spacing w:after="0" w:line="282" w:lineRule="exact"/>
        <w:rPr>
          <w:sz w:val="20"/>
          <w:szCs w:val="20"/>
          <w:color w:val="auto"/>
        </w:rPr>
      </w:pPr>
    </w:p>
    <w:p>
      <w:pPr>
        <w:ind w:left="20"/>
        <w:spacing w:after="0"/>
        <w:tabs>
          <w:tab w:leader="none" w:pos="440" w:val="left"/>
        </w:tabs>
        <w:rPr>
          <w:sz w:val="20"/>
          <w:szCs w:val="20"/>
          <w:color w:val="auto"/>
        </w:rPr>
      </w:pPr>
      <w:r>
        <w:rPr>
          <w:rFonts w:ascii="Arial" w:cs="Arial" w:eastAsia="Arial" w:hAnsi="Arial"/>
          <w:sz w:val="18"/>
          <w:szCs w:val="18"/>
          <w:color w:val="auto"/>
        </w:rPr>
        <w:t>24</w:t>
        <w:tab/>
        <w:t>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253365</wp:posOffset>
            </wp:positionV>
            <wp:extent cx="715772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2" w:right="339" w:bottom="1440" w:gutter="0" w:footer="0" w:header="0"/>
        </w:sectPr>
      </w:pPr>
    </w:p>
    <w:bookmarkStart w:id="27" w:name="page28"/>
    <w:bookmarkEnd w:id="27"/>
    <w:p>
      <w:pPr>
        <w:jc w:val="center"/>
        <w:spacing w:after="0"/>
        <w:rPr>
          <w:sz w:val="20"/>
          <w:szCs w:val="20"/>
          <w:color w:val="auto"/>
        </w:rPr>
      </w:pPr>
      <w:r>
        <w:rPr>
          <w:rFonts w:ascii="Arial" w:cs="Arial" w:eastAsia="Arial" w:hAnsi="Arial"/>
          <w:sz w:val="22"/>
          <w:szCs w:val="22"/>
          <w:b w:val="1"/>
          <w:bCs w:val="1"/>
          <w:color w:val="auto"/>
        </w:rPr>
        <w:t>AUDIT COMMITTEE REPORT</w:t>
      </w:r>
    </w:p>
    <w:p>
      <w:pPr>
        <w:spacing w:after="0" w:line="253"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Audit Committee of the Company’s Board of Directors is currently composed of five independent directors. The Board has determined that Audit Committee members Matthew C. Flanigan, Thomas H. Wilson, Jr., and Thomas A. Wimsett are “audit committee financial experts” under relevant SEC standards because of their extensive accounting and financial experience. The Board and the Audit Committee believe that the Audit Committee’s current members satisfy all Nasdaq and SEC rules that govern audit committee composition.</w:t>
      </w:r>
    </w:p>
    <w:p>
      <w:pPr>
        <w:spacing w:after="0" w:line="211"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 Audit Committee operates under a written Charter adopted by the Board. The Charter requires the Audit Committee to oversee and retain the independent registered public accounting firm, pre-approve the services and fees of the independent registered public accounting firm, regularly consider critical accounting policies of the Company, review and approve material related party transactions, receive reports from the Company’s Chief Audit Executive and General Counsel, and establish procedures for receipt and handling of complaints and anonymous submissions regarding accounting or auditing matters. The Charter also contains the commitment of the Board to provide funding and support for the operation of the Audit Committee, including funding for independent counsel for the Committee if the need arises.</w:t>
      </w:r>
    </w:p>
    <w:p>
      <w:pPr>
        <w:spacing w:after="0" w:line="211" w:lineRule="exact"/>
        <w:rPr>
          <w:sz w:val="20"/>
          <w:szCs w:val="20"/>
          <w:color w:val="auto"/>
        </w:rPr>
      </w:pPr>
    </w:p>
    <w:p>
      <w:pPr>
        <w:jc w:val="both"/>
        <w:spacing w:after="0" w:line="277" w:lineRule="auto"/>
        <w:rPr>
          <w:sz w:val="20"/>
          <w:szCs w:val="20"/>
          <w:color w:val="auto"/>
        </w:rPr>
      </w:pPr>
      <w:r>
        <w:rPr>
          <w:rFonts w:ascii="Arial" w:cs="Arial" w:eastAsia="Arial" w:hAnsi="Arial"/>
          <w:sz w:val="17"/>
          <w:szCs w:val="17"/>
          <w:color w:val="auto"/>
        </w:rPr>
        <w:t>The role of the Audit Committee is to assist the Board in its oversight of the Company’s financial reporting process. Management has the primary duty for the financial statements and the reporting process, including the systems of internal controls. The independent registered public accounting firm is responsible for auditing the Company’s financial statements and expressing an opinion as to their conformity to accounting principles generally accepted in the United States.</w:t>
      </w:r>
    </w:p>
    <w:p>
      <w:pPr>
        <w:spacing w:after="0" w:line="205"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In the performance of its oversight function, the Audit Committee has reviewed and discussed with management and the independent registered public accounting firm the Company’s audited financial statements. The Audit Committee also has discussed with the independent registered public accounting firm the matters required to be discussed by the applicable requirement of the Public Company Accounting Oversight Board (“PCAOB”) and the SEC. In addition, the Audit Committee has received from the independent registered public accounting firm the written disclosures and letter required by applicable requirements of the PCAOB regarding the independent registered public accounting firm’s communications with the Audit Committee concerning independence and has discussed with the independent registered accounting firm its independence.</w:t>
      </w:r>
    </w:p>
    <w:p>
      <w:pPr>
        <w:spacing w:after="0" w:line="211"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Audit Committee discussed with the Company’s independent registered public accounting firm the overall scope and plans for their audit. The Audit Committee meets with the internal auditors and the independent registered public accounting firm, with and without management present, to discuss the results of their examinations, their evaluations of the Company’s internal controls and the overall quality of the Company’s financial reporting. These meetings without management present are held at least once each year, and such meeting was held in the fiscal year just ended.</w:t>
      </w:r>
    </w:p>
    <w:p>
      <w:pPr>
        <w:spacing w:after="0" w:line="211" w:lineRule="exact"/>
        <w:rPr>
          <w:sz w:val="20"/>
          <w:szCs w:val="20"/>
          <w:color w:val="auto"/>
        </w:rPr>
      </w:pPr>
    </w:p>
    <w:p>
      <w:pPr>
        <w:jc w:val="both"/>
        <w:spacing w:after="0" w:line="283" w:lineRule="auto"/>
        <w:rPr>
          <w:sz w:val="20"/>
          <w:szCs w:val="20"/>
          <w:color w:val="auto"/>
        </w:rPr>
      </w:pPr>
      <w:r>
        <w:rPr>
          <w:rFonts w:ascii="Arial" w:cs="Arial" w:eastAsia="Arial" w:hAnsi="Arial"/>
          <w:sz w:val="17"/>
          <w:szCs w:val="17"/>
          <w:color w:val="auto"/>
        </w:rPr>
        <w:t>In reliance on the reviews and discussion referred to above, the Audit Committee recommended to the Board, and the Board has approved, that the Company’s audited financial statements be included in the Company’s 2024 Annual Report to Stockholders and Annual Report on Form 10-K for the year ended June 30, 2024 for filing with the SEC.</w:t>
      </w:r>
    </w:p>
    <w:p>
      <w:pPr>
        <w:spacing w:after="0" w:line="186" w:lineRule="exact"/>
        <w:rPr>
          <w:sz w:val="20"/>
          <w:szCs w:val="20"/>
          <w:color w:val="auto"/>
        </w:rPr>
      </w:pPr>
    </w:p>
    <w:p>
      <w:pPr>
        <w:ind w:left="4940"/>
        <w:spacing w:after="0"/>
        <w:rPr>
          <w:sz w:val="20"/>
          <w:szCs w:val="20"/>
          <w:color w:val="auto"/>
        </w:rPr>
      </w:pPr>
      <w:r>
        <w:rPr>
          <w:rFonts w:ascii="Arial" w:cs="Arial" w:eastAsia="Arial" w:hAnsi="Arial"/>
          <w:sz w:val="17"/>
          <w:szCs w:val="17"/>
          <w:b w:val="1"/>
          <w:bCs w:val="1"/>
          <w:color w:val="auto"/>
        </w:rPr>
        <w:t>Audit Committee*</w:t>
      </w:r>
    </w:p>
    <w:p>
      <w:pPr>
        <w:spacing w:after="0" w:line="37" w:lineRule="exact"/>
        <w:rPr>
          <w:sz w:val="20"/>
          <w:szCs w:val="20"/>
          <w:color w:val="auto"/>
        </w:rPr>
      </w:pPr>
    </w:p>
    <w:p>
      <w:pPr>
        <w:ind w:left="4940"/>
        <w:spacing w:after="0"/>
        <w:rPr>
          <w:sz w:val="20"/>
          <w:szCs w:val="20"/>
          <w:color w:val="auto"/>
        </w:rPr>
      </w:pPr>
      <w:r>
        <w:rPr>
          <w:rFonts w:ascii="Arial" w:cs="Arial" w:eastAsia="Arial" w:hAnsi="Arial"/>
          <w:sz w:val="17"/>
          <w:szCs w:val="17"/>
          <w:color w:val="auto"/>
        </w:rPr>
        <w:t>Thomas H. Wilson, Jr., Chair</w:t>
      </w:r>
    </w:p>
    <w:p>
      <w:pPr>
        <w:spacing w:after="0" w:line="13" w:lineRule="exact"/>
        <w:rPr>
          <w:sz w:val="20"/>
          <w:szCs w:val="20"/>
          <w:color w:val="auto"/>
        </w:rPr>
      </w:pPr>
    </w:p>
    <w:p>
      <w:pPr>
        <w:ind w:left="4940"/>
        <w:spacing w:after="0"/>
        <w:rPr>
          <w:sz w:val="20"/>
          <w:szCs w:val="20"/>
          <w:color w:val="auto"/>
        </w:rPr>
      </w:pPr>
      <w:r>
        <w:rPr>
          <w:rFonts w:ascii="Arial" w:cs="Arial" w:eastAsia="Arial" w:hAnsi="Arial"/>
          <w:sz w:val="17"/>
          <w:szCs w:val="17"/>
          <w:color w:val="auto"/>
        </w:rPr>
        <w:t>Matthew C. Flanigan</w:t>
      </w:r>
    </w:p>
    <w:p>
      <w:pPr>
        <w:spacing w:after="0" w:line="21" w:lineRule="exact"/>
        <w:rPr>
          <w:sz w:val="20"/>
          <w:szCs w:val="20"/>
          <w:color w:val="auto"/>
        </w:rPr>
      </w:pPr>
    </w:p>
    <w:p>
      <w:pPr>
        <w:ind w:left="4940"/>
        <w:spacing w:after="0"/>
        <w:rPr>
          <w:sz w:val="20"/>
          <w:szCs w:val="20"/>
          <w:color w:val="auto"/>
        </w:rPr>
      </w:pPr>
      <w:r>
        <w:rPr>
          <w:rFonts w:ascii="Arial" w:cs="Arial" w:eastAsia="Arial" w:hAnsi="Arial"/>
          <w:sz w:val="17"/>
          <w:szCs w:val="17"/>
          <w:color w:val="auto"/>
        </w:rPr>
        <w:t>Thomas A. Wimsett</w:t>
      </w:r>
    </w:p>
    <w:p>
      <w:pPr>
        <w:spacing w:after="0" w:line="21" w:lineRule="exact"/>
        <w:rPr>
          <w:sz w:val="20"/>
          <w:szCs w:val="20"/>
          <w:color w:val="auto"/>
        </w:rPr>
      </w:pPr>
    </w:p>
    <w:p>
      <w:pPr>
        <w:ind w:left="4940"/>
        <w:spacing w:after="0"/>
        <w:rPr>
          <w:sz w:val="20"/>
          <w:szCs w:val="20"/>
          <w:color w:val="auto"/>
        </w:rPr>
      </w:pPr>
      <w:r>
        <w:rPr>
          <w:rFonts w:ascii="Arial" w:cs="Arial" w:eastAsia="Arial" w:hAnsi="Arial"/>
          <w:sz w:val="17"/>
          <w:szCs w:val="17"/>
          <w:color w:val="auto"/>
        </w:rPr>
        <w:t>Wesley A. Brown</w:t>
      </w:r>
    </w:p>
    <w:p>
      <w:pPr>
        <w:spacing w:after="0" w:line="255" w:lineRule="exact"/>
        <w:rPr>
          <w:sz w:val="20"/>
          <w:szCs w:val="20"/>
          <w:color w:val="auto"/>
        </w:rPr>
      </w:pPr>
    </w:p>
    <w:p>
      <w:pPr>
        <w:jc w:val="both"/>
        <w:spacing w:after="0" w:line="274" w:lineRule="auto"/>
        <w:rPr>
          <w:sz w:val="20"/>
          <w:szCs w:val="20"/>
          <w:color w:val="auto"/>
        </w:rPr>
      </w:pPr>
      <w:r>
        <w:rPr>
          <w:rFonts w:ascii="Arial" w:cs="Arial" w:eastAsia="Arial" w:hAnsi="Arial"/>
          <w:sz w:val="17"/>
          <w:szCs w:val="17"/>
          <w:color w:val="auto"/>
        </w:rPr>
        <w:t>*Lisa M. Nelson, a current member of our Audit Committee, was appointed as a member of the Audit Committee after our Annual Report on Form 10-K for the fiscal year ended June 30, 2024 was prepared and accordingly did not participate in the review, discussions, and recommendation for the Audit Committee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497840</wp:posOffset>
            </wp:positionV>
            <wp:extent cx="7132320" cy="3511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32320" cy="3511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9000"/>
        <w:spacing w:after="0"/>
        <w:tabs>
          <w:tab w:leader="none" w:pos="11000" w:val="left"/>
        </w:tabs>
        <w:rPr>
          <w:sz w:val="20"/>
          <w:szCs w:val="20"/>
          <w:color w:val="auto"/>
        </w:rPr>
      </w:pPr>
      <w:r>
        <w:rPr>
          <w:rFonts w:ascii="Arial" w:cs="Arial" w:eastAsia="Arial" w:hAnsi="Arial"/>
          <w:sz w:val="18"/>
          <w:szCs w:val="18"/>
          <w:color w:val="auto"/>
        </w:rPr>
        <w:t>2024 Proxy Statement</w:t>
      </w:r>
      <w:r>
        <w:rPr>
          <w:sz w:val="20"/>
          <w:szCs w:val="20"/>
          <w:color w:val="auto"/>
        </w:rPr>
        <w:tab/>
      </w:r>
      <w:r>
        <w:rPr>
          <w:rFonts w:ascii="Arial" w:cs="Arial" w:eastAsia="Arial" w:hAnsi="Arial"/>
          <w:sz w:val="17"/>
          <w:szCs w:val="17"/>
          <w:color w:val="1E3767"/>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262255</wp:posOffset>
            </wp:positionV>
            <wp:extent cx="715772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80" w:right="339" w:bottom="1440" w:gutter="0" w:footer="0" w:header="0"/>
        </w:sectPr>
      </w:pPr>
    </w:p>
    <w:bookmarkStart w:id="28" w:name="page29"/>
    <w:bookmarkEnd w:id="28"/>
    <w:p>
      <w:pPr>
        <w:jc w:val="center"/>
        <w:ind w:right="-19"/>
        <w:spacing w:after="0"/>
        <w:rPr>
          <w:sz w:val="20"/>
          <w:szCs w:val="20"/>
          <w:color w:val="auto"/>
        </w:rPr>
      </w:pPr>
      <w:r>
        <w:rPr>
          <w:rFonts w:ascii="Arial" w:cs="Arial" w:eastAsia="Arial" w:hAnsi="Arial"/>
          <w:sz w:val="22"/>
          <w:szCs w:val="22"/>
          <w:b w:val="1"/>
          <w:bCs w:val="1"/>
          <w:color w:val="auto"/>
        </w:rPr>
        <w:t>EXECUTIVE OFFICERS</w:t>
      </w:r>
    </w:p>
    <w:p>
      <w:pPr>
        <w:spacing w:after="0" w:line="253" w:lineRule="exact"/>
        <w:rPr>
          <w:sz w:val="20"/>
          <w:szCs w:val="20"/>
          <w:color w:val="auto"/>
        </w:rPr>
      </w:pPr>
    </w:p>
    <w:p>
      <w:pPr>
        <w:spacing w:after="0"/>
        <w:rPr>
          <w:sz w:val="20"/>
          <w:szCs w:val="20"/>
          <w:color w:val="auto"/>
        </w:rPr>
      </w:pPr>
      <w:r>
        <w:rPr>
          <w:rFonts w:ascii="Arial" w:cs="Arial" w:eastAsia="Arial" w:hAnsi="Arial"/>
          <w:sz w:val="20"/>
          <w:szCs w:val="20"/>
          <w:color w:val="auto"/>
        </w:rPr>
        <w:t>The executive officers of the Company, as well as biographical information for non-director executive officers, are as follows:</w:t>
      </w: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297"/>
        </w:trPr>
        <w:tc>
          <w:tcPr>
            <w:tcW w:w="2120" w:type="dxa"/>
            <w:vAlign w:val="bottom"/>
            <w:tcBorders>
              <w:bottom w:val="single" w:sz="8" w:color="auto"/>
            </w:tcBorders>
            <w:shd w:val="clear" w:color="auto" w:fill="E8F7F7"/>
          </w:tcPr>
          <w:p>
            <w:pPr>
              <w:ind w:left="160"/>
              <w:spacing w:after="0"/>
              <w:rPr>
                <w:sz w:val="20"/>
                <w:szCs w:val="20"/>
                <w:color w:val="auto"/>
              </w:rPr>
            </w:pPr>
            <w:r>
              <w:rPr>
                <w:rFonts w:ascii="Arial" w:cs="Arial" w:eastAsia="Arial" w:hAnsi="Arial"/>
                <w:sz w:val="22"/>
                <w:szCs w:val="22"/>
                <w:b w:val="1"/>
                <w:bCs w:val="1"/>
                <w:color w:val="auto"/>
              </w:rPr>
              <w:t>Name</w:t>
            </w:r>
          </w:p>
        </w:tc>
        <w:tc>
          <w:tcPr>
            <w:tcW w:w="7140" w:type="dxa"/>
            <w:vAlign w:val="bottom"/>
            <w:tcBorders>
              <w:bottom w:val="single" w:sz="8" w:color="auto"/>
            </w:tcBorders>
            <w:shd w:val="clear" w:color="auto" w:fill="E8F7F7"/>
          </w:tcPr>
          <w:p>
            <w:pPr>
              <w:ind w:left="620"/>
              <w:spacing w:after="0"/>
              <w:rPr>
                <w:sz w:val="20"/>
                <w:szCs w:val="20"/>
                <w:color w:val="auto"/>
              </w:rPr>
            </w:pPr>
            <w:r>
              <w:rPr>
                <w:rFonts w:ascii="Arial" w:cs="Arial" w:eastAsia="Arial" w:hAnsi="Arial"/>
                <w:sz w:val="22"/>
                <w:szCs w:val="22"/>
                <w:b w:val="1"/>
                <w:bCs w:val="1"/>
                <w:color w:val="auto"/>
              </w:rPr>
              <w:t>Position with Company</w:t>
            </w:r>
          </w:p>
        </w:tc>
        <w:tc>
          <w:tcPr>
            <w:tcW w:w="1840" w:type="dxa"/>
            <w:vAlign w:val="bottom"/>
            <w:tcBorders>
              <w:bottom w:val="single" w:sz="8" w:color="auto"/>
            </w:tcBorders>
            <w:shd w:val="clear" w:color="auto" w:fill="E8F7F7"/>
          </w:tcPr>
          <w:p>
            <w:pPr>
              <w:jc w:val="center"/>
              <w:ind w:left="120"/>
              <w:spacing w:after="0"/>
              <w:rPr>
                <w:sz w:val="20"/>
                <w:szCs w:val="20"/>
                <w:color w:val="auto"/>
              </w:rPr>
            </w:pPr>
            <w:r>
              <w:rPr>
                <w:rFonts w:ascii="Arial" w:cs="Arial" w:eastAsia="Arial" w:hAnsi="Arial"/>
                <w:sz w:val="22"/>
                <w:szCs w:val="22"/>
                <w:b w:val="1"/>
                <w:bCs w:val="1"/>
                <w:color w:val="auto"/>
                <w:w w:val="98"/>
              </w:rPr>
              <w:t>Officer Since</w:t>
            </w:r>
          </w:p>
        </w:tc>
      </w:tr>
      <w:tr>
        <w:trPr>
          <w:trHeight w:val="270"/>
        </w:trPr>
        <w:tc>
          <w:tcPr>
            <w:tcW w:w="2120" w:type="dxa"/>
            <w:vAlign w:val="bottom"/>
            <w:tcBorders>
              <w:bottom w:val="single" w:sz="8" w:color="DBDBDB"/>
            </w:tcBorders>
          </w:tcPr>
          <w:p>
            <w:pPr>
              <w:ind w:left="20"/>
              <w:spacing w:after="0"/>
              <w:rPr>
                <w:sz w:val="20"/>
                <w:szCs w:val="20"/>
                <w:color w:val="auto"/>
              </w:rPr>
            </w:pPr>
            <w:r>
              <w:rPr>
                <w:rFonts w:ascii="Arial" w:cs="Arial" w:eastAsia="Arial" w:hAnsi="Arial"/>
                <w:sz w:val="20"/>
                <w:szCs w:val="20"/>
                <w:color w:val="auto"/>
              </w:rPr>
              <w:t>David B. Foss</w:t>
            </w:r>
          </w:p>
        </w:tc>
        <w:tc>
          <w:tcPr>
            <w:tcW w:w="7140" w:type="dxa"/>
            <w:vAlign w:val="bottom"/>
            <w:tcBorders>
              <w:bottom w:val="single" w:sz="8" w:color="DBDBDB"/>
            </w:tcBorders>
          </w:tcPr>
          <w:p>
            <w:pPr>
              <w:ind w:left="500"/>
              <w:spacing w:after="0"/>
              <w:rPr>
                <w:sz w:val="20"/>
                <w:szCs w:val="20"/>
                <w:color w:val="auto"/>
              </w:rPr>
            </w:pPr>
            <w:r>
              <w:rPr>
                <w:rFonts w:ascii="Arial" w:cs="Arial" w:eastAsia="Arial" w:hAnsi="Arial"/>
                <w:sz w:val="20"/>
                <w:szCs w:val="20"/>
                <w:color w:val="auto"/>
              </w:rPr>
              <w:t>Executive Board Chair</w:t>
            </w:r>
          </w:p>
        </w:tc>
        <w:tc>
          <w:tcPr>
            <w:tcW w:w="1840" w:type="dxa"/>
            <w:vAlign w:val="bottom"/>
            <w:tcBorders>
              <w:bottom w:val="single" w:sz="8" w:color="DBDBDB"/>
            </w:tcBorders>
          </w:tcPr>
          <w:p>
            <w:pPr>
              <w:jc w:val="right"/>
              <w:ind w:right="560"/>
              <w:spacing w:after="0"/>
              <w:rPr>
                <w:sz w:val="20"/>
                <w:szCs w:val="20"/>
                <w:color w:val="auto"/>
              </w:rPr>
            </w:pPr>
            <w:r>
              <w:rPr>
                <w:rFonts w:ascii="Arial" w:cs="Arial" w:eastAsia="Arial" w:hAnsi="Arial"/>
                <w:sz w:val="20"/>
                <w:szCs w:val="20"/>
                <w:color w:val="auto"/>
              </w:rPr>
              <w:t>2014</w:t>
            </w:r>
          </w:p>
        </w:tc>
      </w:tr>
      <w:tr>
        <w:trPr>
          <w:trHeight w:val="277"/>
        </w:trPr>
        <w:tc>
          <w:tcPr>
            <w:tcW w:w="2120" w:type="dxa"/>
            <w:vAlign w:val="bottom"/>
            <w:tcBorders>
              <w:bottom w:val="single" w:sz="8" w:color="DBDBDB"/>
            </w:tcBorders>
            <w:shd w:val="clear" w:color="auto" w:fill="E7ECF0"/>
          </w:tcPr>
          <w:p>
            <w:pPr>
              <w:ind w:left="20"/>
              <w:spacing w:after="0"/>
              <w:rPr>
                <w:sz w:val="20"/>
                <w:szCs w:val="20"/>
                <w:color w:val="auto"/>
              </w:rPr>
            </w:pPr>
            <w:r>
              <w:rPr>
                <w:rFonts w:ascii="Arial" w:cs="Arial" w:eastAsia="Arial" w:hAnsi="Arial"/>
                <w:sz w:val="20"/>
                <w:szCs w:val="20"/>
                <w:color w:val="auto"/>
              </w:rPr>
              <w:t>Gregory R. Adelson</w:t>
            </w:r>
          </w:p>
        </w:tc>
        <w:tc>
          <w:tcPr>
            <w:tcW w:w="7140" w:type="dxa"/>
            <w:vAlign w:val="bottom"/>
            <w:tcBorders>
              <w:bottom w:val="single" w:sz="8" w:color="DBDBDB"/>
            </w:tcBorders>
            <w:shd w:val="clear" w:color="auto" w:fill="E7ECF0"/>
          </w:tcPr>
          <w:p>
            <w:pPr>
              <w:ind w:left="500"/>
              <w:spacing w:after="0"/>
              <w:rPr>
                <w:sz w:val="20"/>
                <w:szCs w:val="20"/>
                <w:color w:val="auto"/>
              </w:rPr>
            </w:pPr>
            <w:r>
              <w:rPr>
                <w:rFonts w:ascii="Arial" w:cs="Arial" w:eastAsia="Arial" w:hAnsi="Arial"/>
                <w:sz w:val="20"/>
                <w:szCs w:val="20"/>
                <w:color w:val="auto"/>
              </w:rPr>
              <w:t>President and Chief Executive Officer</w:t>
            </w:r>
          </w:p>
        </w:tc>
        <w:tc>
          <w:tcPr>
            <w:tcW w:w="1840" w:type="dxa"/>
            <w:vAlign w:val="bottom"/>
            <w:tcBorders>
              <w:bottom w:val="single" w:sz="8" w:color="DBDBDB"/>
            </w:tcBorders>
            <w:shd w:val="clear" w:color="auto" w:fill="E7ECF0"/>
          </w:tcPr>
          <w:p>
            <w:pPr>
              <w:jc w:val="right"/>
              <w:ind w:right="560"/>
              <w:spacing w:after="0"/>
              <w:rPr>
                <w:sz w:val="20"/>
                <w:szCs w:val="20"/>
                <w:color w:val="auto"/>
              </w:rPr>
            </w:pPr>
            <w:r>
              <w:rPr>
                <w:rFonts w:ascii="Arial" w:cs="Arial" w:eastAsia="Arial" w:hAnsi="Arial"/>
                <w:sz w:val="20"/>
                <w:szCs w:val="20"/>
                <w:color w:val="auto"/>
              </w:rPr>
              <w:t>2018</w:t>
            </w:r>
          </w:p>
        </w:tc>
      </w:tr>
      <w:tr>
        <w:trPr>
          <w:trHeight w:val="277"/>
        </w:trPr>
        <w:tc>
          <w:tcPr>
            <w:tcW w:w="2120" w:type="dxa"/>
            <w:vAlign w:val="bottom"/>
            <w:tcBorders>
              <w:bottom w:val="single" w:sz="8" w:color="DBDBDB"/>
            </w:tcBorders>
          </w:tcPr>
          <w:p>
            <w:pPr>
              <w:ind w:left="20"/>
              <w:spacing w:after="0"/>
              <w:rPr>
                <w:sz w:val="20"/>
                <w:szCs w:val="20"/>
                <w:color w:val="auto"/>
              </w:rPr>
            </w:pPr>
            <w:r>
              <w:rPr>
                <w:rFonts w:ascii="Arial" w:cs="Arial" w:eastAsia="Arial" w:hAnsi="Arial"/>
                <w:sz w:val="20"/>
                <w:szCs w:val="20"/>
                <w:color w:val="auto"/>
              </w:rPr>
              <w:t>Mimi L. Carsley</w:t>
            </w:r>
          </w:p>
        </w:tc>
        <w:tc>
          <w:tcPr>
            <w:tcW w:w="7140" w:type="dxa"/>
            <w:vAlign w:val="bottom"/>
            <w:tcBorders>
              <w:bottom w:val="single" w:sz="8" w:color="DBDBDB"/>
            </w:tcBorders>
          </w:tcPr>
          <w:p>
            <w:pPr>
              <w:ind w:left="500"/>
              <w:spacing w:after="0"/>
              <w:rPr>
                <w:sz w:val="20"/>
                <w:szCs w:val="20"/>
                <w:color w:val="auto"/>
              </w:rPr>
            </w:pPr>
            <w:r>
              <w:rPr>
                <w:rFonts w:ascii="Arial" w:cs="Arial" w:eastAsia="Arial" w:hAnsi="Arial"/>
                <w:sz w:val="20"/>
                <w:szCs w:val="20"/>
                <w:color w:val="auto"/>
              </w:rPr>
              <w:t>Chief Financial Officer and Treasurer</w:t>
            </w:r>
          </w:p>
        </w:tc>
        <w:tc>
          <w:tcPr>
            <w:tcW w:w="1840" w:type="dxa"/>
            <w:vAlign w:val="bottom"/>
            <w:tcBorders>
              <w:bottom w:val="single" w:sz="8" w:color="DBDBDB"/>
            </w:tcBorders>
          </w:tcPr>
          <w:p>
            <w:pPr>
              <w:jc w:val="center"/>
              <w:ind w:left="100"/>
              <w:spacing w:after="0"/>
              <w:rPr>
                <w:sz w:val="20"/>
                <w:szCs w:val="20"/>
                <w:color w:val="auto"/>
              </w:rPr>
            </w:pPr>
            <w:r>
              <w:rPr>
                <w:rFonts w:ascii="Arial" w:cs="Arial" w:eastAsia="Arial" w:hAnsi="Arial"/>
                <w:sz w:val="20"/>
                <w:szCs w:val="20"/>
                <w:color w:val="auto"/>
                <w:w w:val="98"/>
              </w:rPr>
              <w:t>2022</w:t>
            </w:r>
          </w:p>
        </w:tc>
      </w:tr>
      <w:tr>
        <w:trPr>
          <w:trHeight w:val="277"/>
        </w:trPr>
        <w:tc>
          <w:tcPr>
            <w:tcW w:w="2120" w:type="dxa"/>
            <w:vAlign w:val="bottom"/>
            <w:tcBorders>
              <w:bottom w:val="single" w:sz="8" w:color="DBDBDB"/>
            </w:tcBorders>
            <w:shd w:val="clear" w:color="auto" w:fill="E7ECF0"/>
          </w:tcPr>
          <w:p>
            <w:pPr>
              <w:ind w:left="20"/>
              <w:spacing w:after="0"/>
              <w:rPr>
                <w:sz w:val="20"/>
                <w:szCs w:val="20"/>
                <w:color w:val="auto"/>
              </w:rPr>
            </w:pPr>
            <w:r>
              <w:rPr>
                <w:rFonts w:ascii="Arial" w:cs="Arial" w:eastAsia="Arial" w:hAnsi="Arial"/>
                <w:sz w:val="20"/>
                <w:szCs w:val="20"/>
                <w:color w:val="auto"/>
              </w:rPr>
              <w:t>Shanon G. McLachlan</w:t>
            </w:r>
          </w:p>
        </w:tc>
        <w:tc>
          <w:tcPr>
            <w:tcW w:w="7140" w:type="dxa"/>
            <w:vAlign w:val="bottom"/>
            <w:tcBorders>
              <w:bottom w:val="single" w:sz="8" w:color="DBDBDB"/>
            </w:tcBorders>
            <w:shd w:val="clear" w:color="auto" w:fill="E7ECF0"/>
          </w:tcPr>
          <w:p>
            <w:pPr>
              <w:ind w:left="500"/>
              <w:spacing w:after="0"/>
              <w:rPr>
                <w:sz w:val="20"/>
                <w:szCs w:val="20"/>
                <w:color w:val="auto"/>
              </w:rPr>
            </w:pPr>
            <w:r>
              <w:rPr>
                <w:rFonts w:ascii="Arial" w:cs="Arial" w:eastAsia="Arial" w:hAnsi="Arial"/>
                <w:sz w:val="20"/>
                <w:szCs w:val="20"/>
                <w:color w:val="auto"/>
              </w:rPr>
              <w:t>Senior Vice President and Chief Operating Officer</w:t>
            </w:r>
          </w:p>
        </w:tc>
        <w:tc>
          <w:tcPr>
            <w:tcW w:w="1840" w:type="dxa"/>
            <w:vAlign w:val="bottom"/>
            <w:tcBorders>
              <w:bottom w:val="single" w:sz="8" w:color="DBDBDB"/>
            </w:tcBorders>
            <w:shd w:val="clear" w:color="auto" w:fill="E7ECF0"/>
          </w:tcPr>
          <w:p>
            <w:pPr>
              <w:jc w:val="center"/>
              <w:ind w:left="100"/>
              <w:spacing w:after="0"/>
              <w:rPr>
                <w:sz w:val="20"/>
                <w:szCs w:val="20"/>
                <w:color w:val="auto"/>
              </w:rPr>
            </w:pPr>
            <w:r>
              <w:rPr>
                <w:rFonts w:ascii="Arial" w:cs="Arial" w:eastAsia="Arial" w:hAnsi="Arial"/>
                <w:sz w:val="20"/>
                <w:szCs w:val="20"/>
                <w:color w:val="auto"/>
                <w:w w:val="98"/>
              </w:rPr>
              <w:t>2024</w:t>
            </w:r>
          </w:p>
        </w:tc>
      </w:tr>
      <w:tr>
        <w:trPr>
          <w:trHeight w:val="277"/>
        </w:trPr>
        <w:tc>
          <w:tcPr>
            <w:tcW w:w="2120" w:type="dxa"/>
            <w:vAlign w:val="bottom"/>
            <w:tcBorders>
              <w:bottom w:val="single" w:sz="8" w:color="DBDBDB"/>
            </w:tcBorders>
          </w:tcPr>
          <w:p>
            <w:pPr>
              <w:ind w:left="20"/>
              <w:spacing w:after="0"/>
              <w:rPr>
                <w:sz w:val="20"/>
                <w:szCs w:val="20"/>
                <w:color w:val="auto"/>
              </w:rPr>
            </w:pPr>
            <w:r>
              <w:rPr>
                <w:rFonts w:ascii="Arial" w:cs="Arial" w:eastAsia="Arial" w:hAnsi="Arial"/>
                <w:sz w:val="20"/>
                <w:szCs w:val="20"/>
                <w:color w:val="auto"/>
              </w:rPr>
              <w:t>Craig K. Morgan</w:t>
            </w:r>
          </w:p>
        </w:tc>
        <w:tc>
          <w:tcPr>
            <w:tcW w:w="7140" w:type="dxa"/>
            <w:vAlign w:val="bottom"/>
            <w:tcBorders>
              <w:bottom w:val="single" w:sz="8" w:color="DBDBDB"/>
            </w:tcBorders>
          </w:tcPr>
          <w:p>
            <w:pPr>
              <w:ind w:left="500"/>
              <w:spacing w:after="0"/>
              <w:rPr>
                <w:sz w:val="20"/>
                <w:szCs w:val="20"/>
                <w:color w:val="auto"/>
              </w:rPr>
            </w:pPr>
            <w:r>
              <w:rPr>
                <w:rFonts w:ascii="Arial" w:cs="Arial" w:eastAsia="Arial" w:hAnsi="Arial"/>
                <w:sz w:val="20"/>
                <w:szCs w:val="20"/>
                <w:color w:val="auto"/>
              </w:rPr>
              <w:t>General Counsel and Secretary</w:t>
            </w:r>
          </w:p>
        </w:tc>
        <w:tc>
          <w:tcPr>
            <w:tcW w:w="1840" w:type="dxa"/>
            <w:vAlign w:val="bottom"/>
            <w:tcBorders>
              <w:bottom w:val="single" w:sz="8" w:color="DBDBDB"/>
            </w:tcBorders>
          </w:tcPr>
          <w:p>
            <w:pPr>
              <w:jc w:val="right"/>
              <w:ind w:right="560"/>
              <w:spacing w:after="0"/>
              <w:rPr>
                <w:sz w:val="20"/>
                <w:szCs w:val="20"/>
                <w:color w:val="auto"/>
              </w:rPr>
            </w:pPr>
            <w:r>
              <w:rPr>
                <w:rFonts w:ascii="Arial" w:cs="Arial" w:eastAsia="Arial" w:hAnsi="Arial"/>
                <w:sz w:val="20"/>
                <w:szCs w:val="20"/>
                <w:color w:val="auto"/>
              </w:rPr>
              <w:t>2016</w:t>
            </w:r>
          </w:p>
        </w:tc>
      </w:tr>
      <w:tr>
        <w:trPr>
          <w:trHeight w:val="277"/>
        </w:trPr>
        <w:tc>
          <w:tcPr>
            <w:tcW w:w="2120" w:type="dxa"/>
            <w:vAlign w:val="bottom"/>
            <w:tcBorders>
              <w:bottom w:val="single" w:sz="8" w:color="DBDBDB"/>
            </w:tcBorders>
            <w:shd w:val="clear" w:color="auto" w:fill="E7ECF0"/>
          </w:tcPr>
          <w:p>
            <w:pPr>
              <w:ind w:left="20"/>
              <w:spacing w:after="0"/>
              <w:rPr>
                <w:sz w:val="20"/>
                <w:szCs w:val="20"/>
                <w:color w:val="auto"/>
              </w:rPr>
            </w:pPr>
            <w:r>
              <w:rPr>
                <w:rFonts w:ascii="Arial" w:cs="Arial" w:eastAsia="Arial" w:hAnsi="Arial"/>
                <w:sz w:val="20"/>
                <w:szCs w:val="20"/>
                <w:color w:val="auto"/>
              </w:rPr>
              <w:t>Renee A. Swearingen</w:t>
            </w:r>
          </w:p>
        </w:tc>
        <w:tc>
          <w:tcPr>
            <w:tcW w:w="7140" w:type="dxa"/>
            <w:vAlign w:val="bottom"/>
            <w:tcBorders>
              <w:bottom w:val="single" w:sz="8" w:color="DBDBDB"/>
            </w:tcBorders>
            <w:shd w:val="clear" w:color="auto" w:fill="E7ECF0"/>
          </w:tcPr>
          <w:p>
            <w:pPr>
              <w:ind w:left="500"/>
              <w:spacing w:after="0"/>
              <w:rPr>
                <w:sz w:val="20"/>
                <w:szCs w:val="20"/>
                <w:color w:val="auto"/>
              </w:rPr>
            </w:pPr>
            <w:r>
              <w:rPr>
                <w:rFonts w:ascii="Arial" w:cs="Arial" w:eastAsia="Arial" w:hAnsi="Arial"/>
                <w:sz w:val="20"/>
                <w:szCs w:val="20"/>
                <w:color w:val="auto"/>
              </w:rPr>
              <w:t>Senior Vice President, Chief Accounting Officer and Assistant Treasurer</w:t>
            </w:r>
          </w:p>
        </w:tc>
        <w:tc>
          <w:tcPr>
            <w:tcW w:w="1840" w:type="dxa"/>
            <w:vAlign w:val="bottom"/>
            <w:tcBorders>
              <w:bottom w:val="single" w:sz="8" w:color="DBDBDB"/>
            </w:tcBorders>
            <w:shd w:val="clear" w:color="auto" w:fill="E7ECF0"/>
          </w:tcPr>
          <w:p>
            <w:pPr>
              <w:jc w:val="center"/>
              <w:ind w:left="100"/>
              <w:spacing w:after="0"/>
              <w:rPr>
                <w:sz w:val="20"/>
                <w:szCs w:val="20"/>
                <w:color w:val="auto"/>
              </w:rPr>
            </w:pPr>
            <w:r>
              <w:rPr>
                <w:rFonts w:ascii="Arial" w:cs="Arial" w:eastAsia="Arial" w:hAnsi="Arial"/>
                <w:sz w:val="20"/>
                <w:szCs w:val="20"/>
                <w:color w:val="auto"/>
                <w:w w:val="98"/>
              </w:rPr>
              <w:t>2022</w:t>
            </w:r>
          </w:p>
        </w:tc>
      </w:tr>
      <w:tr>
        <w:trPr>
          <w:trHeight w:val="593"/>
        </w:trPr>
        <w:tc>
          <w:tcPr>
            <w:tcW w:w="2120" w:type="dxa"/>
            <w:vAlign w:val="bottom"/>
          </w:tcPr>
          <w:p>
            <w:pPr>
              <w:ind w:left="20"/>
              <w:spacing w:after="0"/>
              <w:rPr>
                <w:sz w:val="20"/>
                <w:szCs w:val="20"/>
                <w:color w:val="auto"/>
              </w:rPr>
            </w:pPr>
            <w:r>
              <w:rPr>
                <w:rFonts w:ascii="Arial" w:cs="Arial" w:eastAsia="Arial" w:hAnsi="Arial"/>
                <w:sz w:val="18"/>
                <w:szCs w:val="18"/>
                <w:b w:val="1"/>
                <w:bCs w:val="1"/>
                <w:color w:val="085CE5"/>
              </w:rPr>
              <w:t>Gregory R. Adelson</w:t>
            </w:r>
          </w:p>
        </w:tc>
        <w:tc>
          <w:tcPr>
            <w:tcW w:w="7140" w:type="dxa"/>
            <w:vAlign w:val="bottom"/>
          </w:tcPr>
          <w:p>
            <w:pPr>
              <w:ind w:left="140"/>
              <w:spacing w:after="0"/>
              <w:rPr>
                <w:sz w:val="20"/>
                <w:szCs w:val="20"/>
                <w:color w:val="auto"/>
              </w:rPr>
            </w:pPr>
            <w:r>
              <w:rPr>
                <w:rFonts w:ascii="Arial" w:cs="Arial" w:eastAsia="Arial" w:hAnsi="Arial"/>
                <w:sz w:val="18"/>
                <w:szCs w:val="18"/>
                <w:b w:val="1"/>
                <w:bCs w:val="1"/>
                <w:color w:val="auto"/>
              </w:rPr>
              <w:t>President and Chief Executive Officer</w:t>
            </w:r>
          </w:p>
        </w:tc>
        <w:tc>
          <w:tcPr>
            <w:tcW w:w="184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-153035</wp:posOffset>
            </wp:positionV>
            <wp:extent cx="7132320" cy="42862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32320" cy="428625"/>
                    </a:xfrm>
                    <a:prstGeom prst="rect">
                      <a:avLst/>
                    </a:prstGeom>
                    <a:noFill/>
                  </pic:spPr>
                </pic:pic>
              </a:graphicData>
            </a:graphic>
          </wp:anchor>
        </w:drawing>
      </w:r>
    </w:p>
    <w:p>
      <w:pPr>
        <w:spacing w:after="0" w:line="179"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085CE5"/>
        </w:rPr>
        <w:t>Age: 60</w:t>
      </w:r>
    </w:p>
    <w:p>
      <w:pPr>
        <w:spacing w:after="0" w:line="38" w:lineRule="exact"/>
        <w:rPr>
          <w:sz w:val="20"/>
          <w:szCs w:val="20"/>
          <w:color w:val="auto"/>
        </w:rPr>
      </w:pPr>
    </w:p>
    <w:p>
      <w:pPr>
        <w:ind w:left="20"/>
        <w:spacing w:after="0" w:line="211" w:lineRule="auto"/>
        <w:rPr>
          <w:sz w:val="20"/>
          <w:szCs w:val="20"/>
          <w:color w:val="auto"/>
        </w:rPr>
      </w:pPr>
      <w:r>
        <w:rPr>
          <w:rFonts w:ascii="Arial" w:cs="Arial" w:eastAsia="Arial" w:hAnsi="Arial"/>
          <w:sz w:val="20"/>
          <w:szCs w:val="20"/>
          <w:color w:val="auto"/>
        </w:rPr>
        <w:t>Mr. Adelson has served as Chief Executive Officer since July 2024 and as President since January 2022. He served as Chief Operating Officer from November 2019 until his appointment as Chief Executive Officer in July 2024. Mr. Adelson joined the</w:t>
      </w:r>
    </w:p>
    <w:p>
      <w:pPr>
        <w:spacing w:after="0" w:line="1" w:lineRule="exact"/>
        <w:rPr>
          <w:sz w:val="20"/>
          <w:szCs w:val="20"/>
          <w:color w:val="auto"/>
        </w:rPr>
      </w:pPr>
    </w:p>
    <w:p>
      <w:pPr>
        <w:ind w:left="20"/>
        <w:spacing w:after="0" w:line="204" w:lineRule="auto"/>
        <w:rPr>
          <w:sz w:val="20"/>
          <w:szCs w:val="20"/>
          <w:color w:val="auto"/>
        </w:rPr>
      </w:pPr>
      <w:r>
        <w:rPr>
          <w:rFonts w:ascii="Arial" w:cs="Arial" w:eastAsia="Arial" w:hAnsi="Arial"/>
          <w:sz w:val="20"/>
          <w:szCs w:val="20"/>
          <w:color w:val="auto"/>
        </w:rPr>
        <w:t>Company in 2011 as Group President of iPay Solutions, the Company’s online bill pay business unit. He was later promoted to General Manager of JHA Payment Solutions in 2014 and became an executive officer of the Company in 2018. Prior to joining</w:t>
      </w:r>
    </w:p>
    <w:p>
      <w:pPr>
        <w:spacing w:after="0" w:line="1" w:lineRule="exact"/>
        <w:rPr>
          <w:sz w:val="20"/>
          <w:szCs w:val="20"/>
          <w:color w:val="auto"/>
        </w:rPr>
      </w:pPr>
    </w:p>
    <w:p>
      <w:pPr>
        <w:ind w:left="20"/>
        <w:spacing w:after="0" w:line="232" w:lineRule="auto"/>
        <w:rPr>
          <w:sz w:val="20"/>
          <w:szCs w:val="20"/>
          <w:color w:val="auto"/>
        </w:rPr>
      </w:pPr>
      <w:r>
        <w:rPr>
          <w:rFonts w:ascii="Arial" w:cs="Arial" w:eastAsia="Arial" w:hAnsi="Arial"/>
          <w:sz w:val="20"/>
          <w:szCs w:val="20"/>
          <w:color w:val="auto"/>
        </w:rPr>
        <w:t>the Company, Mr. Adelson had several executive roles with payment processing companies, including Chief Operating Officer at National Processing Company and President at ChoicePay.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132320" cy="342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20"/>
        <w:spacing w:after="0"/>
        <w:tabs>
          <w:tab w:leader="none" w:pos="2240" w:val="left"/>
        </w:tabs>
        <w:rPr>
          <w:sz w:val="20"/>
          <w:szCs w:val="20"/>
          <w:color w:val="auto"/>
        </w:rPr>
      </w:pPr>
      <w:r>
        <w:rPr>
          <w:rFonts w:ascii="Arial" w:cs="Arial" w:eastAsia="Arial" w:hAnsi="Arial"/>
          <w:sz w:val="18"/>
          <w:szCs w:val="18"/>
          <w:b w:val="1"/>
          <w:bCs w:val="1"/>
          <w:color w:val="085CE5"/>
        </w:rPr>
        <w:t>Mimi L. Carsley</w:t>
      </w:r>
      <w:r>
        <w:rPr>
          <w:sz w:val="20"/>
          <w:szCs w:val="20"/>
          <w:color w:val="auto"/>
        </w:rPr>
        <w:tab/>
      </w:r>
      <w:r>
        <w:rPr>
          <w:rFonts w:ascii="Arial" w:cs="Arial" w:eastAsia="Arial" w:hAnsi="Arial"/>
          <w:sz w:val="17"/>
          <w:szCs w:val="17"/>
          <w:b w:val="1"/>
          <w:bCs w:val="1"/>
          <w:color w:val="auto"/>
        </w:rPr>
        <w:t>Chief Financial Officer and Treasurer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42862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32320" cy="428625"/>
                    </a:xfrm>
                    <a:prstGeom prst="rect">
                      <a:avLst/>
                    </a:prstGeom>
                    <a:noFill/>
                  </pic:spPr>
                </pic:pic>
              </a:graphicData>
            </a:graphic>
          </wp:anchor>
        </w:drawing>
      </w:r>
    </w:p>
    <w:p>
      <w:pPr>
        <w:spacing w:after="0" w:line="219"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085CE5"/>
        </w:rPr>
        <w:t>Age: 55</w:t>
      </w:r>
    </w:p>
    <w:p>
      <w:pPr>
        <w:spacing w:after="0" w:line="22" w:lineRule="exact"/>
        <w:rPr>
          <w:sz w:val="20"/>
          <w:szCs w:val="20"/>
          <w:color w:val="auto"/>
        </w:rPr>
      </w:pPr>
    </w:p>
    <w:p>
      <w:pPr>
        <w:ind w:left="20"/>
        <w:spacing w:after="0"/>
        <w:rPr>
          <w:sz w:val="20"/>
          <w:szCs w:val="20"/>
          <w:color w:val="auto"/>
        </w:rPr>
      </w:pPr>
      <w:r>
        <w:rPr>
          <w:rFonts w:ascii="Arial" w:cs="Arial" w:eastAsia="Arial" w:hAnsi="Arial"/>
          <w:sz w:val="19"/>
          <w:szCs w:val="19"/>
          <w:color w:val="auto"/>
        </w:rPr>
        <w:t>Ms. Carsley was appointed Chief Financial Officer and Treasurer in September 2022. Prior to joining the Company, Ms. Carsley</w:t>
      </w:r>
    </w:p>
    <w:p>
      <w:pPr>
        <w:ind w:left="20"/>
        <w:spacing w:after="0" w:line="204" w:lineRule="auto"/>
        <w:rPr>
          <w:sz w:val="20"/>
          <w:szCs w:val="20"/>
          <w:color w:val="auto"/>
        </w:rPr>
      </w:pPr>
      <w:r>
        <w:rPr>
          <w:rFonts w:ascii="Arial" w:cs="Arial" w:eastAsia="Arial" w:hAnsi="Arial"/>
          <w:sz w:val="20"/>
          <w:szCs w:val="20"/>
          <w:color w:val="auto"/>
        </w:rPr>
        <w:t>served in various roles for Blucora, Inc. (Nasdaq: BCOR), a provider of technology-enabled tax focused financial solutions, including as Treasurer and Senior Vice President of FP&amp;A and Procurement from 2020 to 2022, as Interim Chief Financial</w:t>
      </w:r>
    </w:p>
    <w:p>
      <w:pPr>
        <w:ind w:left="20"/>
        <w:spacing w:after="0" w:line="211" w:lineRule="auto"/>
        <w:rPr>
          <w:sz w:val="20"/>
          <w:szCs w:val="20"/>
          <w:color w:val="auto"/>
        </w:rPr>
      </w:pPr>
      <w:r>
        <w:rPr>
          <w:rFonts w:ascii="Arial" w:cs="Arial" w:eastAsia="Arial" w:hAnsi="Arial"/>
          <w:sz w:val="20"/>
          <w:szCs w:val="20"/>
          <w:color w:val="auto"/>
        </w:rPr>
        <w:t>Officer in 2020, and as a Financial Consultant contractor from 2018 to 2020. Ms. Carsley also served as Treasurer and</w:t>
      </w:r>
    </w:p>
    <w:p>
      <w:pPr>
        <w:spacing w:after="0" w:line="1" w:lineRule="exact"/>
        <w:rPr>
          <w:sz w:val="20"/>
          <w:szCs w:val="20"/>
          <w:color w:val="auto"/>
        </w:rPr>
      </w:pPr>
    </w:p>
    <w:p>
      <w:pPr>
        <w:ind w:left="20"/>
        <w:spacing w:after="0" w:line="204" w:lineRule="auto"/>
        <w:rPr>
          <w:sz w:val="20"/>
          <w:szCs w:val="20"/>
          <w:color w:val="auto"/>
        </w:rPr>
      </w:pPr>
      <w:r>
        <w:rPr>
          <w:rFonts w:ascii="Arial" w:cs="Arial" w:eastAsia="Arial" w:hAnsi="Arial"/>
          <w:sz w:val="20"/>
          <w:szCs w:val="20"/>
          <w:color w:val="auto"/>
        </w:rPr>
        <w:t>Executive Vice President of Corporate Development at LPL Financial Holdings, Inc. (Nasdaq: LPLA), a provider of investment and business solutions for independent financial advisors, from 2015 to 2017. Prior to this, Ms. Carsley spent more than a</w:t>
      </w:r>
    </w:p>
    <w:p>
      <w:pPr>
        <w:spacing w:after="0" w:line="1" w:lineRule="exact"/>
        <w:rPr>
          <w:sz w:val="20"/>
          <w:szCs w:val="20"/>
          <w:color w:val="auto"/>
        </w:rPr>
      </w:pPr>
    </w:p>
    <w:p>
      <w:pPr>
        <w:ind w:left="20"/>
        <w:spacing w:after="0" w:line="232" w:lineRule="auto"/>
        <w:rPr>
          <w:sz w:val="20"/>
          <w:szCs w:val="20"/>
          <w:color w:val="auto"/>
        </w:rPr>
      </w:pPr>
      <w:r>
        <w:rPr>
          <w:rFonts w:ascii="Arial" w:cs="Arial" w:eastAsia="Arial" w:hAnsi="Arial"/>
          <w:sz w:val="20"/>
          <w:szCs w:val="20"/>
          <w:color w:val="auto"/>
        </w:rPr>
        <w:t>decade at Microsoft Corporation (Nasdaq: MSFT) in several roles, culminating in the position of Senior Director Strategy, Entertainment and Devices Division.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132320" cy="342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440055</wp:posOffset>
            </wp:positionV>
            <wp:extent cx="7132320" cy="3511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32320" cy="3511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20"/>
        <w:spacing w:after="0"/>
        <w:tabs>
          <w:tab w:leader="none" w:pos="440" w:val="left"/>
        </w:tabs>
        <w:rPr>
          <w:sz w:val="20"/>
          <w:szCs w:val="20"/>
          <w:color w:val="auto"/>
        </w:rPr>
      </w:pPr>
      <w:r>
        <w:rPr>
          <w:rFonts w:ascii="Arial" w:cs="Arial" w:eastAsia="Arial" w:hAnsi="Arial"/>
          <w:sz w:val="18"/>
          <w:szCs w:val="18"/>
          <w:color w:val="auto"/>
        </w:rPr>
        <w:t>26</w:t>
        <w:tab/>
        <w:t>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262255</wp:posOffset>
            </wp:positionV>
            <wp:extent cx="715772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81" w:right="359" w:bottom="1440" w:gutter="0" w:footer="0" w:header="0"/>
        </w:sectPr>
      </w:pPr>
    </w:p>
    <w:bookmarkStart w:id="29" w:name="page30"/>
    <w:bookmarkEnd w:id="29"/>
    <w:p>
      <w:pPr>
        <w:spacing w:after="0"/>
        <w:tabs>
          <w:tab w:leader="none" w:pos="2220" w:val="left"/>
        </w:tabs>
        <w:rPr>
          <w:sz w:val="20"/>
          <w:szCs w:val="20"/>
          <w:color w:val="auto"/>
        </w:rPr>
      </w:pPr>
      <w:r>
        <w:rPr>
          <w:rFonts w:ascii="Arial" w:cs="Arial" w:eastAsia="Arial" w:hAnsi="Arial"/>
          <w:sz w:val="18"/>
          <w:szCs w:val="18"/>
          <w:b w:val="1"/>
          <w:bCs w:val="1"/>
          <w:color w:val="085CE5"/>
        </w:rPr>
        <w:t>Craig K. Morgan</w:t>
      </w:r>
      <w:r>
        <w:rPr>
          <w:sz w:val="20"/>
          <w:szCs w:val="20"/>
          <w:color w:val="auto"/>
        </w:rPr>
        <w:tab/>
      </w:r>
      <w:r>
        <w:rPr>
          <w:rFonts w:ascii="Arial" w:cs="Arial" w:eastAsia="Arial" w:hAnsi="Arial"/>
          <w:sz w:val="18"/>
          <w:szCs w:val="18"/>
          <w:b w:val="1"/>
          <w:bCs w:val="1"/>
          <w:color w:val="auto"/>
        </w:rPr>
        <w:t>General Counsel and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-127635</wp:posOffset>
            </wp:positionV>
            <wp:extent cx="7132320" cy="42862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32320" cy="428625"/>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085CE5"/>
        </w:rPr>
        <w:t>Age: 48</w:t>
      </w:r>
    </w:p>
    <w:p>
      <w:pPr>
        <w:spacing w:after="0" w:line="10" w:lineRule="exact"/>
        <w:rPr>
          <w:sz w:val="20"/>
          <w:szCs w:val="20"/>
          <w:color w:val="auto"/>
        </w:rPr>
      </w:pPr>
    </w:p>
    <w:p>
      <w:pPr>
        <w:spacing w:after="0"/>
        <w:rPr>
          <w:sz w:val="20"/>
          <w:szCs w:val="20"/>
          <w:color w:val="auto"/>
        </w:rPr>
      </w:pPr>
      <w:r>
        <w:rPr>
          <w:rFonts w:ascii="Arial" w:cs="Arial" w:eastAsia="Arial" w:hAnsi="Arial"/>
          <w:sz w:val="20"/>
          <w:szCs w:val="20"/>
          <w:color w:val="auto"/>
        </w:rPr>
        <w:t>Mr. Morgan was named General Counsel and Secretary in November 2016. He oversees the legal and corporate responsibility</w:t>
      </w:r>
    </w:p>
    <w:p>
      <w:pPr>
        <w:spacing w:after="0" w:line="215" w:lineRule="auto"/>
        <w:rPr>
          <w:sz w:val="20"/>
          <w:szCs w:val="20"/>
          <w:color w:val="auto"/>
        </w:rPr>
      </w:pPr>
      <w:r>
        <w:rPr>
          <w:rFonts w:ascii="Arial" w:cs="Arial" w:eastAsia="Arial" w:hAnsi="Arial"/>
          <w:sz w:val="19"/>
          <w:szCs w:val="19"/>
          <w:color w:val="auto"/>
        </w:rPr>
        <w:t>functions of the Company. Mr. Morgan had previously served as Managing Corporate Counsel and has served in multiple roles in the Legal Department since joining the Company in 2004. Prior to joining the Company, Mr. Morgan worked in research and</w:t>
      </w:r>
    </w:p>
    <w:p>
      <w:pPr>
        <w:spacing w:after="0"/>
        <w:rPr>
          <w:sz w:val="20"/>
          <w:szCs w:val="20"/>
          <w:color w:val="auto"/>
        </w:rPr>
      </w:pPr>
      <w:r>
        <w:rPr>
          <w:rFonts w:ascii="Arial" w:cs="Arial" w:eastAsia="Arial" w:hAnsi="Arial"/>
          <w:sz w:val="20"/>
          <w:szCs w:val="20"/>
          <w:color w:val="auto"/>
        </w:rPr>
        <w:t>development in the biotechnology industry.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165100</wp:posOffset>
            </wp:positionV>
            <wp:extent cx="7132320" cy="342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tabs>
          <w:tab w:leader="none" w:pos="2220" w:val="left"/>
        </w:tabs>
        <w:rPr>
          <w:sz w:val="20"/>
          <w:szCs w:val="20"/>
          <w:color w:val="auto"/>
        </w:rPr>
      </w:pPr>
      <w:r>
        <w:rPr>
          <w:rFonts w:ascii="Arial" w:cs="Arial" w:eastAsia="Arial" w:hAnsi="Arial"/>
          <w:sz w:val="18"/>
          <w:szCs w:val="18"/>
          <w:b w:val="1"/>
          <w:bCs w:val="1"/>
          <w:color w:val="085CE5"/>
        </w:rPr>
        <w:t>Shanon G. McLachlan</w:t>
      </w:r>
      <w:r>
        <w:rPr>
          <w:sz w:val="20"/>
          <w:szCs w:val="20"/>
          <w:color w:val="auto"/>
        </w:rPr>
        <w:tab/>
      </w:r>
      <w:r>
        <w:rPr>
          <w:rFonts w:ascii="Arial" w:cs="Arial" w:eastAsia="Arial" w:hAnsi="Arial"/>
          <w:sz w:val="18"/>
          <w:szCs w:val="18"/>
          <w:b w:val="1"/>
          <w:bCs w:val="1"/>
          <w:color w:val="auto"/>
        </w:rPr>
        <w:t>Senior Vice President and Chief Operating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-127635</wp:posOffset>
            </wp:positionV>
            <wp:extent cx="7132320" cy="57404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32320" cy="57404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085CE5"/>
        </w:rPr>
        <w:t>Age: 57</w:t>
      </w:r>
    </w:p>
    <w:p>
      <w:pPr>
        <w:spacing w:after="0" w:line="38" w:lineRule="exact"/>
        <w:rPr>
          <w:sz w:val="20"/>
          <w:szCs w:val="20"/>
          <w:color w:val="auto"/>
        </w:rPr>
      </w:pPr>
    </w:p>
    <w:p>
      <w:pPr>
        <w:spacing w:after="0" w:line="215" w:lineRule="auto"/>
        <w:rPr>
          <w:sz w:val="20"/>
          <w:szCs w:val="20"/>
          <w:color w:val="auto"/>
        </w:rPr>
      </w:pPr>
      <w:r>
        <w:rPr>
          <w:rFonts w:ascii="Arial" w:cs="Arial" w:eastAsia="Arial" w:hAnsi="Arial"/>
          <w:sz w:val="19"/>
          <w:szCs w:val="19"/>
          <w:color w:val="auto"/>
        </w:rPr>
        <w:t>Mr. McLachlan was appointed Senior Vice President and Chief Operating Officer on July 1, 2024. Mr. McLachlan is responsible for all business lines, operations, and infrastructure of the Company. Prior to his current role, he served as Vice President of the</w:t>
      </w:r>
    </w:p>
    <w:p>
      <w:pPr>
        <w:spacing w:after="0" w:line="211" w:lineRule="auto"/>
        <w:rPr>
          <w:sz w:val="20"/>
          <w:szCs w:val="20"/>
          <w:color w:val="auto"/>
        </w:rPr>
      </w:pPr>
      <w:r>
        <w:rPr>
          <w:rFonts w:ascii="Arial" w:cs="Arial" w:eastAsia="Arial" w:hAnsi="Arial"/>
          <w:sz w:val="20"/>
          <w:szCs w:val="20"/>
          <w:color w:val="auto"/>
        </w:rPr>
        <w:t>Company and as President of Credit Union Solutions (previously Symitar), a position he held starting in 2019. He joined Jack</w:t>
      </w:r>
    </w:p>
    <w:p>
      <w:pPr>
        <w:spacing w:after="0" w:line="197" w:lineRule="auto"/>
        <w:rPr>
          <w:sz w:val="20"/>
          <w:szCs w:val="20"/>
          <w:color w:val="auto"/>
        </w:rPr>
      </w:pPr>
      <w:r>
        <w:rPr>
          <w:rFonts w:ascii="Arial" w:cs="Arial" w:eastAsia="Arial" w:hAnsi="Arial"/>
          <w:sz w:val="20"/>
          <w:szCs w:val="20"/>
          <w:color w:val="auto"/>
        </w:rPr>
        <w:t>Henry in 2015 and served as Senior Managing Director of ProfitStars from 2015 to 2019. Prior to joining Jack Henry, Mr.</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color w:val="auto"/>
        </w:rPr>
        <w:t>McLachlan held various leadership positions at a core systems company where he supported both banks and credit unions.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165100</wp:posOffset>
            </wp:positionV>
            <wp:extent cx="7132320" cy="342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tabs>
          <w:tab w:leader="none" w:pos="2220" w:val="left"/>
        </w:tabs>
        <w:rPr>
          <w:sz w:val="20"/>
          <w:szCs w:val="20"/>
          <w:color w:val="auto"/>
        </w:rPr>
      </w:pPr>
      <w:r>
        <w:rPr>
          <w:rFonts w:ascii="Arial" w:cs="Arial" w:eastAsia="Arial" w:hAnsi="Arial"/>
          <w:sz w:val="18"/>
          <w:szCs w:val="18"/>
          <w:b w:val="1"/>
          <w:bCs w:val="1"/>
          <w:color w:val="085CE5"/>
        </w:rPr>
        <w:t>Renee A. Swearingen</w:t>
      </w:r>
      <w:r>
        <w:rPr>
          <w:sz w:val="20"/>
          <w:szCs w:val="20"/>
          <w:color w:val="auto"/>
        </w:rPr>
        <w:tab/>
      </w:r>
      <w:r>
        <w:rPr>
          <w:rFonts w:ascii="Arial" w:cs="Arial" w:eastAsia="Arial" w:hAnsi="Arial"/>
          <w:sz w:val="17"/>
          <w:szCs w:val="17"/>
          <w:b w:val="1"/>
          <w:bCs w:val="1"/>
          <w:color w:val="auto"/>
        </w:rPr>
        <w:t>Senior Vice President, Chief Accounting Officer, and Assistant Treasurer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-127635</wp:posOffset>
            </wp:positionV>
            <wp:extent cx="7132320" cy="50609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32320" cy="506095"/>
                    </a:xfrm>
                    <a:prstGeom prst="rect">
                      <a:avLst/>
                    </a:prstGeom>
                    <a:noFill/>
                  </pic:spPr>
                </pic:pic>
              </a:graphicData>
            </a:graphic>
          </wp:anchor>
        </w:drawing>
      </w:r>
    </w:p>
    <w:p>
      <w:pPr>
        <w:spacing w:after="0" w:line="340" w:lineRule="exact"/>
        <w:rPr>
          <w:sz w:val="20"/>
          <w:szCs w:val="20"/>
          <w:color w:val="auto"/>
        </w:rPr>
      </w:pPr>
    </w:p>
    <w:p>
      <w:pPr>
        <w:spacing w:after="0"/>
        <w:rPr>
          <w:sz w:val="20"/>
          <w:szCs w:val="20"/>
          <w:color w:val="auto"/>
        </w:rPr>
      </w:pPr>
      <w:r>
        <w:rPr>
          <w:rFonts w:ascii="Arial" w:cs="Arial" w:eastAsia="Arial" w:hAnsi="Arial"/>
          <w:sz w:val="18"/>
          <w:szCs w:val="18"/>
          <w:b w:val="1"/>
          <w:bCs w:val="1"/>
          <w:color w:val="085CE5"/>
        </w:rPr>
        <w:t>Age: 56</w:t>
      </w:r>
    </w:p>
    <w:p>
      <w:pPr>
        <w:spacing w:after="0" w:line="38" w:lineRule="exact"/>
        <w:rPr>
          <w:sz w:val="20"/>
          <w:szCs w:val="20"/>
          <w:color w:val="auto"/>
        </w:rPr>
      </w:pPr>
    </w:p>
    <w:p>
      <w:pPr>
        <w:spacing w:after="0" w:line="222" w:lineRule="auto"/>
        <w:rPr>
          <w:sz w:val="20"/>
          <w:szCs w:val="20"/>
          <w:color w:val="auto"/>
        </w:rPr>
      </w:pPr>
      <w:r>
        <w:rPr>
          <w:rFonts w:ascii="Arial" w:cs="Arial" w:eastAsia="Arial" w:hAnsi="Arial"/>
          <w:sz w:val="19"/>
          <w:szCs w:val="19"/>
          <w:color w:val="auto"/>
        </w:rPr>
        <w:t>Ms. Swearingen was appointed Senior Vice President and Chief Accounting Officer in May 2022. She oversees the accounting, finance, tax, external reporting, procurement, and facilities functions of the Company. She joined the Company in 1996 and</w:t>
      </w:r>
    </w:p>
    <w:p>
      <w:pPr>
        <w:spacing w:after="0" w:line="1" w:lineRule="exact"/>
        <w:rPr>
          <w:sz w:val="20"/>
          <w:szCs w:val="20"/>
          <w:color w:val="auto"/>
        </w:rPr>
      </w:pPr>
    </w:p>
    <w:p>
      <w:pPr>
        <w:jc w:val="both"/>
        <w:spacing w:after="0" w:line="204" w:lineRule="auto"/>
        <w:rPr>
          <w:sz w:val="20"/>
          <w:szCs w:val="20"/>
          <w:color w:val="auto"/>
        </w:rPr>
      </w:pPr>
      <w:r>
        <w:rPr>
          <w:rFonts w:ascii="Arial" w:cs="Arial" w:eastAsia="Arial" w:hAnsi="Arial"/>
          <w:sz w:val="20"/>
          <w:szCs w:val="20"/>
          <w:color w:val="auto"/>
        </w:rPr>
        <w:t>served in various roles within the Company’s financial function including as Controller of the Company from 2001 to 2022 and as the Vice President of Finance and Procurement for the Company from 2021 to 2022. Prior to joining the Company, Ms.</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color w:val="auto"/>
        </w:rPr>
        <w:t>Swearingen was a practicing CPA at FORVIS, a large public accounting firm.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156210</wp:posOffset>
            </wp:positionV>
            <wp:extent cx="7132320" cy="342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910590</wp:posOffset>
            </wp:positionV>
            <wp:extent cx="7132320" cy="3511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32320" cy="3511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right"/>
        <w:spacing w:after="0"/>
        <w:tabs>
          <w:tab w:leader="none" w:pos="180" w:val="left"/>
        </w:tabs>
        <w:rPr>
          <w:sz w:val="20"/>
          <w:szCs w:val="20"/>
          <w:color w:val="auto"/>
        </w:rPr>
      </w:pPr>
      <w:r>
        <w:rPr>
          <w:rFonts w:ascii="Arial" w:cs="Arial" w:eastAsia="Arial" w:hAnsi="Arial"/>
          <w:sz w:val="18"/>
          <w:szCs w:val="18"/>
          <w:color w:val="auto"/>
        </w:rPr>
        <w:t>2024 Proxy Statement</w:t>
      </w:r>
      <w:r>
        <w:rPr>
          <w:sz w:val="20"/>
          <w:szCs w:val="20"/>
          <w:color w:val="auto"/>
        </w:rPr>
        <w:tab/>
      </w:r>
      <w:r>
        <w:rPr>
          <w:rFonts w:ascii="Arial" w:cs="Arial" w:eastAsia="Arial" w:hAnsi="Arial"/>
          <w:sz w:val="17"/>
          <w:szCs w:val="17"/>
          <w:color w:val="1E3767"/>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262255</wp:posOffset>
            </wp:positionV>
            <wp:extent cx="7157720"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931" w:right="359" w:bottom="1440" w:gutter="0" w:footer="0" w:header="0"/>
        </w:sectPr>
      </w:pPr>
    </w:p>
    <w:bookmarkStart w:id="30" w:name="page31"/>
    <w:bookmarkEnd w:id="30"/>
    <w:p>
      <w:pPr>
        <w:jc w:val="center"/>
        <w:spacing w:after="0"/>
        <w:rPr>
          <w:sz w:val="20"/>
          <w:szCs w:val="20"/>
          <w:color w:val="auto"/>
        </w:rPr>
      </w:pPr>
      <w:r>
        <w:rPr>
          <w:rFonts w:ascii="Arial" w:cs="Arial" w:eastAsia="Arial" w:hAnsi="Arial"/>
          <w:sz w:val="22"/>
          <w:szCs w:val="22"/>
          <w:b w:val="1"/>
          <w:bCs w:val="1"/>
          <w:color w:val="auto"/>
        </w:rPr>
        <w:t>HUMAN CAPITAL &amp; COMPENSATION COMMITTEE REPORT</w:t>
      </w:r>
    </w:p>
    <w:p>
      <w:pPr>
        <w:spacing w:after="0" w:line="267" w:lineRule="exact"/>
        <w:rPr>
          <w:sz w:val="20"/>
          <w:szCs w:val="20"/>
          <w:color w:val="auto"/>
        </w:rPr>
      </w:pPr>
    </w:p>
    <w:p>
      <w:pPr>
        <w:jc w:val="both"/>
        <w:spacing w:after="0" w:line="269" w:lineRule="auto"/>
        <w:rPr>
          <w:sz w:val="20"/>
          <w:szCs w:val="20"/>
          <w:color w:val="auto"/>
        </w:rPr>
      </w:pPr>
      <w:r>
        <w:rPr>
          <w:rFonts w:ascii="Arial" w:cs="Arial" w:eastAsia="Arial" w:hAnsi="Arial"/>
          <w:sz w:val="20"/>
          <w:szCs w:val="20"/>
          <w:color w:val="auto"/>
        </w:rPr>
        <w:t>The Human Capital &amp; Compensation Committee of the Company has reviewed and discussed the following Compensation Discussion and Analysis required by Item 402(b) of Regulation S-K with management and, based on such review and discussions, the Human Capital &amp; Compensation Committee recommended to the Board that the following Compensation Discussion and Analysis be included in this Proxy Statement.</w:t>
      </w:r>
    </w:p>
    <w:p>
      <w:pPr>
        <w:spacing w:after="0" w:line="191" w:lineRule="exact"/>
        <w:rPr>
          <w:sz w:val="20"/>
          <w:szCs w:val="20"/>
          <w:color w:val="auto"/>
        </w:rPr>
      </w:pPr>
    </w:p>
    <w:p>
      <w:pPr>
        <w:ind w:left="4540"/>
        <w:spacing w:after="0"/>
        <w:rPr>
          <w:sz w:val="20"/>
          <w:szCs w:val="20"/>
          <w:color w:val="auto"/>
        </w:rPr>
      </w:pPr>
      <w:r>
        <w:rPr>
          <w:rFonts w:ascii="Arial" w:cs="Arial" w:eastAsia="Arial" w:hAnsi="Arial"/>
          <w:sz w:val="20"/>
          <w:szCs w:val="20"/>
          <w:b w:val="1"/>
          <w:bCs w:val="1"/>
          <w:color w:val="auto"/>
        </w:rPr>
        <w:t xml:space="preserve">Human Capital &amp; </w:t>
      </w:r>
      <w:r>
        <w:rPr>
          <w:rFonts w:ascii="Arial" w:cs="Arial" w:eastAsia="Arial" w:hAnsi="Arial"/>
          <w:sz w:val="21"/>
          <w:szCs w:val="21"/>
          <w:b w:val="1"/>
          <w:bCs w:val="1"/>
          <w:color w:val="auto"/>
        </w:rPr>
        <w:t>Compensation Committee*</w:t>
      </w:r>
    </w:p>
    <w:p>
      <w:pPr>
        <w:spacing w:after="0" w:line="53" w:lineRule="exact"/>
        <w:rPr>
          <w:sz w:val="20"/>
          <w:szCs w:val="20"/>
          <w:color w:val="auto"/>
        </w:rPr>
      </w:pPr>
    </w:p>
    <w:p>
      <w:pPr>
        <w:ind w:left="4540"/>
        <w:spacing w:after="0"/>
        <w:rPr>
          <w:sz w:val="20"/>
          <w:szCs w:val="20"/>
          <w:color w:val="auto"/>
        </w:rPr>
      </w:pPr>
      <w:r>
        <w:rPr>
          <w:rFonts w:ascii="Arial" w:cs="Arial" w:eastAsia="Arial" w:hAnsi="Arial"/>
          <w:sz w:val="20"/>
          <w:szCs w:val="20"/>
          <w:color w:val="auto"/>
        </w:rPr>
        <w:t>Shruti S. Miyashiro, Chair</w:t>
      </w:r>
    </w:p>
    <w:p>
      <w:pPr>
        <w:spacing w:after="0" w:line="13" w:lineRule="exact"/>
        <w:rPr>
          <w:sz w:val="20"/>
          <w:szCs w:val="20"/>
          <w:color w:val="auto"/>
        </w:rPr>
      </w:pPr>
    </w:p>
    <w:p>
      <w:pPr>
        <w:ind w:left="4540"/>
        <w:spacing w:after="0"/>
        <w:rPr>
          <w:sz w:val="20"/>
          <w:szCs w:val="20"/>
          <w:color w:val="auto"/>
        </w:rPr>
      </w:pPr>
      <w:r>
        <w:rPr>
          <w:rFonts w:ascii="Arial" w:cs="Arial" w:eastAsia="Arial" w:hAnsi="Arial"/>
          <w:sz w:val="20"/>
          <w:szCs w:val="20"/>
          <w:color w:val="auto"/>
        </w:rPr>
        <w:t>Matthew C. Flanigan</w:t>
      </w:r>
    </w:p>
    <w:p>
      <w:pPr>
        <w:spacing w:after="0" w:line="26" w:lineRule="exact"/>
        <w:rPr>
          <w:sz w:val="20"/>
          <w:szCs w:val="20"/>
          <w:color w:val="auto"/>
        </w:rPr>
      </w:pPr>
    </w:p>
    <w:p>
      <w:pPr>
        <w:ind w:left="4540"/>
        <w:spacing w:after="0"/>
        <w:rPr>
          <w:sz w:val="20"/>
          <w:szCs w:val="20"/>
          <w:color w:val="auto"/>
        </w:rPr>
      </w:pPr>
      <w:r>
        <w:rPr>
          <w:rFonts w:ascii="Arial" w:cs="Arial" w:eastAsia="Arial" w:hAnsi="Arial"/>
          <w:sz w:val="20"/>
          <w:szCs w:val="20"/>
          <w:color w:val="auto"/>
        </w:rPr>
        <w:t>Thomas H. Wilson, Jr.</w:t>
      </w:r>
    </w:p>
    <w:p>
      <w:pPr>
        <w:spacing w:after="0" w:line="13" w:lineRule="exact"/>
        <w:rPr>
          <w:sz w:val="20"/>
          <w:szCs w:val="20"/>
          <w:color w:val="auto"/>
        </w:rPr>
      </w:pPr>
    </w:p>
    <w:p>
      <w:pPr>
        <w:ind w:left="4540"/>
        <w:spacing w:after="0"/>
        <w:rPr>
          <w:sz w:val="20"/>
          <w:szCs w:val="20"/>
          <w:color w:val="auto"/>
        </w:rPr>
      </w:pPr>
      <w:r>
        <w:rPr>
          <w:rFonts w:ascii="Arial" w:cs="Arial" w:eastAsia="Arial" w:hAnsi="Arial"/>
          <w:sz w:val="20"/>
          <w:szCs w:val="20"/>
          <w:color w:val="auto"/>
        </w:rPr>
        <w:t>Wesley A. Brown</w:t>
      </w:r>
    </w:p>
    <w:p>
      <w:pPr>
        <w:spacing w:after="0" w:line="252" w:lineRule="exact"/>
        <w:rPr>
          <w:sz w:val="20"/>
          <w:szCs w:val="20"/>
          <w:color w:val="auto"/>
        </w:rPr>
      </w:pPr>
    </w:p>
    <w:p>
      <w:pPr>
        <w:jc w:val="both"/>
        <w:ind w:firstLine="8"/>
        <w:spacing w:after="0" w:line="265" w:lineRule="auto"/>
        <w:tabs>
          <w:tab w:leader="none" w:pos="146" w:val="left"/>
        </w:tabs>
        <w:numPr>
          <w:ilvl w:val="0"/>
          <w:numId w:val="9"/>
        </w:numPr>
        <w:rPr>
          <w:rFonts w:ascii="Arial" w:cs="Arial" w:eastAsia="Arial" w:hAnsi="Arial"/>
          <w:sz w:val="20"/>
          <w:szCs w:val="20"/>
          <w:color w:val="auto"/>
        </w:rPr>
      </w:pPr>
      <w:r>
        <w:rPr>
          <w:rFonts w:ascii="Arial" w:cs="Arial" w:eastAsia="Arial" w:hAnsi="Arial"/>
          <w:sz w:val="20"/>
          <w:szCs w:val="20"/>
          <w:color w:val="auto"/>
        </w:rPr>
        <w:t>Curtis A. Campbell and Tammy S. LoCascio were appointed as members of the Human Capital &amp; Compensation Committee effective August 23, 2024, and, as a result, neither Mr. Campbell nor Ms. LoCascio participated in the review, discussions, and recommendation with respect to the above Compensation Discussion and Analysis. Thomas H. Wilson, Jr. and Wesley A. Brown, former members of the Human Capital &amp; Compensation Committee who participated in such review, discussions, and recommendation, were removed as members of the committee on August 23,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184785</wp:posOffset>
            </wp:positionV>
            <wp:extent cx="7132320" cy="3511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32320" cy="351155"/>
                    </a:xfrm>
                    <a:prstGeom prst="rect">
                      <a:avLst/>
                    </a:prstGeom>
                    <a:noFill/>
                  </pic:spPr>
                </pic:pic>
              </a:graphicData>
            </a:graphic>
          </wp:anchor>
        </w:drawing>
      </w:r>
    </w:p>
    <w:p>
      <w:pPr>
        <w:spacing w:after="0" w:line="200" w:lineRule="exact"/>
        <w:rPr>
          <w:sz w:val="20"/>
          <w:szCs w:val="20"/>
          <w:color w:val="auto"/>
        </w:rPr>
      </w:pPr>
    </w:p>
    <w:p>
      <w:pPr>
        <w:spacing w:after="0" w:line="282" w:lineRule="exact"/>
        <w:rPr>
          <w:sz w:val="20"/>
          <w:szCs w:val="20"/>
          <w:color w:val="auto"/>
        </w:rPr>
      </w:pPr>
    </w:p>
    <w:p>
      <w:pPr>
        <w:ind w:left="20"/>
        <w:spacing w:after="0"/>
        <w:tabs>
          <w:tab w:leader="none" w:pos="440" w:val="left"/>
        </w:tabs>
        <w:rPr>
          <w:sz w:val="20"/>
          <w:szCs w:val="20"/>
          <w:color w:val="auto"/>
        </w:rPr>
      </w:pPr>
      <w:r>
        <w:rPr>
          <w:rFonts w:ascii="Arial" w:cs="Arial" w:eastAsia="Arial" w:hAnsi="Arial"/>
          <w:sz w:val="18"/>
          <w:szCs w:val="18"/>
          <w:color w:val="auto"/>
        </w:rPr>
        <w:t>28</w:t>
        <w:tab/>
        <w:t>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253365</wp:posOffset>
            </wp:positionV>
            <wp:extent cx="7157720"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7" w:right="339" w:bottom="1440" w:gutter="0" w:footer="0" w:header="0"/>
        </w:sectPr>
      </w:pPr>
    </w:p>
    <w:bookmarkStart w:id="31" w:name="page32"/>
    <w:bookmarkEnd w:id="31"/>
    <w:p>
      <w:pPr>
        <w:jc w:val="center"/>
        <w:spacing w:after="0"/>
        <w:rPr>
          <w:sz w:val="20"/>
          <w:szCs w:val="20"/>
          <w:color w:val="auto"/>
        </w:rPr>
      </w:pPr>
      <w:r>
        <w:rPr>
          <w:rFonts w:ascii="Arial" w:cs="Arial" w:eastAsia="Arial" w:hAnsi="Arial"/>
          <w:sz w:val="22"/>
          <w:szCs w:val="22"/>
          <w:b w:val="1"/>
          <w:bCs w:val="1"/>
          <w:color w:val="auto"/>
        </w:rPr>
        <w:t>COMPENSATION DISCUSSION AND ANALYSIS</w:t>
      </w:r>
    </w:p>
    <w:p>
      <w:pPr>
        <w:spacing w:after="0" w:line="253" w:lineRule="exact"/>
        <w:rPr>
          <w:sz w:val="20"/>
          <w:szCs w:val="20"/>
          <w:color w:val="auto"/>
        </w:rPr>
      </w:pPr>
    </w:p>
    <w:p>
      <w:pPr>
        <w:jc w:val="both"/>
        <w:spacing w:after="0" w:line="276" w:lineRule="auto"/>
        <w:rPr>
          <w:sz w:val="20"/>
          <w:szCs w:val="20"/>
          <w:color w:val="auto"/>
        </w:rPr>
      </w:pPr>
      <w:r>
        <w:rPr>
          <w:rFonts w:ascii="Arial" w:cs="Arial" w:eastAsia="Arial" w:hAnsi="Arial"/>
          <w:sz w:val="20"/>
          <w:szCs w:val="20"/>
          <w:color w:val="auto"/>
        </w:rPr>
        <w:t>You will have the opportunity to cast an advisory vote on Jack Henry’s executive compensation at this year’s Annual Meeting (our “say on pay” vote), included as Proposal 2 in this proxy statement (page 68). We encourage you to review this section prior to casting your “say on pay” advisory vote.</w:t>
      </w:r>
    </w:p>
    <w:p>
      <w:pPr>
        <w:spacing w:after="0" w:line="192" w:lineRule="exact"/>
        <w:rPr>
          <w:sz w:val="20"/>
          <w:szCs w:val="20"/>
          <w:color w:val="auto"/>
        </w:rPr>
      </w:pPr>
    </w:p>
    <w:p>
      <w:pPr>
        <w:jc w:val="both"/>
        <w:spacing w:after="0" w:line="282" w:lineRule="auto"/>
        <w:rPr>
          <w:sz w:val="20"/>
          <w:szCs w:val="20"/>
          <w:color w:val="auto"/>
        </w:rPr>
      </w:pPr>
      <w:r>
        <w:rPr>
          <w:rFonts w:ascii="Arial" w:cs="Arial" w:eastAsia="Arial" w:hAnsi="Arial"/>
          <w:sz w:val="19"/>
          <w:szCs w:val="19"/>
          <w:color w:val="auto"/>
        </w:rPr>
        <w:t>At the Company’s Annual Meeting of Stockholders held in November 2023, 94% of the votes cast on say-on-pay at that meeting were voted in favor of the proposal. The Human Capital &amp; Compensation Committee (the “HC&amp;C Committee”) believes this vote strongly affirms the stockholders’ support of the Company’s approach to executive compensation, and the HC&amp;C Committee did not significantly change its basic approach to compensation of the named executive officers (“Named Executives”) in fiscal 2024. The HC&amp;C Committee believes that stockholder input on executive compensation is crucial and will continue to consider the outcome of the Company’s say-on-pay votes when making future compensation decisions for the Named Executives.</w:t>
      </w:r>
    </w:p>
    <w:p>
      <w:pPr>
        <w:spacing w:after="0" w:line="188" w:lineRule="exact"/>
        <w:rPr>
          <w:sz w:val="20"/>
          <w:szCs w:val="20"/>
          <w:color w:val="auto"/>
        </w:rPr>
      </w:pPr>
    </w:p>
    <w:p>
      <w:pPr>
        <w:jc w:val="both"/>
        <w:spacing w:after="0" w:line="269" w:lineRule="auto"/>
        <w:rPr>
          <w:sz w:val="20"/>
          <w:szCs w:val="20"/>
          <w:color w:val="auto"/>
        </w:rPr>
      </w:pPr>
      <w:r>
        <w:rPr>
          <w:rFonts w:ascii="Arial" w:cs="Arial" w:eastAsia="Arial" w:hAnsi="Arial"/>
          <w:sz w:val="20"/>
          <w:szCs w:val="20"/>
          <w:color w:val="auto"/>
        </w:rPr>
        <w:t>This Compensation Discussion and Analysis is designed to provide information regarding the philosophy and objectives underlying our compensation policies, the processes we follow in setting compensation, the components we utilize in compensating our top executives, and the resulting compensation outcomes. This discussion is focused on the following “Named Executives” as of June 30, 2024.</w:t>
      </w:r>
    </w:p>
    <w:p>
      <w:pPr>
        <w:spacing w:after="0" w:line="246" w:lineRule="exact"/>
        <w:rPr>
          <w:sz w:val="20"/>
          <w:szCs w:val="20"/>
          <w:color w:val="auto"/>
        </w:rPr>
      </w:pPr>
    </w:p>
    <w:tbl>
      <w:tblPr>
        <w:tblLayout w:type="fixed"/>
        <w:tblInd w:w="1040" w:type="dxa"/>
        <w:tblCellMar>
          <w:top w:w="0" w:type="dxa"/>
          <w:left w:w="0" w:type="dxa"/>
          <w:bottom w:w="0" w:type="dxa"/>
          <w:right w:w="0" w:type="dxa"/>
        </w:tblCellMar>
      </w:tblPr>
      <w:tr>
        <w:trPr>
          <w:trHeight w:val="229"/>
        </w:trPr>
        <w:tc>
          <w:tcPr>
            <w:tcW w:w="2000" w:type="dxa"/>
            <w:vAlign w:val="bottom"/>
            <w:tcBorders>
              <w:bottom w:val="single" w:sz="8" w:color="auto"/>
            </w:tcBorders>
            <w:shd w:val="clear" w:color="auto" w:fill="E8F7F7"/>
          </w:tcPr>
          <w:p>
            <w:pPr>
              <w:ind w:left="20"/>
              <w:spacing w:after="0"/>
              <w:rPr>
                <w:sz w:val="20"/>
                <w:szCs w:val="20"/>
                <w:color w:val="auto"/>
              </w:rPr>
            </w:pPr>
            <w:r>
              <w:rPr>
                <w:rFonts w:ascii="Arial" w:cs="Arial" w:eastAsia="Arial" w:hAnsi="Arial"/>
                <w:sz w:val="18"/>
                <w:szCs w:val="18"/>
                <w:b w:val="1"/>
                <w:bCs w:val="1"/>
                <w:color w:val="auto"/>
              </w:rPr>
              <w:t>Named Executive</w:t>
            </w:r>
          </w:p>
        </w:tc>
        <w:tc>
          <w:tcPr>
            <w:tcW w:w="7180" w:type="dxa"/>
            <w:vAlign w:val="bottom"/>
            <w:tcBorders>
              <w:bottom w:val="single" w:sz="8" w:color="auto"/>
            </w:tcBorders>
            <w:shd w:val="clear" w:color="auto" w:fill="E8F7F7"/>
          </w:tcPr>
          <w:p>
            <w:pPr>
              <w:ind w:left="3520"/>
              <w:spacing w:after="0"/>
              <w:rPr>
                <w:sz w:val="20"/>
                <w:szCs w:val="20"/>
                <w:color w:val="auto"/>
              </w:rPr>
            </w:pPr>
            <w:r>
              <w:rPr>
                <w:rFonts w:ascii="Arial" w:cs="Arial" w:eastAsia="Arial" w:hAnsi="Arial"/>
                <w:sz w:val="18"/>
                <w:szCs w:val="18"/>
                <w:b w:val="1"/>
                <w:bCs w:val="1"/>
                <w:color w:val="auto"/>
              </w:rPr>
              <w:t>Title</w:t>
            </w:r>
          </w:p>
        </w:tc>
      </w:tr>
      <w:tr>
        <w:trPr>
          <w:trHeight w:val="223"/>
        </w:trPr>
        <w:tc>
          <w:tcPr>
            <w:tcW w:w="2000" w:type="dxa"/>
            <w:vAlign w:val="bottom"/>
            <w:tcBorders>
              <w:bottom w:val="single" w:sz="8" w:color="DBDBDB"/>
            </w:tcBorders>
          </w:tcPr>
          <w:p>
            <w:pPr>
              <w:ind w:left="20"/>
              <w:spacing w:after="0"/>
              <w:rPr>
                <w:sz w:val="20"/>
                <w:szCs w:val="20"/>
                <w:color w:val="auto"/>
              </w:rPr>
            </w:pPr>
            <w:r>
              <w:rPr>
                <w:rFonts w:ascii="Arial" w:cs="Arial" w:eastAsia="Arial" w:hAnsi="Arial"/>
                <w:sz w:val="18"/>
                <w:szCs w:val="18"/>
                <w:color w:val="auto"/>
              </w:rPr>
              <w:t>David B. Foss*</w:t>
            </w:r>
          </w:p>
        </w:tc>
        <w:tc>
          <w:tcPr>
            <w:tcW w:w="7180" w:type="dxa"/>
            <w:vAlign w:val="bottom"/>
            <w:tcBorders>
              <w:bottom w:val="single" w:sz="8" w:color="DBDBDB"/>
            </w:tcBorders>
          </w:tcPr>
          <w:p>
            <w:pPr>
              <w:ind w:left="260"/>
              <w:spacing w:after="0"/>
              <w:rPr>
                <w:sz w:val="20"/>
                <w:szCs w:val="20"/>
                <w:color w:val="auto"/>
              </w:rPr>
            </w:pPr>
            <w:r>
              <w:rPr>
                <w:rFonts w:ascii="Arial" w:cs="Arial" w:eastAsia="Arial" w:hAnsi="Arial"/>
                <w:sz w:val="18"/>
                <w:szCs w:val="18"/>
                <w:color w:val="auto"/>
              </w:rPr>
              <w:t>Chief Executive Officer</w:t>
            </w:r>
          </w:p>
        </w:tc>
      </w:tr>
      <w:tr>
        <w:trPr>
          <w:trHeight w:val="223"/>
        </w:trPr>
        <w:tc>
          <w:tcPr>
            <w:tcW w:w="2000" w:type="dxa"/>
            <w:vAlign w:val="bottom"/>
            <w:tcBorders>
              <w:bottom w:val="single" w:sz="8" w:color="DBDBDB"/>
            </w:tcBorders>
            <w:shd w:val="clear" w:color="auto" w:fill="E7ECF0"/>
          </w:tcPr>
          <w:p>
            <w:pPr>
              <w:ind w:left="20"/>
              <w:spacing w:after="0"/>
              <w:rPr>
                <w:sz w:val="20"/>
                <w:szCs w:val="20"/>
                <w:color w:val="auto"/>
              </w:rPr>
            </w:pPr>
            <w:r>
              <w:rPr>
                <w:rFonts w:ascii="Arial" w:cs="Arial" w:eastAsia="Arial" w:hAnsi="Arial"/>
                <w:sz w:val="18"/>
                <w:szCs w:val="18"/>
                <w:color w:val="auto"/>
              </w:rPr>
              <w:t>Gregory R. Adelson**</w:t>
            </w:r>
          </w:p>
        </w:tc>
        <w:tc>
          <w:tcPr>
            <w:tcW w:w="7180" w:type="dxa"/>
            <w:vAlign w:val="bottom"/>
            <w:tcBorders>
              <w:bottom w:val="single" w:sz="8" w:color="DBDBDB"/>
            </w:tcBorders>
            <w:shd w:val="clear" w:color="auto" w:fill="E7ECF0"/>
          </w:tcPr>
          <w:p>
            <w:pPr>
              <w:ind w:left="260"/>
              <w:spacing w:after="0"/>
              <w:rPr>
                <w:sz w:val="20"/>
                <w:szCs w:val="20"/>
                <w:color w:val="auto"/>
              </w:rPr>
            </w:pPr>
            <w:r>
              <w:rPr>
                <w:rFonts w:ascii="Arial" w:cs="Arial" w:eastAsia="Arial" w:hAnsi="Arial"/>
                <w:sz w:val="18"/>
                <w:szCs w:val="18"/>
                <w:color w:val="auto"/>
              </w:rPr>
              <w:t>President and Chief Operating Officer</w:t>
            </w:r>
          </w:p>
        </w:tc>
      </w:tr>
      <w:tr>
        <w:trPr>
          <w:trHeight w:val="223"/>
        </w:trPr>
        <w:tc>
          <w:tcPr>
            <w:tcW w:w="2000" w:type="dxa"/>
            <w:vAlign w:val="bottom"/>
            <w:tcBorders>
              <w:bottom w:val="single" w:sz="8" w:color="DBDBDB"/>
            </w:tcBorders>
          </w:tcPr>
          <w:p>
            <w:pPr>
              <w:ind w:left="20"/>
              <w:spacing w:after="0"/>
              <w:rPr>
                <w:sz w:val="20"/>
                <w:szCs w:val="20"/>
                <w:color w:val="auto"/>
              </w:rPr>
            </w:pPr>
            <w:r>
              <w:rPr>
                <w:rFonts w:ascii="Arial" w:cs="Arial" w:eastAsia="Arial" w:hAnsi="Arial"/>
                <w:sz w:val="18"/>
                <w:szCs w:val="18"/>
                <w:color w:val="auto"/>
              </w:rPr>
              <w:t>Mimi L. Carsley</w:t>
            </w:r>
          </w:p>
        </w:tc>
        <w:tc>
          <w:tcPr>
            <w:tcW w:w="7180" w:type="dxa"/>
            <w:vAlign w:val="bottom"/>
            <w:tcBorders>
              <w:bottom w:val="single" w:sz="8" w:color="DBDBDB"/>
            </w:tcBorders>
          </w:tcPr>
          <w:p>
            <w:pPr>
              <w:ind w:left="260"/>
              <w:spacing w:after="0"/>
              <w:rPr>
                <w:sz w:val="20"/>
                <w:szCs w:val="20"/>
                <w:color w:val="auto"/>
              </w:rPr>
            </w:pPr>
            <w:r>
              <w:rPr>
                <w:rFonts w:ascii="Arial" w:cs="Arial" w:eastAsia="Arial" w:hAnsi="Arial"/>
                <w:sz w:val="18"/>
                <w:szCs w:val="18"/>
                <w:color w:val="auto"/>
              </w:rPr>
              <w:t>Chief Financial Officer and Treasurer</w:t>
            </w:r>
          </w:p>
        </w:tc>
      </w:tr>
      <w:tr>
        <w:trPr>
          <w:trHeight w:val="223"/>
        </w:trPr>
        <w:tc>
          <w:tcPr>
            <w:tcW w:w="2000" w:type="dxa"/>
            <w:vAlign w:val="bottom"/>
            <w:tcBorders>
              <w:bottom w:val="single" w:sz="8" w:color="DBDBDB"/>
            </w:tcBorders>
            <w:shd w:val="clear" w:color="auto" w:fill="E7ECF0"/>
          </w:tcPr>
          <w:p>
            <w:pPr>
              <w:ind w:left="20"/>
              <w:spacing w:after="0"/>
              <w:rPr>
                <w:sz w:val="20"/>
                <w:szCs w:val="20"/>
                <w:color w:val="auto"/>
              </w:rPr>
            </w:pPr>
            <w:r>
              <w:rPr>
                <w:rFonts w:ascii="Arial" w:cs="Arial" w:eastAsia="Arial" w:hAnsi="Arial"/>
                <w:sz w:val="18"/>
                <w:szCs w:val="18"/>
                <w:color w:val="auto"/>
              </w:rPr>
              <w:t>Craig K. Morgan</w:t>
            </w:r>
          </w:p>
        </w:tc>
        <w:tc>
          <w:tcPr>
            <w:tcW w:w="7180" w:type="dxa"/>
            <w:vAlign w:val="bottom"/>
            <w:tcBorders>
              <w:bottom w:val="single" w:sz="8" w:color="DBDBDB"/>
            </w:tcBorders>
            <w:shd w:val="clear" w:color="auto" w:fill="E7ECF0"/>
          </w:tcPr>
          <w:p>
            <w:pPr>
              <w:ind w:left="260"/>
              <w:spacing w:after="0"/>
              <w:rPr>
                <w:sz w:val="20"/>
                <w:szCs w:val="20"/>
                <w:color w:val="auto"/>
              </w:rPr>
            </w:pPr>
            <w:r>
              <w:rPr>
                <w:rFonts w:ascii="Arial" w:cs="Arial" w:eastAsia="Arial" w:hAnsi="Arial"/>
                <w:sz w:val="18"/>
                <w:szCs w:val="18"/>
                <w:color w:val="auto"/>
              </w:rPr>
              <w:t>General Counsel and Secretary</w:t>
            </w:r>
          </w:p>
        </w:tc>
      </w:tr>
      <w:tr>
        <w:trPr>
          <w:trHeight w:val="232"/>
        </w:trPr>
        <w:tc>
          <w:tcPr>
            <w:tcW w:w="2000" w:type="dxa"/>
            <w:vAlign w:val="bottom"/>
          </w:tcPr>
          <w:p>
            <w:pPr>
              <w:ind w:left="20"/>
              <w:spacing w:after="0"/>
              <w:rPr>
                <w:sz w:val="20"/>
                <w:szCs w:val="20"/>
                <w:color w:val="auto"/>
              </w:rPr>
            </w:pPr>
            <w:r>
              <w:rPr>
                <w:rFonts w:ascii="Arial" w:cs="Arial" w:eastAsia="Arial" w:hAnsi="Arial"/>
                <w:sz w:val="18"/>
                <w:szCs w:val="18"/>
                <w:color w:val="auto"/>
              </w:rPr>
              <w:t>Stacey E. Zengel***</w:t>
            </w:r>
          </w:p>
        </w:tc>
        <w:tc>
          <w:tcPr>
            <w:tcW w:w="7180" w:type="dxa"/>
            <w:vAlign w:val="bottom"/>
          </w:tcPr>
          <w:p>
            <w:pPr>
              <w:ind w:left="260"/>
              <w:spacing w:after="0"/>
              <w:rPr>
                <w:sz w:val="20"/>
                <w:szCs w:val="20"/>
                <w:color w:val="auto"/>
              </w:rPr>
            </w:pPr>
            <w:r>
              <w:rPr>
                <w:rFonts w:ascii="Arial" w:cs="Arial" w:eastAsia="Arial" w:hAnsi="Arial"/>
                <w:sz w:val="18"/>
                <w:szCs w:val="18"/>
                <w:color w:val="auto"/>
              </w:rPr>
              <w:t>Senior Vice President and President of Jack Henry Bank Solutions</w:t>
            </w:r>
          </w:p>
        </w:tc>
      </w:tr>
    </w:tbl>
    <w:p>
      <w:pPr>
        <w:spacing w:after="0" w:line="296"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*Mr. Foss served as Chief Executive Officer and Board Chair through all of fiscal 2024. He stepped down as Chief Executive Officer and took the title of Executive Board Chair effective July 1, 2024.</w:t>
      </w:r>
    </w:p>
    <w:p>
      <w:pPr>
        <w:spacing w:after="0" w:line="1" w:lineRule="exact"/>
        <w:rPr>
          <w:sz w:val="20"/>
          <w:szCs w:val="20"/>
          <w:color w:val="auto"/>
        </w:rPr>
      </w:pPr>
    </w:p>
    <w:p>
      <w:pPr>
        <w:ind w:right="20"/>
        <w:spacing w:after="0" w:line="258" w:lineRule="auto"/>
        <w:rPr>
          <w:sz w:val="20"/>
          <w:szCs w:val="20"/>
          <w:color w:val="auto"/>
        </w:rPr>
      </w:pPr>
      <w:r>
        <w:rPr>
          <w:rFonts w:ascii="Arial" w:cs="Arial" w:eastAsia="Arial" w:hAnsi="Arial"/>
          <w:sz w:val="18"/>
          <w:szCs w:val="18"/>
          <w:color w:val="auto"/>
        </w:rPr>
        <w:t>**Mr. Adelson served as President and Chief Operating Officer through all of fiscal 2024. He was appointed Chief Executive Officer and President effective July 1, 2024.</w:t>
      </w:r>
    </w:p>
    <w:p>
      <w:pPr>
        <w:spacing w:after="0"/>
        <w:rPr>
          <w:sz w:val="20"/>
          <w:szCs w:val="20"/>
          <w:color w:val="auto"/>
        </w:rPr>
      </w:pPr>
      <w:r>
        <w:rPr>
          <w:rFonts w:ascii="Arial" w:cs="Arial" w:eastAsia="Arial" w:hAnsi="Arial"/>
          <w:sz w:val="18"/>
          <w:szCs w:val="18"/>
          <w:color w:val="auto"/>
        </w:rPr>
        <w:t>***Mr. Zengel retired from the Company effective June 30, 2024.</w:t>
      </w:r>
    </w:p>
    <w:p>
      <w:pPr>
        <w:spacing w:after="0" w:line="267" w:lineRule="exact"/>
        <w:rPr>
          <w:sz w:val="20"/>
          <w:szCs w:val="20"/>
          <w:color w:val="auto"/>
        </w:rPr>
      </w:pPr>
    </w:p>
    <w:p>
      <w:pPr>
        <w:spacing w:after="0" w:line="286" w:lineRule="auto"/>
        <w:rPr>
          <w:sz w:val="20"/>
          <w:szCs w:val="20"/>
          <w:color w:val="auto"/>
        </w:rPr>
      </w:pPr>
      <w:r>
        <w:rPr>
          <w:rFonts w:ascii="Arial" w:cs="Arial" w:eastAsia="Arial" w:hAnsi="Arial"/>
          <w:sz w:val="20"/>
          <w:szCs w:val="20"/>
          <w:color w:val="auto"/>
        </w:rPr>
        <w:t>Specific information about the compensation of the Named Executives is set forth in the Summary Compensation Table and other compensation tables beginning on page 52, which should be read in conjunction with this discussion.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325755</wp:posOffset>
            </wp:positionV>
            <wp:extent cx="7132320" cy="3511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32320" cy="3511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9000"/>
        <w:spacing w:after="0"/>
        <w:tabs>
          <w:tab w:leader="none" w:pos="11000" w:val="left"/>
        </w:tabs>
        <w:rPr>
          <w:sz w:val="20"/>
          <w:szCs w:val="20"/>
          <w:color w:val="auto"/>
        </w:rPr>
      </w:pPr>
      <w:r>
        <w:rPr>
          <w:rFonts w:ascii="Arial" w:cs="Arial" w:eastAsia="Arial" w:hAnsi="Arial"/>
          <w:sz w:val="18"/>
          <w:szCs w:val="18"/>
          <w:color w:val="auto"/>
        </w:rPr>
        <w:t>2024 Proxy Statement</w:t>
      </w:r>
      <w:r>
        <w:rPr>
          <w:sz w:val="20"/>
          <w:szCs w:val="20"/>
          <w:color w:val="auto"/>
        </w:rPr>
        <w:tab/>
      </w:r>
      <w:r>
        <w:rPr>
          <w:rFonts w:ascii="Arial" w:cs="Arial" w:eastAsia="Arial" w:hAnsi="Arial"/>
          <w:sz w:val="17"/>
          <w:szCs w:val="17"/>
          <w:color w:val="1E3767"/>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253365</wp:posOffset>
            </wp:positionV>
            <wp:extent cx="7157720"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4" w:right="339" w:bottom="1440" w:gutter="0" w:footer="0" w:header="0"/>
        </w:sectPr>
      </w:pPr>
    </w:p>
    <w:bookmarkStart w:id="32" w:name="page33"/>
    <w:bookmarkEnd w:id="32"/>
    <w:p>
      <w:pPr>
        <w:spacing w:after="0"/>
        <w:rPr>
          <w:sz w:val="20"/>
          <w:szCs w:val="20"/>
          <w:color w:val="auto"/>
        </w:rPr>
      </w:pPr>
      <w:r>
        <w:rPr>
          <w:rFonts w:ascii="Arial" w:cs="Arial" w:eastAsia="Arial" w:hAnsi="Arial"/>
          <w:sz w:val="20"/>
          <w:szCs w:val="20"/>
          <w:b w:val="1"/>
          <w:bCs w:val="1"/>
          <w:color w:val="auto"/>
        </w:rPr>
        <w:t>Executive Summary</w:t>
      </w:r>
    </w:p>
    <w:p>
      <w:pPr>
        <w:spacing w:after="0" w:line="258" w:lineRule="exact"/>
        <w:rPr>
          <w:sz w:val="20"/>
          <w:szCs w:val="20"/>
          <w:color w:val="auto"/>
        </w:rPr>
      </w:pPr>
    </w:p>
    <w:p>
      <w:pPr>
        <w:jc w:val="both"/>
        <w:spacing w:after="0" w:line="265" w:lineRule="auto"/>
        <w:rPr>
          <w:sz w:val="20"/>
          <w:szCs w:val="20"/>
          <w:color w:val="auto"/>
        </w:rPr>
      </w:pPr>
      <w:r>
        <w:rPr>
          <w:rFonts w:ascii="Arial" w:cs="Arial" w:eastAsia="Arial" w:hAnsi="Arial"/>
          <w:sz w:val="20"/>
          <w:szCs w:val="20"/>
          <w:color w:val="auto"/>
        </w:rPr>
        <w:t>Jack Henry’s executive compensation programs are designed to align the interests of the Jack Henry executives with those of our stockholders. This goal is accomplished by emphasizing the principle of pay for performance through the achievement of short- and long-term performance goals and rewarding the creation of long-term stockholder value while encouraging a culture of stock ownership. The decisions made by the HC&amp;C Committee in establishing financial, business, and personal targets for executive officer compensation reflect a clear expression of these principles. The following chart provides an overview of the fiscal 2024 compensation components for our Named Executives:</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Fiscal 2024 Compensation Components</w:t>
      </w:r>
    </w:p>
    <w:p>
      <w:pPr>
        <w:spacing w:after="0" w:line="42"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1800" w:type="dxa"/>
            <w:vAlign w:val="bottom"/>
            <w:vMerge w:val="restart"/>
            <w:shd w:val="clear" w:color="auto" w:fill="E8F7F7"/>
          </w:tcPr>
          <w:p>
            <w:pPr>
              <w:ind w:left="20"/>
              <w:spacing w:after="0"/>
              <w:rPr>
                <w:sz w:val="20"/>
                <w:szCs w:val="20"/>
                <w:color w:val="auto"/>
              </w:rPr>
            </w:pPr>
            <w:r>
              <w:rPr>
                <w:rFonts w:ascii="Arial" w:cs="Arial" w:eastAsia="Arial" w:hAnsi="Arial"/>
                <w:sz w:val="14"/>
                <w:szCs w:val="14"/>
                <w:b w:val="1"/>
                <w:bCs w:val="1"/>
                <w:color w:val="auto"/>
              </w:rPr>
              <w:t>Component</w:t>
            </w:r>
          </w:p>
        </w:tc>
        <w:tc>
          <w:tcPr>
            <w:tcW w:w="1260" w:type="dxa"/>
            <w:vAlign w:val="bottom"/>
            <w:shd w:val="clear" w:color="auto" w:fill="E8F7F7"/>
          </w:tcPr>
          <w:p>
            <w:pPr>
              <w:spacing w:after="0"/>
              <w:rPr>
                <w:sz w:val="14"/>
                <w:szCs w:val="14"/>
                <w:color w:val="auto"/>
              </w:rPr>
            </w:pPr>
          </w:p>
        </w:tc>
        <w:tc>
          <w:tcPr>
            <w:tcW w:w="4220" w:type="dxa"/>
            <w:vAlign w:val="bottom"/>
            <w:vMerge w:val="restart"/>
            <w:shd w:val="clear" w:color="auto" w:fill="E8F7F7"/>
          </w:tcPr>
          <w:p>
            <w:pPr>
              <w:ind w:left="40"/>
              <w:spacing w:after="0"/>
              <w:rPr>
                <w:sz w:val="20"/>
                <w:szCs w:val="20"/>
                <w:color w:val="auto"/>
              </w:rPr>
            </w:pPr>
            <w:r>
              <w:rPr>
                <w:rFonts w:ascii="Arial" w:cs="Arial" w:eastAsia="Arial" w:hAnsi="Arial"/>
                <w:sz w:val="14"/>
                <w:szCs w:val="14"/>
                <w:b w:val="1"/>
                <w:bCs w:val="1"/>
                <w:color w:val="auto"/>
              </w:rPr>
              <w:t>Metrics</w:t>
            </w:r>
          </w:p>
        </w:tc>
        <w:tc>
          <w:tcPr>
            <w:tcW w:w="1540" w:type="dxa"/>
            <w:vAlign w:val="bottom"/>
            <w:shd w:val="clear" w:color="auto" w:fill="E8F7F7"/>
          </w:tcPr>
          <w:p>
            <w:pPr>
              <w:ind w:left="20"/>
              <w:spacing w:after="0"/>
              <w:rPr>
                <w:sz w:val="20"/>
                <w:szCs w:val="20"/>
                <w:color w:val="auto"/>
              </w:rPr>
            </w:pPr>
            <w:r>
              <w:rPr>
                <w:rFonts w:ascii="Arial" w:cs="Arial" w:eastAsia="Arial" w:hAnsi="Arial"/>
                <w:sz w:val="14"/>
                <w:szCs w:val="14"/>
                <w:b w:val="1"/>
                <w:bCs w:val="1"/>
                <w:color w:val="auto"/>
              </w:rPr>
              <w:t>Performance/ Vesting</w:t>
            </w:r>
          </w:p>
        </w:tc>
        <w:tc>
          <w:tcPr>
            <w:tcW w:w="1280" w:type="dxa"/>
            <w:vAlign w:val="bottom"/>
            <w:vMerge w:val="restart"/>
            <w:shd w:val="clear" w:color="auto" w:fill="E8F7F7"/>
          </w:tcPr>
          <w:p>
            <w:pPr>
              <w:ind w:left="40"/>
              <w:spacing w:after="0"/>
              <w:rPr>
                <w:sz w:val="20"/>
                <w:szCs w:val="20"/>
                <w:color w:val="auto"/>
              </w:rPr>
            </w:pPr>
            <w:r>
              <w:rPr>
                <w:rFonts w:ascii="Arial" w:cs="Arial" w:eastAsia="Arial" w:hAnsi="Arial"/>
                <w:sz w:val="14"/>
                <w:szCs w:val="14"/>
                <w:b w:val="1"/>
                <w:bCs w:val="1"/>
                <w:color w:val="auto"/>
              </w:rPr>
              <w:t>More Information</w:t>
            </w:r>
          </w:p>
        </w:tc>
        <w:tc>
          <w:tcPr>
            <w:tcW w:w="0" w:type="dxa"/>
            <w:vAlign w:val="bottom"/>
          </w:tcPr>
          <w:p>
            <w:pPr>
              <w:spacing w:after="0"/>
              <w:rPr>
                <w:sz w:val="1"/>
                <w:szCs w:val="1"/>
                <w:color w:val="auto"/>
              </w:rPr>
            </w:pPr>
          </w:p>
        </w:tc>
      </w:tr>
      <w:tr>
        <w:trPr>
          <w:trHeight w:val="185"/>
        </w:trPr>
        <w:tc>
          <w:tcPr>
            <w:tcW w:w="1800" w:type="dxa"/>
            <w:vAlign w:val="bottom"/>
            <w:tcBorders>
              <w:bottom w:val="single" w:sz="8" w:color="auto"/>
            </w:tcBorders>
            <w:vMerge w:val="continue"/>
            <w:shd w:val="clear" w:color="auto" w:fill="E8F7F7"/>
          </w:tcPr>
          <w:p>
            <w:pPr>
              <w:spacing w:after="0"/>
              <w:rPr>
                <w:sz w:val="16"/>
                <w:szCs w:val="16"/>
                <w:color w:val="auto"/>
              </w:rPr>
            </w:pPr>
          </w:p>
        </w:tc>
        <w:tc>
          <w:tcPr>
            <w:tcW w:w="1260" w:type="dxa"/>
            <w:vAlign w:val="bottom"/>
            <w:tcBorders>
              <w:bottom w:val="single" w:sz="8" w:color="auto"/>
            </w:tcBorders>
            <w:shd w:val="clear" w:color="auto" w:fill="E8F7F7"/>
          </w:tcPr>
          <w:p>
            <w:pPr>
              <w:spacing w:after="0"/>
              <w:rPr>
                <w:sz w:val="16"/>
                <w:szCs w:val="16"/>
                <w:color w:val="auto"/>
              </w:rPr>
            </w:pPr>
          </w:p>
        </w:tc>
        <w:tc>
          <w:tcPr>
            <w:tcW w:w="4220" w:type="dxa"/>
            <w:vAlign w:val="bottom"/>
            <w:tcBorders>
              <w:bottom w:val="single" w:sz="8" w:color="auto"/>
            </w:tcBorders>
            <w:vMerge w:val="continue"/>
            <w:shd w:val="clear" w:color="auto" w:fill="E8F7F7"/>
          </w:tcPr>
          <w:p>
            <w:pPr>
              <w:spacing w:after="0"/>
              <w:rPr>
                <w:sz w:val="16"/>
                <w:szCs w:val="16"/>
                <w:color w:val="auto"/>
              </w:rPr>
            </w:pPr>
          </w:p>
        </w:tc>
        <w:tc>
          <w:tcPr>
            <w:tcW w:w="1540" w:type="dxa"/>
            <w:vAlign w:val="bottom"/>
            <w:tcBorders>
              <w:bottom w:val="single" w:sz="8" w:color="auto"/>
            </w:tcBorders>
            <w:shd w:val="clear" w:color="auto" w:fill="E8F7F7"/>
          </w:tcPr>
          <w:p>
            <w:pPr>
              <w:ind w:left="20"/>
              <w:spacing w:after="0"/>
              <w:rPr>
                <w:sz w:val="20"/>
                <w:szCs w:val="20"/>
                <w:color w:val="auto"/>
              </w:rPr>
            </w:pPr>
            <w:r>
              <w:rPr>
                <w:rFonts w:ascii="Arial" w:cs="Arial" w:eastAsia="Arial" w:hAnsi="Arial"/>
                <w:sz w:val="14"/>
                <w:szCs w:val="14"/>
                <w:b w:val="1"/>
                <w:bCs w:val="1"/>
                <w:color w:val="auto"/>
              </w:rPr>
              <w:t>Period</w:t>
            </w:r>
          </w:p>
        </w:tc>
        <w:tc>
          <w:tcPr>
            <w:tcW w:w="1280" w:type="dxa"/>
            <w:vAlign w:val="bottom"/>
            <w:tcBorders>
              <w:bottom w:val="single" w:sz="8" w:color="auto"/>
            </w:tcBorders>
            <w:vMerge w:val="continue"/>
            <w:shd w:val="clear" w:color="auto" w:fill="E8F7F7"/>
          </w:tcPr>
          <w:p>
            <w:pPr>
              <w:spacing w:after="0"/>
              <w:rPr>
                <w:sz w:val="16"/>
                <w:szCs w:val="16"/>
                <w:color w:val="auto"/>
              </w:rPr>
            </w:pPr>
          </w:p>
        </w:tc>
        <w:tc>
          <w:tcPr>
            <w:tcW w:w="0" w:type="dxa"/>
            <w:vAlign w:val="bottom"/>
          </w:tcPr>
          <w:p>
            <w:pPr>
              <w:spacing w:after="0"/>
              <w:rPr>
                <w:sz w:val="1"/>
                <w:szCs w:val="1"/>
                <w:color w:val="auto"/>
              </w:rPr>
            </w:pPr>
          </w:p>
        </w:tc>
      </w:tr>
      <w:tr>
        <w:trPr>
          <w:trHeight w:val="295"/>
        </w:trPr>
        <w:tc>
          <w:tcPr>
            <w:tcW w:w="18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4220" w:type="dxa"/>
            <w:vAlign w:val="bottom"/>
          </w:tcPr>
          <w:p>
            <w:pPr>
              <w:ind w:left="40"/>
              <w:spacing w:after="0"/>
              <w:rPr>
                <w:sz w:val="20"/>
                <w:szCs w:val="20"/>
                <w:color w:val="auto"/>
              </w:rPr>
            </w:pPr>
            <w:r>
              <w:rPr>
                <w:rFonts w:ascii="Arial" w:cs="Arial" w:eastAsia="Arial" w:hAnsi="Arial"/>
                <w:sz w:val="14"/>
                <w:szCs w:val="14"/>
                <w:color w:val="auto"/>
              </w:rPr>
              <w:t>Fixed and recurring cash compensation set at market competitive</w:t>
            </w:r>
          </w:p>
        </w:tc>
        <w:tc>
          <w:tcPr>
            <w:tcW w:w="15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4"/>
        </w:trPr>
        <w:tc>
          <w:tcPr>
            <w:tcW w:w="18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Base Salary</w:t>
            </w:r>
          </w:p>
        </w:tc>
        <w:tc>
          <w:tcPr>
            <w:tcW w:w="1260" w:type="dxa"/>
            <w:vAlign w:val="bottom"/>
          </w:tcPr>
          <w:p>
            <w:pPr>
              <w:spacing w:after="0"/>
              <w:rPr>
                <w:sz w:val="12"/>
                <w:szCs w:val="12"/>
                <w:color w:val="auto"/>
              </w:rPr>
            </w:pPr>
          </w:p>
        </w:tc>
        <w:tc>
          <w:tcPr>
            <w:tcW w:w="4220" w:type="dxa"/>
            <w:vAlign w:val="bottom"/>
          </w:tcPr>
          <w:p>
            <w:pPr>
              <w:ind w:left="40"/>
              <w:spacing w:after="0" w:line="145" w:lineRule="exact"/>
              <w:rPr>
                <w:sz w:val="20"/>
                <w:szCs w:val="20"/>
                <w:color w:val="auto"/>
              </w:rPr>
            </w:pPr>
            <w:r>
              <w:rPr>
                <w:rFonts w:ascii="Arial" w:cs="Arial" w:eastAsia="Arial" w:hAnsi="Arial"/>
                <w:sz w:val="14"/>
                <w:szCs w:val="14"/>
                <w:color w:val="auto"/>
              </w:rPr>
              <w:t>levels to attract and retain highly qualified and effective</w:t>
            </w:r>
          </w:p>
        </w:tc>
        <w:tc>
          <w:tcPr>
            <w:tcW w:w="1540" w:type="dxa"/>
            <w:vAlign w:val="bottom"/>
          </w:tcPr>
          <w:p>
            <w:pPr>
              <w:spacing w:after="0"/>
              <w:rPr>
                <w:sz w:val="12"/>
                <w:szCs w:val="12"/>
                <w:color w:val="auto"/>
              </w:rPr>
            </w:pPr>
          </w:p>
        </w:tc>
        <w:tc>
          <w:tcPr>
            <w:tcW w:w="1280" w:type="dxa"/>
            <w:vAlign w:val="bottom"/>
            <w:vMerge w:val="restart"/>
          </w:tcPr>
          <w:p>
            <w:pPr>
              <w:ind w:left="40"/>
              <w:spacing w:after="0"/>
              <w:rPr>
                <w:sz w:val="20"/>
                <w:szCs w:val="20"/>
                <w:color w:val="auto"/>
              </w:rPr>
            </w:pPr>
            <w:r>
              <w:rPr>
                <w:rFonts w:ascii="Arial" w:cs="Arial" w:eastAsia="Arial" w:hAnsi="Arial"/>
                <w:sz w:val="14"/>
                <w:szCs w:val="14"/>
                <w:color w:val="auto"/>
              </w:rPr>
              <w:t>Page 36</w:t>
            </w:r>
          </w:p>
        </w:tc>
        <w:tc>
          <w:tcPr>
            <w:tcW w:w="0" w:type="dxa"/>
            <w:vAlign w:val="bottom"/>
          </w:tcPr>
          <w:p>
            <w:pPr>
              <w:spacing w:after="0"/>
              <w:rPr>
                <w:sz w:val="1"/>
                <w:szCs w:val="1"/>
                <w:color w:val="auto"/>
              </w:rPr>
            </w:pPr>
          </w:p>
        </w:tc>
      </w:tr>
      <w:tr>
        <w:trPr>
          <w:trHeight w:val="189"/>
        </w:trPr>
        <w:tc>
          <w:tcPr>
            <w:tcW w:w="1800" w:type="dxa"/>
            <w:vAlign w:val="bottom"/>
            <w:tcBorders>
              <w:bottom w:val="single" w:sz="8" w:color="DBDBDB"/>
            </w:tcBorders>
            <w:vMerge w:val="continue"/>
          </w:tcPr>
          <w:p>
            <w:pPr>
              <w:spacing w:after="0"/>
              <w:rPr>
                <w:sz w:val="16"/>
                <w:szCs w:val="16"/>
                <w:color w:val="auto"/>
              </w:rPr>
            </w:pPr>
          </w:p>
        </w:tc>
        <w:tc>
          <w:tcPr>
            <w:tcW w:w="1260" w:type="dxa"/>
            <w:vAlign w:val="bottom"/>
            <w:tcBorders>
              <w:bottom w:val="single" w:sz="8" w:color="DBDBDB"/>
            </w:tcBorders>
          </w:tcPr>
          <w:p>
            <w:pPr>
              <w:spacing w:after="0"/>
              <w:rPr>
                <w:sz w:val="16"/>
                <w:szCs w:val="16"/>
                <w:color w:val="auto"/>
              </w:rPr>
            </w:pPr>
          </w:p>
        </w:tc>
        <w:tc>
          <w:tcPr>
            <w:tcW w:w="4220" w:type="dxa"/>
            <w:vAlign w:val="bottom"/>
            <w:tcBorders>
              <w:bottom w:val="single" w:sz="8" w:color="DBDBDB"/>
            </w:tcBorders>
          </w:tcPr>
          <w:p>
            <w:pPr>
              <w:ind w:left="40"/>
              <w:spacing w:after="0"/>
              <w:rPr>
                <w:sz w:val="20"/>
                <w:szCs w:val="20"/>
                <w:color w:val="auto"/>
              </w:rPr>
            </w:pPr>
            <w:r>
              <w:rPr>
                <w:rFonts w:ascii="Arial" w:cs="Arial" w:eastAsia="Arial" w:hAnsi="Arial"/>
                <w:sz w:val="14"/>
                <w:szCs w:val="14"/>
                <w:color w:val="auto"/>
              </w:rPr>
              <w:t>executives.</w:t>
            </w:r>
          </w:p>
        </w:tc>
        <w:tc>
          <w:tcPr>
            <w:tcW w:w="1540" w:type="dxa"/>
            <w:vAlign w:val="bottom"/>
            <w:tcBorders>
              <w:bottom w:val="single" w:sz="8" w:color="DBDBDB"/>
            </w:tcBorders>
          </w:tcPr>
          <w:p>
            <w:pPr>
              <w:spacing w:after="0"/>
              <w:rPr>
                <w:sz w:val="16"/>
                <w:szCs w:val="16"/>
                <w:color w:val="auto"/>
              </w:rPr>
            </w:pPr>
          </w:p>
        </w:tc>
        <w:tc>
          <w:tcPr>
            <w:tcW w:w="1280" w:type="dxa"/>
            <w:vAlign w:val="bottom"/>
            <w:tcBorders>
              <w:bottom w:val="single" w:sz="8" w:color="DBDBDB"/>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76"/>
        </w:trPr>
        <w:tc>
          <w:tcPr>
            <w:tcW w:w="1800" w:type="dxa"/>
            <w:vAlign w:val="bottom"/>
            <w:vMerge w:val="restart"/>
            <w:shd w:val="clear" w:color="auto" w:fill="E7ECF0"/>
          </w:tcPr>
          <w:p>
            <w:pPr>
              <w:ind w:left="20"/>
              <w:spacing w:after="0"/>
              <w:rPr>
                <w:sz w:val="20"/>
                <w:szCs w:val="20"/>
                <w:color w:val="auto"/>
              </w:rPr>
            </w:pPr>
            <w:r>
              <w:rPr>
                <w:rFonts w:ascii="Arial" w:cs="Arial" w:eastAsia="Arial" w:hAnsi="Arial"/>
                <w:sz w:val="14"/>
                <w:szCs w:val="14"/>
                <w:b w:val="1"/>
                <w:bCs w:val="1"/>
                <w:color w:val="auto"/>
              </w:rPr>
              <w:t>Annual Incentive Cash</w:t>
            </w:r>
          </w:p>
        </w:tc>
        <w:tc>
          <w:tcPr>
            <w:tcW w:w="1260" w:type="dxa"/>
            <w:vAlign w:val="bottom"/>
            <w:shd w:val="clear" w:color="auto" w:fill="E7ECF0"/>
          </w:tcPr>
          <w:p>
            <w:pPr>
              <w:spacing w:after="0"/>
              <w:rPr>
                <w:sz w:val="24"/>
                <w:szCs w:val="24"/>
                <w:color w:val="auto"/>
              </w:rPr>
            </w:pPr>
          </w:p>
        </w:tc>
        <w:tc>
          <w:tcPr>
            <w:tcW w:w="4220" w:type="dxa"/>
            <w:vAlign w:val="bottom"/>
            <w:shd w:val="clear" w:color="auto" w:fill="E7ECF0"/>
          </w:tcPr>
          <w:p>
            <w:pPr>
              <w:ind w:left="40"/>
              <w:spacing w:after="0"/>
              <w:rPr>
                <w:sz w:val="20"/>
                <w:szCs w:val="20"/>
                <w:color w:val="auto"/>
              </w:rPr>
            </w:pPr>
            <w:r>
              <w:rPr>
                <w:rFonts w:ascii="Arial" w:cs="Arial" w:eastAsia="Arial" w:hAnsi="Arial"/>
                <w:sz w:val="14"/>
                <w:szCs w:val="14"/>
                <w:color w:val="auto"/>
              </w:rPr>
              <w:t>Variable cash compensation tied 75% to annual adjusted</w:t>
            </w:r>
          </w:p>
        </w:tc>
        <w:tc>
          <w:tcPr>
            <w:tcW w:w="1540" w:type="dxa"/>
            <w:vAlign w:val="bottom"/>
            <w:shd w:val="clear" w:color="auto" w:fill="E7ECF0"/>
          </w:tcPr>
          <w:p>
            <w:pPr>
              <w:spacing w:after="0"/>
              <w:rPr>
                <w:sz w:val="24"/>
                <w:szCs w:val="24"/>
                <w:color w:val="auto"/>
              </w:rPr>
            </w:pPr>
          </w:p>
        </w:tc>
        <w:tc>
          <w:tcPr>
            <w:tcW w:w="1280" w:type="dxa"/>
            <w:vAlign w:val="bottom"/>
            <w:shd w:val="clear" w:color="auto" w:fill="E7ECF0"/>
          </w:tcPr>
          <w:p>
            <w:pPr>
              <w:spacing w:after="0"/>
              <w:rPr>
                <w:sz w:val="24"/>
                <w:szCs w:val="24"/>
                <w:color w:val="auto"/>
              </w:rPr>
            </w:pPr>
          </w:p>
        </w:tc>
        <w:tc>
          <w:tcPr>
            <w:tcW w:w="0" w:type="dxa"/>
            <w:vAlign w:val="bottom"/>
          </w:tcPr>
          <w:p>
            <w:pPr>
              <w:spacing w:after="0"/>
              <w:rPr>
                <w:sz w:val="1"/>
                <w:szCs w:val="1"/>
                <w:color w:val="auto"/>
              </w:rPr>
            </w:pPr>
          </w:p>
        </w:tc>
      </w:tr>
      <w:tr>
        <w:trPr>
          <w:trHeight w:val="144"/>
        </w:trPr>
        <w:tc>
          <w:tcPr>
            <w:tcW w:w="1800" w:type="dxa"/>
            <w:vAlign w:val="bottom"/>
            <w:vMerge w:val="continue"/>
            <w:shd w:val="clear" w:color="auto" w:fill="E7ECF0"/>
          </w:tcPr>
          <w:p>
            <w:pPr>
              <w:spacing w:after="0"/>
              <w:rPr>
                <w:sz w:val="12"/>
                <w:szCs w:val="12"/>
                <w:color w:val="auto"/>
              </w:rPr>
            </w:pPr>
          </w:p>
        </w:tc>
        <w:tc>
          <w:tcPr>
            <w:tcW w:w="1260" w:type="dxa"/>
            <w:vAlign w:val="bottom"/>
            <w:shd w:val="clear" w:color="auto" w:fill="E7ECF0"/>
          </w:tcPr>
          <w:p>
            <w:pPr>
              <w:spacing w:after="0"/>
              <w:rPr>
                <w:sz w:val="12"/>
                <w:szCs w:val="12"/>
                <w:color w:val="auto"/>
              </w:rPr>
            </w:pPr>
          </w:p>
        </w:tc>
        <w:tc>
          <w:tcPr>
            <w:tcW w:w="4220" w:type="dxa"/>
            <w:vAlign w:val="bottom"/>
            <w:shd w:val="clear" w:color="auto" w:fill="E7ECF0"/>
          </w:tcPr>
          <w:p>
            <w:pPr>
              <w:ind w:left="40"/>
              <w:spacing w:after="0" w:line="145" w:lineRule="exact"/>
              <w:rPr>
                <w:sz w:val="20"/>
                <w:szCs w:val="20"/>
                <w:color w:val="auto"/>
              </w:rPr>
            </w:pPr>
            <w:r>
              <w:rPr>
                <w:rFonts w:ascii="Arial" w:cs="Arial" w:eastAsia="Arial" w:hAnsi="Arial"/>
                <w:sz w:val="14"/>
                <w:szCs w:val="14"/>
                <w:color w:val="auto"/>
              </w:rPr>
              <w:t>operating income versus budget target and 25% tied to</w:t>
            </w:r>
          </w:p>
        </w:tc>
        <w:tc>
          <w:tcPr>
            <w:tcW w:w="1540" w:type="dxa"/>
            <w:vAlign w:val="bottom"/>
            <w:vMerge w:val="restart"/>
            <w:shd w:val="clear" w:color="auto" w:fill="E7ECF0"/>
          </w:tcPr>
          <w:p>
            <w:pPr>
              <w:ind w:left="20"/>
              <w:spacing w:after="0"/>
              <w:rPr>
                <w:sz w:val="20"/>
                <w:szCs w:val="20"/>
                <w:color w:val="auto"/>
              </w:rPr>
            </w:pPr>
            <w:r>
              <w:rPr>
                <w:rFonts w:ascii="Arial" w:cs="Arial" w:eastAsia="Arial" w:hAnsi="Arial"/>
                <w:sz w:val="14"/>
                <w:szCs w:val="14"/>
                <w:color w:val="auto"/>
              </w:rPr>
              <w:t>One year</w:t>
            </w:r>
          </w:p>
        </w:tc>
        <w:tc>
          <w:tcPr>
            <w:tcW w:w="1280" w:type="dxa"/>
            <w:vAlign w:val="bottom"/>
            <w:vMerge w:val="restart"/>
            <w:shd w:val="clear" w:color="auto" w:fill="E7ECF0"/>
          </w:tcPr>
          <w:p>
            <w:pPr>
              <w:ind w:left="40"/>
              <w:spacing w:after="0"/>
              <w:rPr>
                <w:sz w:val="20"/>
                <w:szCs w:val="20"/>
                <w:color w:val="auto"/>
              </w:rPr>
            </w:pPr>
            <w:r>
              <w:rPr>
                <w:rFonts w:ascii="Arial" w:cs="Arial" w:eastAsia="Arial" w:hAnsi="Arial"/>
                <w:sz w:val="14"/>
                <w:szCs w:val="14"/>
                <w:color w:val="auto"/>
              </w:rPr>
              <w:t>Page 36</w:t>
            </w:r>
          </w:p>
        </w:tc>
        <w:tc>
          <w:tcPr>
            <w:tcW w:w="0" w:type="dxa"/>
            <w:vAlign w:val="bottom"/>
          </w:tcPr>
          <w:p>
            <w:pPr>
              <w:spacing w:after="0"/>
              <w:rPr>
                <w:sz w:val="1"/>
                <w:szCs w:val="1"/>
                <w:color w:val="auto"/>
              </w:rPr>
            </w:pPr>
          </w:p>
        </w:tc>
      </w:tr>
      <w:tr>
        <w:trPr>
          <w:trHeight w:val="189"/>
        </w:trPr>
        <w:tc>
          <w:tcPr>
            <w:tcW w:w="1800" w:type="dxa"/>
            <w:vAlign w:val="bottom"/>
            <w:tcBorders>
              <w:bottom w:val="single" w:sz="8" w:color="DBDBDB"/>
            </w:tcBorders>
            <w:shd w:val="clear" w:color="auto" w:fill="E7ECF0"/>
          </w:tcPr>
          <w:p>
            <w:pPr>
              <w:ind w:left="20"/>
              <w:spacing w:after="0"/>
              <w:rPr>
                <w:sz w:val="20"/>
                <w:szCs w:val="20"/>
                <w:color w:val="auto"/>
              </w:rPr>
            </w:pPr>
            <w:r>
              <w:rPr>
                <w:rFonts w:ascii="Arial" w:cs="Arial" w:eastAsia="Arial" w:hAnsi="Arial"/>
                <w:sz w:val="14"/>
                <w:szCs w:val="14"/>
                <w:b w:val="1"/>
                <w:bCs w:val="1"/>
                <w:color w:val="auto"/>
              </w:rPr>
              <w:t>Bonus</w:t>
            </w:r>
          </w:p>
        </w:tc>
        <w:tc>
          <w:tcPr>
            <w:tcW w:w="1260" w:type="dxa"/>
            <w:vAlign w:val="bottom"/>
            <w:tcBorders>
              <w:bottom w:val="single" w:sz="8" w:color="DBDBDB"/>
            </w:tcBorders>
            <w:shd w:val="clear" w:color="auto" w:fill="E7ECF0"/>
          </w:tcPr>
          <w:p>
            <w:pPr>
              <w:spacing w:after="0"/>
              <w:rPr>
                <w:sz w:val="16"/>
                <w:szCs w:val="16"/>
                <w:color w:val="auto"/>
              </w:rPr>
            </w:pPr>
          </w:p>
        </w:tc>
        <w:tc>
          <w:tcPr>
            <w:tcW w:w="4220" w:type="dxa"/>
            <w:vAlign w:val="bottom"/>
            <w:tcBorders>
              <w:bottom w:val="single" w:sz="8" w:color="DBDBDB"/>
            </w:tcBorders>
            <w:shd w:val="clear" w:color="auto" w:fill="E7ECF0"/>
          </w:tcPr>
          <w:p>
            <w:pPr>
              <w:ind w:left="40"/>
              <w:spacing w:after="0"/>
              <w:rPr>
                <w:sz w:val="20"/>
                <w:szCs w:val="20"/>
                <w:color w:val="auto"/>
              </w:rPr>
            </w:pPr>
            <w:r>
              <w:rPr>
                <w:rFonts w:ascii="Arial" w:cs="Arial" w:eastAsia="Arial" w:hAnsi="Arial"/>
                <w:sz w:val="14"/>
                <w:szCs w:val="14"/>
                <w:color w:val="auto"/>
              </w:rPr>
              <w:t>achievement of strategic goals.</w:t>
            </w:r>
          </w:p>
        </w:tc>
        <w:tc>
          <w:tcPr>
            <w:tcW w:w="1540" w:type="dxa"/>
            <w:vAlign w:val="bottom"/>
            <w:tcBorders>
              <w:bottom w:val="single" w:sz="8" w:color="DBDBDB"/>
            </w:tcBorders>
            <w:vMerge w:val="continue"/>
            <w:shd w:val="clear" w:color="auto" w:fill="E7ECF0"/>
          </w:tcPr>
          <w:p>
            <w:pPr>
              <w:spacing w:after="0"/>
              <w:rPr>
                <w:sz w:val="16"/>
                <w:szCs w:val="16"/>
                <w:color w:val="auto"/>
              </w:rPr>
            </w:pPr>
          </w:p>
        </w:tc>
        <w:tc>
          <w:tcPr>
            <w:tcW w:w="1280" w:type="dxa"/>
            <w:vAlign w:val="bottom"/>
            <w:tcBorders>
              <w:bottom w:val="single" w:sz="8" w:color="DBDBDB"/>
            </w:tcBorders>
            <w:vMerge w:val="continue"/>
            <w:shd w:val="clear" w:color="auto" w:fill="E7ECF0"/>
          </w:tcPr>
          <w:p>
            <w:pPr>
              <w:spacing w:after="0"/>
              <w:rPr>
                <w:sz w:val="16"/>
                <w:szCs w:val="16"/>
                <w:color w:val="auto"/>
              </w:rPr>
            </w:pPr>
          </w:p>
        </w:tc>
        <w:tc>
          <w:tcPr>
            <w:tcW w:w="0" w:type="dxa"/>
            <w:vAlign w:val="bottom"/>
          </w:tcPr>
          <w:p>
            <w:pPr>
              <w:spacing w:after="0"/>
              <w:rPr>
                <w:sz w:val="1"/>
                <w:szCs w:val="1"/>
                <w:color w:val="auto"/>
              </w:rPr>
            </w:pPr>
          </w:p>
        </w:tc>
      </w:tr>
      <w:tr>
        <w:trPr>
          <w:trHeight w:val="484"/>
        </w:trPr>
        <w:tc>
          <w:tcPr>
            <w:tcW w:w="18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4220" w:type="dxa"/>
            <w:vAlign w:val="bottom"/>
          </w:tcPr>
          <w:p>
            <w:pPr>
              <w:ind w:left="40"/>
              <w:spacing w:after="0"/>
              <w:rPr>
                <w:sz w:val="20"/>
                <w:szCs w:val="20"/>
                <w:color w:val="auto"/>
              </w:rPr>
            </w:pPr>
            <w:r>
              <w:rPr>
                <w:rFonts w:ascii="Arial" w:cs="Arial" w:eastAsia="Arial" w:hAnsi="Arial"/>
                <w:sz w:val="14"/>
                <w:szCs w:val="14"/>
                <w:color w:val="auto"/>
              </w:rPr>
              <w:t>Performance shares cliff vest based on Jack Henry’s (1) relative</w:t>
            </w:r>
          </w:p>
        </w:tc>
        <w:tc>
          <w:tcPr>
            <w:tcW w:w="15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4"/>
        </w:trPr>
        <w:tc>
          <w:tcPr>
            <w:tcW w:w="18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4220" w:type="dxa"/>
            <w:vAlign w:val="bottom"/>
          </w:tcPr>
          <w:p>
            <w:pPr>
              <w:ind w:left="40"/>
              <w:spacing w:after="0" w:line="145" w:lineRule="exact"/>
              <w:rPr>
                <w:sz w:val="20"/>
                <w:szCs w:val="20"/>
                <w:color w:val="auto"/>
              </w:rPr>
            </w:pPr>
            <w:r>
              <w:rPr>
                <w:rFonts w:ascii="Arial" w:cs="Arial" w:eastAsia="Arial" w:hAnsi="Arial"/>
                <w:sz w:val="14"/>
                <w:szCs w:val="14"/>
                <w:color w:val="auto"/>
              </w:rPr>
              <w:t>total shareholder return against our Compensation Peer Group</w:t>
            </w:r>
          </w:p>
        </w:tc>
        <w:tc>
          <w:tcPr>
            <w:tcW w:w="154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1800" w:type="dxa"/>
            <w:vAlign w:val="bottom"/>
          </w:tcPr>
          <w:p>
            <w:pPr>
              <w:spacing w:after="0"/>
              <w:rPr>
                <w:sz w:val="12"/>
                <w:szCs w:val="12"/>
                <w:color w:val="auto"/>
              </w:rPr>
            </w:pPr>
          </w:p>
        </w:tc>
        <w:tc>
          <w:tcPr>
            <w:tcW w:w="1260" w:type="dxa"/>
            <w:vAlign w:val="bottom"/>
            <w:vMerge w:val="restart"/>
          </w:tcPr>
          <w:p>
            <w:pPr>
              <w:spacing w:after="0"/>
              <w:rPr>
                <w:sz w:val="20"/>
                <w:szCs w:val="20"/>
                <w:color w:val="auto"/>
              </w:rPr>
            </w:pPr>
            <w:r>
              <w:rPr>
                <w:rFonts w:ascii="Arial" w:cs="Arial" w:eastAsia="Arial" w:hAnsi="Arial"/>
                <w:sz w:val="14"/>
                <w:szCs w:val="14"/>
                <w:color w:val="auto"/>
              </w:rPr>
              <w:t>Performance share</w:t>
            </w:r>
          </w:p>
        </w:tc>
        <w:tc>
          <w:tcPr>
            <w:tcW w:w="4220" w:type="dxa"/>
            <w:vAlign w:val="bottom"/>
          </w:tcPr>
          <w:p>
            <w:pPr>
              <w:ind w:left="40"/>
              <w:spacing w:after="0" w:line="139" w:lineRule="exact"/>
              <w:rPr>
                <w:sz w:val="20"/>
                <w:szCs w:val="20"/>
                <w:color w:val="auto"/>
              </w:rPr>
            </w:pPr>
            <w:r>
              <w:rPr>
                <w:rFonts w:ascii="Arial" w:cs="Arial" w:eastAsia="Arial" w:hAnsi="Arial"/>
                <w:sz w:val="14"/>
                <w:szCs w:val="14"/>
                <w:color w:val="auto"/>
              </w:rPr>
              <w:t>plus our two reference peers (60%), (2) three-year compound</w:t>
            </w:r>
          </w:p>
        </w:tc>
        <w:tc>
          <w:tcPr>
            <w:tcW w:w="154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800" w:type="dxa"/>
            <w:vAlign w:val="bottom"/>
          </w:tcPr>
          <w:p>
            <w:pPr>
              <w:spacing w:after="0"/>
              <w:rPr>
                <w:sz w:val="12"/>
                <w:szCs w:val="12"/>
                <w:color w:val="auto"/>
              </w:rPr>
            </w:pPr>
          </w:p>
        </w:tc>
        <w:tc>
          <w:tcPr>
            <w:tcW w:w="1260" w:type="dxa"/>
            <w:vAlign w:val="bottom"/>
            <w:vMerge w:val="continue"/>
          </w:tcPr>
          <w:p>
            <w:pPr>
              <w:spacing w:after="0"/>
              <w:rPr>
                <w:sz w:val="12"/>
                <w:szCs w:val="12"/>
                <w:color w:val="auto"/>
              </w:rPr>
            </w:pPr>
          </w:p>
        </w:tc>
        <w:tc>
          <w:tcPr>
            <w:tcW w:w="4220" w:type="dxa"/>
            <w:vAlign w:val="bottom"/>
          </w:tcPr>
          <w:p>
            <w:pPr>
              <w:ind w:left="40"/>
              <w:spacing w:after="0" w:line="149" w:lineRule="exact"/>
              <w:rPr>
                <w:sz w:val="20"/>
                <w:szCs w:val="20"/>
                <w:color w:val="auto"/>
              </w:rPr>
            </w:pPr>
            <w:r>
              <w:rPr>
                <w:rFonts w:ascii="Arial" w:cs="Arial" w:eastAsia="Arial" w:hAnsi="Arial"/>
                <w:sz w:val="14"/>
                <w:szCs w:val="14"/>
                <w:color w:val="auto"/>
              </w:rPr>
              <w:t>annual growth rate for organic revenue (20%), and (3) three-year</w:t>
            </w:r>
          </w:p>
        </w:tc>
        <w:tc>
          <w:tcPr>
            <w:tcW w:w="1540" w:type="dxa"/>
            <w:vAlign w:val="bottom"/>
            <w:vMerge w:val="restart"/>
          </w:tcPr>
          <w:p>
            <w:pPr>
              <w:ind w:left="20"/>
              <w:spacing w:after="0"/>
              <w:rPr>
                <w:sz w:val="20"/>
                <w:szCs w:val="20"/>
                <w:color w:val="auto"/>
              </w:rPr>
            </w:pPr>
            <w:r>
              <w:rPr>
                <w:rFonts w:ascii="Arial" w:cs="Arial" w:eastAsia="Arial" w:hAnsi="Arial"/>
                <w:sz w:val="14"/>
                <w:szCs w:val="14"/>
                <w:color w:val="auto"/>
              </w:rPr>
              <w:t>Three years</w:t>
            </w:r>
          </w:p>
        </w:tc>
        <w:tc>
          <w:tcPr>
            <w:tcW w:w="1280" w:type="dxa"/>
            <w:vAlign w:val="bottom"/>
            <w:vMerge w:val="restart"/>
          </w:tcPr>
          <w:p>
            <w:pPr>
              <w:ind w:left="40"/>
              <w:spacing w:after="0"/>
              <w:rPr>
                <w:sz w:val="20"/>
                <w:szCs w:val="20"/>
                <w:color w:val="auto"/>
              </w:rPr>
            </w:pPr>
            <w:r>
              <w:rPr>
                <w:rFonts w:ascii="Arial" w:cs="Arial" w:eastAsia="Arial" w:hAnsi="Arial"/>
                <w:sz w:val="14"/>
                <w:szCs w:val="14"/>
                <w:color w:val="auto"/>
              </w:rPr>
              <w:t>Page 42</w:t>
            </w:r>
          </w:p>
        </w:tc>
        <w:tc>
          <w:tcPr>
            <w:tcW w:w="0" w:type="dxa"/>
            <w:vAlign w:val="bottom"/>
          </w:tcPr>
          <w:p>
            <w:pPr>
              <w:spacing w:after="0"/>
              <w:rPr>
                <w:sz w:val="1"/>
                <w:szCs w:val="1"/>
                <w:color w:val="auto"/>
              </w:rPr>
            </w:pPr>
          </w:p>
        </w:tc>
      </w:tr>
      <w:tr>
        <w:trPr>
          <w:trHeight w:val="185"/>
        </w:trPr>
        <w:tc>
          <w:tcPr>
            <w:tcW w:w="1800" w:type="dxa"/>
            <w:vAlign w:val="bottom"/>
          </w:tcPr>
          <w:p>
            <w:pPr>
              <w:spacing w:after="0"/>
              <w:rPr>
                <w:sz w:val="16"/>
                <w:szCs w:val="16"/>
                <w:color w:val="auto"/>
              </w:rPr>
            </w:pPr>
          </w:p>
        </w:tc>
        <w:tc>
          <w:tcPr>
            <w:tcW w:w="1260" w:type="dxa"/>
            <w:vAlign w:val="bottom"/>
            <w:tcBorders>
              <w:bottom w:val="single" w:sz="8" w:color="DBDBDB"/>
            </w:tcBorders>
          </w:tcPr>
          <w:p>
            <w:pPr>
              <w:spacing w:after="0"/>
              <w:rPr>
                <w:sz w:val="20"/>
                <w:szCs w:val="20"/>
                <w:color w:val="auto"/>
              </w:rPr>
            </w:pPr>
            <w:r>
              <w:rPr>
                <w:rFonts w:ascii="Arial" w:cs="Arial" w:eastAsia="Arial" w:hAnsi="Arial"/>
                <w:sz w:val="14"/>
                <w:szCs w:val="14"/>
                <w:color w:val="auto"/>
              </w:rPr>
              <w:t>awards (60%)</w:t>
            </w:r>
          </w:p>
        </w:tc>
        <w:tc>
          <w:tcPr>
            <w:tcW w:w="4220" w:type="dxa"/>
            <w:vAlign w:val="bottom"/>
            <w:tcBorders>
              <w:bottom w:val="single" w:sz="8" w:color="DBDBDB"/>
            </w:tcBorders>
          </w:tcPr>
          <w:p>
            <w:pPr>
              <w:ind w:left="40"/>
              <w:spacing w:after="0"/>
              <w:rPr>
                <w:sz w:val="20"/>
                <w:szCs w:val="20"/>
                <w:color w:val="auto"/>
              </w:rPr>
            </w:pPr>
            <w:r>
              <w:rPr>
                <w:rFonts w:ascii="Arial" w:cs="Arial" w:eastAsia="Arial" w:hAnsi="Arial"/>
                <w:sz w:val="14"/>
                <w:szCs w:val="14"/>
                <w:color w:val="auto"/>
              </w:rPr>
              <w:t>non-GAAP adjusted operating margin expansion (20%).</w:t>
            </w:r>
          </w:p>
        </w:tc>
        <w:tc>
          <w:tcPr>
            <w:tcW w:w="1540" w:type="dxa"/>
            <w:vAlign w:val="bottom"/>
            <w:tcBorders>
              <w:bottom w:val="single" w:sz="8" w:color="DBDBDB"/>
            </w:tcBorders>
            <w:vMerge w:val="continue"/>
          </w:tcPr>
          <w:p>
            <w:pPr>
              <w:spacing w:after="0"/>
              <w:rPr>
                <w:sz w:val="16"/>
                <w:szCs w:val="16"/>
                <w:color w:val="auto"/>
              </w:rPr>
            </w:pPr>
          </w:p>
        </w:tc>
        <w:tc>
          <w:tcPr>
            <w:tcW w:w="1280" w:type="dxa"/>
            <w:vAlign w:val="bottom"/>
            <w:tcBorders>
              <w:bottom w:val="single" w:sz="8" w:color="DBDBDB"/>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76"/>
        </w:trPr>
        <w:tc>
          <w:tcPr>
            <w:tcW w:w="1800" w:type="dxa"/>
            <w:vAlign w:val="bottom"/>
          </w:tcPr>
          <w:p>
            <w:pPr>
              <w:ind w:left="20"/>
              <w:spacing w:after="0"/>
              <w:rPr>
                <w:sz w:val="20"/>
                <w:szCs w:val="20"/>
                <w:color w:val="auto"/>
              </w:rPr>
            </w:pPr>
            <w:r>
              <w:rPr>
                <w:rFonts w:ascii="Arial" w:cs="Arial" w:eastAsia="Arial" w:hAnsi="Arial"/>
                <w:sz w:val="14"/>
                <w:szCs w:val="14"/>
                <w:b w:val="1"/>
                <w:bCs w:val="1"/>
                <w:color w:val="auto"/>
              </w:rPr>
              <w:t>Long-Term Incentive</w:t>
            </w:r>
          </w:p>
        </w:tc>
        <w:tc>
          <w:tcPr>
            <w:tcW w:w="1260" w:type="dxa"/>
            <w:vAlign w:val="bottom"/>
            <w:shd w:val="clear" w:color="auto" w:fill="E7ECF0"/>
          </w:tcPr>
          <w:p>
            <w:pPr>
              <w:spacing w:after="0"/>
              <w:rPr>
                <w:sz w:val="20"/>
                <w:szCs w:val="20"/>
                <w:color w:val="auto"/>
              </w:rPr>
            </w:pPr>
            <w:r>
              <w:rPr>
                <w:rFonts w:ascii="Arial" w:cs="Arial" w:eastAsia="Arial" w:hAnsi="Arial"/>
                <w:sz w:val="14"/>
                <w:szCs w:val="14"/>
                <w:color w:val="auto"/>
              </w:rPr>
              <w:t>Restricted stock</w:t>
            </w:r>
          </w:p>
        </w:tc>
        <w:tc>
          <w:tcPr>
            <w:tcW w:w="4220" w:type="dxa"/>
            <w:vAlign w:val="bottom"/>
            <w:shd w:val="clear" w:color="auto" w:fill="E7ECF0"/>
          </w:tcPr>
          <w:p>
            <w:pPr>
              <w:ind w:left="40"/>
              <w:spacing w:after="0"/>
              <w:rPr>
                <w:sz w:val="20"/>
                <w:szCs w:val="20"/>
                <w:color w:val="auto"/>
              </w:rPr>
            </w:pPr>
            <w:r>
              <w:rPr>
                <w:rFonts w:ascii="Arial" w:cs="Arial" w:eastAsia="Arial" w:hAnsi="Arial"/>
                <w:sz w:val="14"/>
                <w:szCs w:val="14"/>
                <w:color w:val="auto"/>
              </w:rPr>
              <w:t>Time-based restricted stock units vest in equal annual</w:t>
            </w:r>
          </w:p>
        </w:tc>
        <w:tc>
          <w:tcPr>
            <w:tcW w:w="1540" w:type="dxa"/>
            <w:vAlign w:val="bottom"/>
            <w:vMerge w:val="restart"/>
            <w:shd w:val="clear" w:color="auto" w:fill="E7ECF0"/>
          </w:tcPr>
          <w:p>
            <w:pPr>
              <w:ind w:left="20"/>
              <w:spacing w:after="0"/>
              <w:rPr>
                <w:sz w:val="20"/>
                <w:szCs w:val="20"/>
                <w:color w:val="auto"/>
              </w:rPr>
            </w:pPr>
            <w:r>
              <w:rPr>
                <w:rFonts w:ascii="Arial" w:cs="Arial" w:eastAsia="Arial" w:hAnsi="Arial"/>
                <w:sz w:val="14"/>
                <w:szCs w:val="14"/>
                <w:color w:val="auto"/>
              </w:rPr>
              <w:t>Three years</w:t>
            </w:r>
          </w:p>
        </w:tc>
        <w:tc>
          <w:tcPr>
            <w:tcW w:w="1280" w:type="dxa"/>
            <w:vAlign w:val="bottom"/>
            <w:vMerge w:val="restart"/>
            <w:shd w:val="clear" w:color="auto" w:fill="E7ECF0"/>
          </w:tcPr>
          <w:p>
            <w:pPr>
              <w:ind w:left="40"/>
              <w:spacing w:after="0"/>
              <w:rPr>
                <w:sz w:val="20"/>
                <w:szCs w:val="20"/>
                <w:color w:val="auto"/>
              </w:rPr>
            </w:pPr>
            <w:r>
              <w:rPr>
                <w:rFonts w:ascii="Arial" w:cs="Arial" w:eastAsia="Arial" w:hAnsi="Arial"/>
                <w:sz w:val="14"/>
                <w:szCs w:val="14"/>
                <w:color w:val="auto"/>
              </w:rPr>
              <w:t>Page 46</w:t>
            </w:r>
          </w:p>
        </w:tc>
        <w:tc>
          <w:tcPr>
            <w:tcW w:w="0" w:type="dxa"/>
            <w:vAlign w:val="bottom"/>
          </w:tcPr>
          <w:p>
            <w:pPr>
              <w:spacing w:after="0"/>
              <w:rPr>
                <w:sz w:val="1"/>
                <w:szCs w:val="1"/>
                <w:color w:val="auto"/>
              </w:rPr>
            </w:pPr>
          </w:p>
        </w:tc>
      </w:tr>
      <w:tr>
        <w:trPr>
          <w:trHeight w:val="185"/>
        </w:trPr>
        <w:tc>
          <w:tcPr>
            <w:tcW w:w="1800" w:type="dxa"/>
            <w:vAlign w:val="bottom"/>
            <w:tcBorders>
              <w:bottom w:val="single" w:sz="8" w:color="DBDBDB"/>
            </w:tcBorders>
          </w:tcPr>
          <w:p>
            <w:pPr>
              <w:ind w:left="20"/>
              <w:spacing w:after="0"/>
              <w:rPr>
                <w:sz w:val="20"/>
                <w:szCs w:val="20"/>
                <w:color w:val="auto"/>
              </w:rPr>
            </w:pPr>
            <w:r>
              <w:rPr>
                <w:rFonts w:ascii="Arial" w:cs="Arial" w:eastAsia="Arial" w:hAnsi="Arial"/>
                <w:sz w:val="14"/>
                <w:szCs w:val="14"/>
                <w:b w:val="1"/>
                <w:bCs w:val="1"/>
                <w:color w:val="auto"/>
              </w:rPr>
              <w:t>Compensation</w:t>
            </w:r>
          </w:p>
        </w:tc>
        <w:tc>
          <w:tcPr>
            <w:tcW w:w="1260" w:type="dxa"/>
            <w:vAlign w:val="bottom"/>
            <w:tcBorders>
              <w:bottom w:val="single" w:sz="8" w:color="DBDBDB"/>
            </w:tcBorders>
            <w:shd w:val="clear" w:color="auto" w:fill="E7ECF0"/>
          </w:tcPr>
          <w:p>
            <w:pPr>
              <w:spacing w:after="0"/>
              <w:rPr>
                <w:sz w:val="20"/>
                <w:szCs w:val="20"/>
                <w:color w:val="auto"/>
              </w:rPr>
            </w:pPr>
            <w:r>
              <w:rPr>
                <w:rFonts w:ascii="Arial" w:cs="Arial" w:eastAsia="Arial" w:hAnsi="Arial"/>
                <w:sz w:val="14"/>
                <w:szCs w:val="14"/>
                <w:color w:val="auto"/>
              </w:rPr>
              <w:t>unit awards (40%)</w:t>
            </w:r>
          </w:p>
        </w:tc>
        <w:tc>
          <w:tcPr>
            <w:tcW w:w="4220" w:type="dxa"/>
            <w:vAlign w:val="bottom"/>
            <w:tcBorders>
              <w:bottom w:val="single" w:sz="8" w:color="DBDBDB"/>
            </w:tcBorders>
            <w:shd w:val="clear" w:color="auto" w:fill="E7ECF0"/>
          </w:tcPr>
          <w:p>
            <w:pPr>
              <w:ind w:left="40"/>
              <w:spacing w:after="0"/>
              <w:rPr>
                <w:sz w:val="20"/>
                <w:szCs w:val="20"/>
                <w:color w:val="auto"/>
              </w:rPr>
            </w:pPr>
            <w:r>
              <w:rPr>
                <w:rFonts w:ascii="Arial" w:cs="Arial" w:eastAsia="Arial" w:hAnsi="Arial"/>
                <w:sz w:val="14"/>
                <w:szCs w:val="14"/>
                <w:color w:val="auto"/>
              </w:rPr>
              <w:t>installments based on continued service.</w:t>
            </w:r>
          </w:p>
        </w:tc>
        <w:tc>
          <w:tcPr>
            <w:tcW w:w="1540" w:type="dxa"/>
            <w:vAlign w:val="bottom"/>
            <w:tcBorders>
              <w:bottom w:val="single" w:sz="8" w:color="DBDBDB"/>
            </w:tcBorders>
            <w:vMerge w:val="continue"/>
            <w:shd w:val="clear" w:color="auto" w:fill="E7ECF0"/>
          </w:tcPr>
          <w:p>
            <w:pPr>
              <w:spacing w:after="0"/>
              <w:rPr>
                <w:sz w:val="16"/>
                <w:szCs w:val="16"/>
                <w:color w:val="auto"/>
              </w:rPr>
            </w:pPr>
          </w:p>
        </w:tc>
        <w:tc>
          <w:tcPr>
            <w:tcW w:w="1280" w:type="dxa"/>
            <w:vAlign w:val="bottom"/>
            <w:tcBorders>
              <w:bottom w:val="single" w:sz="8" w:color="DBDBDB"/>
            </w:tcBorders>
            <w:vMerge w:val="continue"/>
            <w:shd w:val="clear" w:color="auto" w:fill="E7ECF0"/>
          </w:tcPr>
          <w:p>
            <w:pPr>
              <w:spacing w:after="0"/>
              <w:rPr>
                <w:sz w:val="16"/>
                <w:szCs w:val="16"/>
                <w:color w:val="auto"/>
              </w:rPr>
            </w:pPr>
          </w:p>
        </w:tc>
        <w:tc>
          <w:tcPr>
            <w:tcW w:w="0" w:type="dxa"/>
            <w:vAlign w:val="bottom"/>
          </w:tcPr>
          <w:p>
            <w:pPr>
              <w:spacing w:after="0"/>
              <w:rPr>
                <w:sz w:val="1"/>
                <w:szCs w:val="1"/>
                <w:color w:val="auto"/>
              </w:rPr>
            </w:pPr>
          </w:p>
        </w:tc>
      </w:tr>
    </w:tbl>
    <w:p>
      <w:pPr>
        <w:spacing w:after="0" w:line="329" w:lineRule="exact"/>
        <w:rPr>
          <w:sz w:val="20"/>
          <w:szCs w:val="20"/>
          <w:color w:val="auto"/>
        </w:rPr>
      </w:pPr>
    </w:p>
    <w:p>
      <w:pPr>
        <w:spacing w:after="0"/>
        <w:rPr>
          <w:sz w:val="20"/>
          <w:szCs w:val="20"/>
          <w:color w:val="auto"/>
        </w:rPr>
      </w:pPr>
      <w:r>
        <w:rPr>
          <w:rFonts w:ascii="Arial" w:cs="Arial" w:eastAsia="Arial" w:hAnsi="Arial"/>
          <w:sz w:val="20"/>
          <w:szCs w:val="20"/>
          <w:color w:val="auto"/>
        </w:rPr>
        <w:t>In the aggregate, the relative portions of the above compensation components that made up the pay mix in fiscal 2024 for Mr.</w:t>
      </w:r>
    </w:p>
    <w:p>
      <w:pPr>
        <w:spacing w:after="0" w:line="31" w:lineRule="exact"/>
        <w:rPr>
          <w:sz w:val="20"/>
          <w:szCs w:val="20"/>
          <w:color w:val="auto"/>
        </w:rPr>
      </w:pPr>
    </w:p>
    <w:p>
      <w:pPr>
        <w:spacing w:after="0"/>
        <w:rPr>
          <w:sz w:val="20"/>
          <w:szCs w:val="20"/>
          <w:color w:val="auto"/>
        </w:rPr>
      </w:pPr>
      <w:r>
        <w:rPr>
          <w:rFonts w:ascii="Arial" w:cs="Arial" w:eastAsia="Arial" w:hAnsi="Arial"/>
          <w:sz w:val="20"/>
          <w:szCs w:val="20"/>
          <w:color w:val="auto"/>
        </w:rPr>
        <w:t>Foss, our Chief Executive Officer, and the other Named Executives as a a group are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310515</wp:posOffset>
            </wp:positionV>
            <wp:extent cx="6609080" cy="21170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609080" cy="21170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3199765</wp:posOffset>
            </wp:positionV>
            <wp:extent cx="7132320" cy="3517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32320" cy="3517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20"/>
        <w:spacing w:after="0"/>
        <w:tabs>
          <w:tab w:leader="none" w:pos="440" w:val="left"/>
        </w:tabs>
        <w:rPr>
          <w:sz w:val="20"/>
          <w:szCs w:val="20"/>
          <w:color w:val="auto"/>
        </w:rPr>
      </w:pPr>
      <w:r>
        <w:rPr>
          <w:rFonts w:ascii="Arial" w:cs="Arial" w:eastAsia="Arial" w:hAnsi="Arial"/>
          <w:sz w:val="18"/>
          <w:szCs w:val="18"/>
          <w:color w:val="auto"/>
        </w:rPr>
        <w:t>30</w:t>
        <w:tab/>
        <w:t>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262255</wp:posOffset>
            </wp:positionV>
            <wp:extent cx="7157720"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9" w:right="339" w:bottom="1440" w:gutter="0" w:footer="0" w:header="0"/>
        </w:sectPr>
      </w:pPr>
    </w:p>
    <w:bookmarkStart w:id="33" w:name="page34"/>
    <w:bookmarkEnd w:id="33"/>
    <w:p>
      <w:pPr>
        <w:jc w:val="both"/>
        <w:spacing w:after="0" w:line="276" w:lineRule="auto"/>
        <w:rPr>
          <w:sz w:val="20"/>
          <w:szCs w:val="20"/>
          <w:color w:val="auto"/>
        </w:rPr>
      </w:pPr>
      <w:r>
        <w:rPr>
          <w:rFonts w:ascii="Arial" w:cs="Arial" w:eastAsia="Arial" w:hAnsi="Arial"/>
          <w:sz w:val="20"/>
          <w:szCs w:val="20"/>
          <w:color w:val="auto"/>
        </w:rPr>
        <w:t>The fiscal 2024 pay mix established by the HC&amp;C Committee places the greatest emphasis on performance-based and at-risk pay while balancing the need for retention, and particularly emphasized long-term performance by the Company. The pay mix was intended to ensure that the Named Executives remained highly focused on the long-term success of the Company.</w:t>
      </w:r>
    </w:p>
    <w:p>
      <w:pPr>
        <w:spacing w:after="0" w:line="190" w:lineRule="exact"/>
        <w:rPr>
          <w:sz w:val="20"/>
          <w:szCs w:val="20"/>
          <w:color w:val="auto"/>
        </w:rPr>
      </w:pPr>
    </w:p>
    <w:p>
      <w:pPr>
        <w:ind w:right="140"/>
        <w:spacing w:after="0" w:line="298" w:lineRule="auto"/>
        <w:rPr>
          <w:sz w:val="20"/>
          <w:szCs w:val="20"/>
          <w:color w:val="auto"/>
        </w:rPr>
      </w:pPr>
      <w:r>
        <w:rPr>
          <w:rFonts w:ascii="Arial" w:cs="Arial" w:eastAsia="Arial" w:hAnsi="Arial"/>
          <w:sz w:val="20"/>
          <w:szCs w:val="20"/>
          <w:b w:val="1"/>
          <w:bCs w:val="1"/>
          <w:color w:val="auto"/>
        </w:rPr>
        <w:t>Total Shareholder Return, Organic Revenue Growth, Non-GAAP Adjusted Operating Margin Expansion, and Results of Fiscal 2022 Performance Share Awards</w:t>
      </w:r>
    </w:p>
    <w:p>
      <w:pPr>
        <w:spacing w:after="0" w:line="173" w:lineRule="exact"/>
        <w:rPr>
          <w:sz w:val="20"/>
          <w:szCs w:val="20"/>
          <w:color w:val="auto"/>
        </w:rPr>
      </w:pPr>
    </w:p>
    <w:p>
      <w:pPr>
        <w:jc w:val="both"/>
        <w:spacing w:after="0" w:line="265" w:lineRule="auto"/>
        <w:rPr>
          <w:sz w:val="20"/>
          <w:szCs w:val="20"/>
          <w:color w:val="auto"/>
        </w:rPr>
      </w:pPr>
      <w:r>
        <w:rPr>
          <w:rFonts w:ascii="Arial" w:cs="Arial" w:eastAsia="Arial" w:hAnsi="Arial"/>
          <w:sz w:val="20"/>
          <w:szCs w:val="20"/>
          <w:color w:val="auto"/>
        </w:rPr>
        <w:t>In fiscal 2022, the HC&amp;C Committee made three separate performance share grants to our then named executive officers (“2022 Named Executives”) based on three separate measures of comparative performance. One was based on relative total shareholder return ("TSR"), one was based on the Company’s compound annual growth rate (“CAGR”) for non-GAAP adjusted revenue (“Organic Revenue Growth”), and one was based on the Company's non-GAAP adjusted operating margin expansion (“Operating Margin Expansion”).</w:t>
      </w:r>
    </w:p>
    <w:p>
      <w:pPr>
        <w:spacing w:after="0" w:line="202" w:lineRule="exact"/>
        <w:rPr>
          <w:sz w:val="20"/>
          <w:szCs w:val="20"/>
          <w:color w:val="auto"/>
        </w:rPr>
      </w:pPr>
    </w:p>
    <w:p>
      <w:pPr>
        <w:jc w:val="both"/>
        <w:spacing w:after="0" w:line="261" w:lineRule="auto"/>
        <w:rPr>
          <w:sz w:val="20"/>
          <w:szCs w:val="20"/>
          <w:color w:val="auto"/>
        </w:rPr>
      </w:pPr>
      <w:r>
        <w:rPr>
          <w:rFonts w:ascii="Arial" w:cs="Arial" w:eastAsia="Arial" w:hAnsi="Arial"/>
          <w:sz w:val="20"/>
          <w:szCs w:val="20"/>
          <w:color w:val="auto"/>
        </w:rPr>
        <w:t xml:space="preserve">TSR is calculated as (i) the sum of change in stock price </w:t>
      </w:r>
      <w:r>
        <w:rPr>
          <w:rFonts w:ascii="Arial" w:cs="Arial" w:eastAsia="Arial" w:hAnsi="Arial"/>
          <w:sz w:val="20"/>
          <w:szCs w:val="20"/>
          <w:i w:val="1"/>
          <w:iCs w:val="1"/>
          <w:color w:val="auto"/>
        </w:rPr>
        <w:t>plus</w:t>
      </w:r>
      <w:r>
        <w:rPr>
          <w:rFonts w:ascii="Arial" w:cs="Arial" w:eastAsia="Arial" w:hAnsi="Arial"/>
          <w:sz w:val="20"/>
          <w:szCs w:val="20"/>
          <w:color w:val="auto"/>
        </w:rPr>
        <w:t xml:space="preserve"> dividends over the measurement period, </w:t>
      </w:r>
      <w:r>
        <w:rPr>
          <w:rFonts w:ascii="Arial" w:cs="Arial" w:eastAsia="Arial" w:hAnsi="Arial"/>
          <w:sz w:val="20"/>
          <w:szCs w:val="20"/>
          <w:i w:val="1"/>
          <w:iCs w:val="1"/>
          <w:color w:val="auto"/>
        </w:rPr>
        <w:t>divided by</w:t>
      </w:r>
      <w:r>
        <w:rPr>
          <w:rFonts w:ascii="Arial" w:cs="Arial" w:eastAsia="Arial" w:hAnsi="Arial"/>
          <w:sz w:val="20"/>
          <w:szCs w:val="20"/>
          <w:color w:val="auto"/>
        </w:rPr>
        <w:t xml:space="preserve"> (ii) the beginning stock price. This calculation assumes reinvestment of dividends. Our TSR performance has a meaningful and direct impact on the compensation earned by our 2022 Named Executives. The TSR performance share grant comprised approximately 60% of the total performance share grant target value. The TSR performance share grant in fiscal 2022 vested at the end of three years based on TSR over the three-year period in comparison to the companies in the S&amp;P Software &amp; Services Index (the “S&amp;P 1500 S&amp;S”) plus any members of the fiscal 2022 Compensation Peer Group not otherwise included in the S&amp;P 1500 S&amp;S (together, the “2022 TSR Peer Group”). The Company produced a TSR of 4.98% over the three-year period ending June 30, 2024, using the average closing price of the last 30 calendar days of fiscal 2024. This TSR resulted in an achievement of the 60th percentile against the fiscal 2022 TSR Peer Group, which correlated to a final payout of 133.33% of the 2022 Named Executive’s target TSR performance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132320" cy="398589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32320" cy="39858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ind w:left="9000"/>
        <w:spacing w:after="0"/>
        <w:tabs>
          <w:tab w:leader="none" w:pos="11000" w:val="left"/>
        </w:tabs>
        <w:rPr>
          <w:sz w:val="20"/>
          <w:szCs w:val="20"/>
          <w:color w:val="auto"/>
        </w:rPr>
      </w:pPr>
      <w:r>
        <w:rPr>
          <w:rFonts w:ascii="Arial" w:cs="Arial" w:eastAsia="Arial" w:hAnsi="Arial"/>
          <w:sz w:val="18"/>
          <w:szCs w:val="18"/>
          <w:color w:val="auto"/>
        </w:rPr>
        <w:t>2024 Proxy Statement</w:t>
      </w:r>
      <w:r>
        <w:rPr>
          <w:sz w:val="20"/>
          <w:szCs w:val="20"/>
          <w:color w:val="auto"/>
        </w:rPr>
        <w:tab/>
      </w:r>
      <w:r>
        <w:rPr>
          <w:rFonts w:ascii="Arial" w:cs="Arial" w:eastAsia="Arial" w:hAnsi="Arial"/>
          <w:sz w:val="17"/>
          <w:szCs w:val="17"/>
          <w:color w:val="1E3767"/>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253365</wp:posOffset>
            </wp:positionV>
            <wp:extent cx="7157720"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01" w:right="339" w:bottom="1440" w:gutter="0" w:footer="0" w:header="0"/>
        </w:sectPr>
      </w:pPr>
    </w:p>
    <w:bookmarkStart w:id="34" w:name="page35"/>
    <w:bookmarkEnd w:id="34"/>
    <w:p>
      <w:pPr>
        <w:jc w:val="both"/>
        <w:spacing w:after="0" w:line="263" w:lineRule="auto"/>
        <w:rPr>
          <w:sz w:val="20"/>
          <w:szCs w:val="20"/>
          <w:color w:val="auto"/>
        </w:rPr>
      </w:pPr>
      <w:r>
        <w:rPr>
          <w:rFonts w:ascii="Arial" w:cs="Arial" w:eastAsia="Arial" w:hAnsi="Arial"/>
          <w:sz w:val="20"/>
          <w:szCs w:val="20"/>
          <w:color w:val="auto"/>
        </w:rPr>
        <w:t>The Organic Revenue Growth performance share grant comprised approximately 20% of the total fiscal 2022 performance share grant target value and vested at the end of three years based on the Company’s Organic Revenue Growth CAGR, which is adjusted for the impact of deconversion fees and acquisitions and divestitures during the performance period, against a threshold, target, and maximum percentage goal set by the HC&amp;C Committee based on the annual budget of the Company and available forecasts, with the purpose of setting meaningful and challenging targets. The Company produced an Organic Revenue Growth CAGR of 7.6% over the three-year period ending June 30, 2024, resulting in a final payout of 106.7% of the 2022 Named Executive’s target Organic Revenue Growth performance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1642110</wp:posOffset>
            </wp:positionH>
            <wp:positionV relativeFrom="paragraph">
              <wp:posOffset>136525</wp:posOffset>
            </wp:positionV>
            <wp:extent cx="3865880" cy="361759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3865880" cy="36175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both"/>
        <w:spacing w:after="0" w:line="277" w:lineRule="auto"/>
        <w:rPr>
          <w:sz w:val="20"/>
          <w:szCs w:val="20"/>
          <w:color w:val="auto"/>
        </w:rPr>
      </w:pPr>
      <w:r>
        <w:rPr>
          <w:rFonts w:ascii="Arial" w:cs="Arial" w:eastAsia="Arial" w:hAnsi="Arial"/>
          <w:sz w:val="19"/>
          <w:szCs w:val="19"/>
          <w:color w:val="auto"/>
        </w:rPr>
        <w:t>The Operating Margin Expansion performance share grant comprised approximately 20% of the total fiscal 2022 performance share grant target value and vested at the end of three years based on the Company’s Operating Margin Expansion, which is adjusted for the impact of deconversion fees and acquisitions and divestitures during the performance period, against a threshold, target, and maximum percentage goal set by the HC&amp;C Committee based on the annual budget of the Company and available forecasts, with the purpose of setting meaningful and challenging targets. The Company produced an Operating Margin Expansion of 0.5% over the three-year period ending June 30, 2024, resulting in a final payout of 0% of the 2022 Named Executive’s target Operating Margin Expansion performance shares. This result demonstrates that the targets set by the HC&amp;C Committee are challenging and in keeping with the Company’s desire to focus on performance-based and at-risk pay.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27305</wp:posOffset>
            </wp:positionV>
            <wp:extent cx="7132320" cy="3517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32320" cy="351790"/>
                    </a:xfrm>
                    <a:prstGeom prst="rect">
                      <a:avLst/>
                    </a:prstGeom>
                    <a:noFill/>
                  </pic:spPr>
                </pic:pic>
              </a:graphicData>
            </a:graphic>
          </wp:anchor>
        </w:drawing>
      </w:r>
    </w:p>
    <w:p>
      <w:pPr>
        <w:spacing w:after="0" w:line="233" w:lineRule="exact"/>
        <w:rPr>
          <w:sz w:val="20"/>
          <w:szCs w:val="20"/>
          <w:color w:val="auto"/>
        </w:rPr>
      </w:pPr>
    </w:p>
    <w:p>
      <w:pPr>
        <w:ind w:left="20"/>
        <w:spacing w:after="0"/>
        <w:tabs>
          <w:tab w:leader="none" w:pos="440" w:val="left"/>
        </w:tabs>
        <w:rPr>
          <w:sz w:val="20"/>
          <w:szCs w:val="20"/>
          <w:color w:val="auto"/>
        </w:rPr>
      </w:pPr>
      <w:r>
        <w:rPr>
          <w:rFonts w:ascii="Arial" w:cs="Arial" w:eastAsia="Arial" w:hAnsi="Arial"/>
          <w:sz w:val="18"/>
          <w:szCs w:val="18"/>
          <w:color w:val="auto"/>
        </w:rPr>
        <w:t>32</w:t>
        <w:tab/>
        <w:t>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262255</wp:posOffset>
            </wp:positionV>
            <wp:extent cx="7157720"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4" w:right="339" w:bottom="1440" w:gutter="0" w:footer="0" w:header="0"/>
        </w:sectPr>
      </w:pPr>
    </w:p>
    <w:bookmarkStart w:id="35" w:name="page36"/>
    <w:bookmarkEnd w:id="3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1673860</wp:posOffset>
            </wp:positionH>
            <wp:positionV relativeFrom="page">
              <wp:posOffset>577215</wp:posOffset>
            </wp:positionV>
            <wp:extent cx="4208780" cy="361759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clrChange>
                        <a:clrFrom>
                          <a:srgbClr val="FFFFFF"/>
                        </a:clrFrom>
                        <a:clrTo>
                          <a:srgbClr val="FFFFFF">
                            <a:alpha val="0"/>
                          </a:srgbClr>
                        </a:clrTo>
                      </a:clrChange>
                      <a:extLst>
                        <a:ext uri="{28A0092B-C50C-407E-A947-70E740481C1C}"/>
                      </a:extLst>
                    </a:blip>
                    <a:srcRect/>
                    <a:stretch>
                      <a:fillRect/>
                    </a:stretch>
                  </pic:blipFill>
                  <pic:spPr bwMode="auto">
                    <a:xfrm>
                      <a:off x="0" y="0"/>
                      <a:ext cx="4208780" cy="36175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Compensation Philosophy and Objectives</w:t>
      </w:r>
    </w:p>
    <w:p>
      <w:pPr>
        <w:spacing w:after="0" w:line="245" w:lineRule="exact"/>
        <w:rPr>
          <w:sz w:val="20"/>
          <w:szCs w:val="20"/>
          <w:color w:val="auto"/>
        </w:rPr>
      </w:pPr>
    </w:p>
    <w:p>
      <w:pPr>
        <w:spacing w:after="0"/>
        <w:rPr>
          <w:sz w:val="20"/>
          <w:szCs w:val="20"/>
          <w:color w:val="auto"/>
        </w:rPr>
      </w:pPr>
      <w:r>
        <w:rPr>
          <w:rFonts w:ascii="Arial" w:cs="Arial" w:eastAsia="Arial" w:hAnsi="Arial"/>
          <w:sz w:val="20"/>
          <w:szCs w:val="20"/>
          <w:color w:val="auto"/>
        </w:rPr>
        <w:t>Jack Henry’s compensation philosophy is to offer compensation programs to our executives that:</w:t>
      </w:r>
    </w:p>
    <w:p>
      <w:pPr>
        <w:spacing w:after="0" w:line="256" w:lineRule="exact"/>
        <w:rPr>
          <w:sz w:val="20"/>
          <w:szCs w:val="20"/>
          <w:color w:val="auto"/>
        </w:rPr>
      </w:pPr>
    </w:p>
    <w:p>
      <w:pPr>
        <w:ind w:left="640" w:hanging="308"/>
        <w:spacing w:after="0"/>
        <w:tabs>
          <w:tab w:leader="none" w:pos="640" w:val="left"/>
        </w:tabs>
        <w:numPr>
          <w:ilvl w:val="0"/>
          <w:numId w:val="10"/>
        </w:numPr>
        <w:rPr>
          <w:rFonts w:ascii="Arial" w:cs="Arial" w:eastAsia="Arial" w:hAnsi="Arial"/>
          <w:sz w:val="20"/>
          <w:szCs w:val="20"/>
          <w:color w:val="auto"/>
        </w:rPr>
      </w:pPr>
      <w:r>
        <w:rPr>
          <w:rFonts w:ascii="Arial" w:cs="Arial" w:eastAsia="Arial" w:hAnsi="Arial"/>
          <w:sz w:val="20"/>
          <w:szCs w:val="20"/>
          <w:color w:val="auto"/>
        </w:rPr>
        <w:t>Attract and retain highly qualified and motivated executives;</w:t>
      </w:r>
    </w:p>
    <w:p>
      <w:pPr>
        <w:spacing w:after="0" w:line="31" w:lineRule="exact"/>
        <w:rPr>
          <w:rFonts w:ascii="Arial" w:cs="Arial" w:eastAsia="Arial" w:hAnsi="Arial"/>
          <w:sz w:val="20"/>
          <w:szCs w:val="20"/>
          <w:color w:val="auto"/>
        </w:rPr>
      </w:pPr>
    </w:p>
    <w:p>
      <w:pPr>
        <w:ind w:left="640" w:hanging="308"/>
        <w:spacing w:after="0"/>
        <w:tabs>
          <w:tab w:leader="none" w:pos="640" w:val="left"/>
        </w:tabs>
        <w:numPr>
          <w:ilvl w:val="0"/>
          <w:numId w:val="10"/>
        </w:numPr>
        <w:rPr>
          <w:rFonts w:ascii="Arial" w:cs="Arial" w:eastAsia="Arial" w:hAnsi="Arial"/>
          <w:sz w:val="20"/>
          <w:szCs w:val="20"/>
          <w:color w:val="auto"/>
        </w:rPr>
      </w:pPr>
      <w:r>
        <w:rPr>
          <w:rFonts w:ascii="Arial" w:cs="Arial" w:eastAsia="Arial" w:hAnsi="Arial"/>
          <w:sz w:val="20"/>
          <w:szCs w:val="20"/>
          <w:color w:val="auto"/>
        </w:rPr>
        <w:t>Encourage esprit de corps and reward outstanding performance;</w:t>
      </w:r>
    </w:p>
    <w:p>
      <w:pPr>
        <w:spacing w:after="0" w:line="13" w:lineRule="exact"/>
        <w:rPr>
          <w:rFonts w:ascii="Arial" w:cs="Arial" w:eastAsia="Arial" w:hAnsi="Arial"/>
          <w:sz w:val="20"/>
          <w:szCs w:val="20"/>
          <w:color w:val="auto"/>
        </w:rPr>
      </w:pPr>
    </w:p>
    <w:p>
      <w:pPr>
        <w:ind w:left="640" w:hanging="308"/>
        <w:spacing w:after="0"/>
        <w:tabs>
          <w:tab w:leader="none" w:pos="640" w:val="left"/>
        </w:tabs>
        <w:numPr>
          <w:ilvl w:val="0"/>
          <w:numId w:val="10"/>
        </w:numPr>
        <w:rPr>
          <w:rFonts w:ascii="Arial" w:cs="Arial" w:eastAsia="Arial" w:hAnsi="Arial"/>
          <w:sz w:val="20"/>
          <w:szCs w:val="20"/>
          <w:color w:val="auto"/>
        </w:rPr>
      </w:pPr>
      <w:r>
        <w:rPr>
          <w:rFonts w:ascii="Arial" w:cs="Arial" w:eastAsia="Arial" w:hAnsi="Arial"/>
          <w:sz w:val="20"/>
          <w:szCs w:val="20"/>
          <w:color w:val="auto"/>
        </w:rPr>
        <w:t>Focus executives on achieving consistent earnings growth;</w:t>
      </w:r>
    </w:p>
    <w:p>
      <w:pPr>
        <w:spacing w:after="0" w:line="26" w:lineRule="exact"/>
        <w:rPr>
          <w:rFonts w:ascii="Arial" w:cs="Arial" w:eastAsia="Arial" w:hAnsi="Arial"/>
          <w:sz w:val="20"/>
          <w:szCs w:val="20"/>
          <w:color w:val="auto"/>
        </w:rPr>
      </w:pPr>
    </w:p>
    <w:p>
      <w:pPr>
        <w:ind w:left="640" w:hanging="308"/>
        <w:spacing w:after="0"/>
        <w:tabs>
          <w:tab w:leader="none" w:pos="640" w:val="left"/>
        </w:tabs>
        <w:numPr>
          <w:ilvl w:val="0"/>
          <w:numId w:val="10"/>
        </w:numPr>
        <w:rPr>
          <w:rFonts w:ascii="Arial" w:cs="Arial" w:eastAsia="Arial" w:hAnsi="Arial"/>
          <w:sz w:val="20"/>
          <w:szCs w:val="20"/>
          <w:color w:val="auto"/>
        </w:rPr>
      </w:pPr>
      <w:r>
        <w:rPr>
          <w:rFonts w:ascii="Arial" w:cs="Arial" w:eastAsia="Arial" w:hAnsi="Arial"/>
          <w:sz w:val="20"/>
          <w:szCs w:val="20"/>
          <w:color w:val="auto"/>
        </w:rPr>
        <w:t>Encourage continuation of the Company’s entrepreneurial spirit; and</w:t>
      </w:r>
    </w:p>
    <w:p>
      <w:pPr>
        <w:spacing w:after="0" w:line="13" w:lineRule="exact"/>
        <w:rPr>
          <w:rFonts w:ascii="Arial" w:cs="Arial" w:eastAsia="Arial" w:hAnsi="Arial"/>
          <w:sz w:val="20"/>
          <w:szCs w:val="20"/>
          <w:color w:val="auto"/>
        </w:rPr>
      </w:pPr>
    </w:p>
    <w:p>
      <w:pPr>
        <w:ind w:left="640" w:hanging="308"/>
        <w:spacing w:after="0"/>
        <w:tabs>
          <w:tab w:leader="none" w:pos="640" w:val="left"/>
        </w:tabs>
        <w:numPr>
          <w:ilvl w:val="0"/>
          <w:numId w:val="10"/>
        </w:numPr>
        <w:rPr>
          <w:rFonts w:ascii="Arial" w:cs="Arial" w:eastAsia="Arial" w:hAnsi="Arial"/>
          <w:sz w:val="20"/>
          <w:szCs w:val="20"/>
          <w:color w:val="auto"/>
        </w:rPr>
      </w:pPr>
      <w:r>
        <w:rPr>
          <w:rFonts w:ascii="Arial" w:cs="Arial" w:eastAsia="Arial" w:hAnsi="Arial"/>
          <w:sz w:val="20"/>
          <w:szCs w:val="20"/>
          <w:color w:val="auto"/>
        </w:rPr>
        <w:t>Reward the creation of stockholder value.</w:t>
      </w:r>
    </w:p>
    <w:p>
      <w:pPr>
        <w:spacing w:after="0" w:line="238" w:lineRule="exact"/>
        <w:rPr>
          <w:sz w:val="20"/>
          <w:szCs w:val="20"/>
          <w:color w:val="auto"/>
        </w:rPr>
      </w:pPr>
    </w:p>
    <w:p>
      <w:pPr>
        <w:jc w:val="both"/>
        <w:spacing w:after="0" w:line="269" w:lineRule="auto"/>
        <w:rPr>
          <w:sz w:val="20"/>
          <w:szCs w:val="20"/>
          <w:color w:val="auto"/>
        </w:rPr>
      </w:pPr>
      <w:r>
        <w:rPr>
          <w:rFonts w:ascii="Arial" w:cs="Arial" w:eastAsia="Arial" w:hAnsi="Arial"/>
          <w:sz w:val="20"/>
          <w:szCs w:val="20"/>
          <w:color w:val="auto"/>
        </w:rPr>
        <w:t>In meeting these objectives, the HC&amp;C Committee strives for the interests of management and stockholders to be the same. To this end, key financial performance measures include adjusted operating income, Organic Revenue Growth, Operating Margin Expansion, and TSR. These measures emphasize a focus on revenue growth, operating efficiencies to yield strong margins, and returns to stockholders in excess of our peers.</w:t>
      </w:r>
    </w:p>
    <w:p>
      <w:pPr>
        <w:spacing w:after="0" w:line="211" w:lineRule="exact"/>
        <w:rPr>
          <w:sz w:val="20"/>
          <w:szCs w:val="20"/>
          <w:color w:val="auto"/>
        </w:rPr>
      </w:pPr>
    </w:p>
    <w:p>
      <w:pPr>
        <w:jc w:val="both"/>
        <w:spacing w:after="0" w:line="286" w:lineRule="auto"/>
        <w:rPr>
          <w:sz w:val="20"/>
          <w:szCs w:val="20"/>
          <w:color w:val="auto"/>
        </w:rPr>
      </w:pPr>
      <w:r>
        <w:rPr>
          <w:rFonts w:ascii="Arial" w:cs="Arial" w:eastAsia="Arial" w:hAnsi="Arial"/>
          <w:sz w:val="20"/>
          <w:szCs w:val="20"/>
          <w:color w:val="auto"/>
        </w:rPr>
        <w:t>The HC&amp;C Committee designs and maintains compensation programs consistent with our executive compensation philosophy to achieve the following objectives:</w:t>
      </w:r>
    </w:p>
    <w:p>
      <w:pPr>
        <w:spacing w:after="0" w:line="181" w:lineRule="exact"/>
        <w:rPr>
          <w:sz w:val="20"/>
          <w:szCs w:val="20"/>
          <w:color w:val="auto"/>
        </w:rPr>
      </w:pPr>
    </w:p>
    <w:p>
      <w:pPr>
        <w:ind w:left="660" w:hanging="328"/>
        <w:spacing w:after="0" w:line="270" w:lineRule="auto"/>
        <w:tabs>
          <w:tab w:leader="none" w:pos="648" w:val="left"/>
        </w:tabs>
        <w:numPr>
          <w:ilvl w:val="0"/>
          <w:numId w:val="11"/>
        </w:numPr>
        <w:rPr>
          <w:rFonts w:ascii="Arial" w:cs="Arial" w:eastAsia="Arial" w:hAnsi="Arial"/>
          <w:sz w:val="20"/>
          <w:szCs w:val="20"/>
          <w:color w:val="auto"/>
        </w:rPr>
      </w:pPr>
      <w:r>
        <w:rPr>
          <w:rFonts w:ascii="Arial" w:cs="Arial" w:eastAsia="Arial" w:hAnsi="Arial"/>
          <w:sz w:val="20"/>
          <w:szCs w:val="20"/>
          <w:color w:val="auto"/>
        </w:rPr>
        <w:t>To attract, retain, and motivate highly qualified executives by offering compensation programs that are competitive with programs offered by similar companies, including those in our Compensation Peer Group.</w:t>
      </w:r>
    </w:p>
    <w:p>
      <w:pPr>
        <w:ind w:left="660" w:right="20" w:hanging="328"/>
        <w:spacing w:after="0" w:line="253" w:lineRule="auto"/>
        <w:tabs>
          <w:tab w:leader="none" w:pos="648" w:val="left"/>
        </w:tabs>
        <w:numPr>
          <w:ilvl w:val="0"/>
          <w:numId w:val="11"/>
        </w:numPr>
        <w:rPr>
          <w:rFonts w:ascii="Arial" w:cs="Arial" w:eastAsia="Arial" w:hAnsi="Arial"/>
          <w:sz w:val="20"/>
          <w:szCs w:val="20"/>
          <w:color w:val="auto"/>
        </w:rPr>
      </w:pPr>
      <w:r>
        <w:rPr>
          <w:rFonts w:ascii="Arial" w:cs="Arial" w:eastAsia="Arial" w:hAnsi="Arial"/>
          <w:sz w:val="20"/>
          <w:szCs w:val="20"/>
          <w:color w:val="auto"/>
        </w:rPr>
        <w:t>To link performance and executive pay by tying annual cash bonus amounts to achievement of key objectives under the Company’s annual business plans, as well as specific strategic goals.</w:t>
      </w:r>
    </w:p>
    <w:p>
      <w:pPr>
        <w:spacing w:after="0" w:line="1" w:lineRule="exact"/>
        <w:rPr>
          <w:rFonts w:ascii="Arial" w:cs="Arial" w:eastAsia="Arial" w:hAnsi="Arial"/>
          <w:sz w:val="20"/>
          <w:szCs w:val="20"/>
          <w:color w:val="auto"/>
        </w:rPr>
      </w:pPr>
    </w:p>
    <w:p>
      <w:pPr>
        <w:ind w:left="640" w:hanging="308"/>
        <w:spacing w:after="0"/>
        <w:tabs>
          <w:tab w:leader="none" w:pos="640" w:val="left"/>
        </w:tabs>
        <w:numPr>
          <w:ilvl w:val="0"/>
          <w:numId w:val="11"/>
        </w:numPr>
        <w:rPr>
          <w:rFonts w:ascii="Arial" w:cs="Arial" w:eastAsia="Arial" w:hAnsi="Arial"/>
          <w:sz w:val="20"/>
          <w:szCs w:val="20"/>
          <w:color w:val="auto"/>
        </w:rPr>
      </w:pPr>
      <w:r>
        <w:rPr>
          <w:rFonts w:ascii="Arial" w:cs="Arial" w:eastAsia="Arial" w:hAnsi="Arial"/>
          <w:sz w:val="20"/>
          <w:szCs w:val="20"/>
          <w:color w:val="auto"/>
        </w:rPr>
        <w:t>To reward competitive performance in comparison with peers in our industry.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53340</wp:posOffset>
            </wp:positionV>
            <wp:extent cx="7132320" cy="3517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32320" cy="351790"/>
                    </a:xfrm>
                    <a:prstGeom prst="rect">
                      <a:avLst/>
                    </a:prstGeom>
                    <a:noFill/>
                  </pic:spPr>
                </pic:pic>
              </a:graphicData>
            </a:graphic>
          </wp:anchor>
        </w:drawing>
      </w:r>
    </w:p>
    <w:p>
      <w:pPr>
        <w:spacing w:after="0" w:line="275" w:lineRule="exact"/>
        <w:rPr>
          <w:sz w:val="20"/>
          <w:szCs w:val="20"/>
          <w:color w:val="auto"/>
        </w:rPr>
      </w:pPr>
    </w:p>
    <w:p>
      <w:pPr>
        <w:ind w:left="9000"/>
        <w:spacing w:after="0"/>
        <w:tabs>
          <w:tab w:leader="none" w:pos="11000" w:val="left"/>
        </w:tabs>
        <w:rPr>
          <w:sz w:val="20"/>
          <w:szCs w:val="20"/>
          <w:color w:val="auto"/>
        </w:rPr>
      </w:pPr>
      <w:r>
        <w:rPr>
          <w:rFonts w:ascii="Arial" w:cs="Arial" w:eastAsia="Arial" w:hAnsi="Arial"/>
          <w:sz w:val="18"/>
          <w:szCs w:val="18"/>
          <w:color w:val="auto"/>
        </w:rPr>
        <w:t>2024 Proxy Statement</w:t>
      </w:r>
      <w:r>
        <w:rPr>
          <w:sz w:val="20"/>
          <w:szCs w:val="20"/>
          <w:color w:val="auto"/>
        </w:rPr>
        <w:tab/>
      </w:r>
      <w:r>
        <w:rPr>
          <w:rFonts w:ascii="Arial" w:cs="Arial" w:eastAsia="Arial" w:hAnsi="Arial"/>
          <w:sz w:val="17"/>
          <w:szCs w:val="17"/>
          <w:color w:val="1E3767"/>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262255</wp:posOffset>
            </wp:positionV>
            <wp:extent cx="7157720"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6" w:name="page37"/>
    <w:bookmarkEnd w:id="36"/>
    <w:p>
      <w:pPr>
        <w:ind w:left="660" w:hanging="328"/>
        <w:spacing w:after="0" w:line="313" w:lineRule="auto"/>
        <w:tabs>
          <w:tab w:leader="none" w:pos="648" w:val="left"/>
        </w:tabs>
        <w:numPr>
          <w:ilvl w:val="0"/>
          <w:numId w:val="12"/>
        </w:numPr>
        <w:rPr>
          <w:rFonts w:ascii="Arial" w:cs="Arial" w:eastAsia="Arial" w:hAnsi="Arial"/>
          <w:sz w:val="19"/>
          <w:szCs w:val="19"/>
          <w:color w:val="auto"/>
        </w:rPr>
      </w:pPr>
      <w:r>
        <w:rPr>
          <w:rFonts w:ascii="Arial" w:cs="Arial" w:eastAsia="Arial" w:hAnsi="Arial"/>
          <w:sz w:val="19"/>
          <w:szCs w:val="19"/>
          <w:color w:val="auto"/>
        </w:rPr>
        <w:t>To reward the creation of long-term stockholder value through long-term incentive compensation awards and encourage significant stock ownership by senior management to further align executive interests to those of our stockholders.</w:t>
      </w:r>
    </w:p>
    <w:p>
      <w:pPr>
        <w:spacing w:after="0" w:line="173" w:lineRule="exact"/>
        <w:rPr>
          <w:sz w:val="20"/>
          <w:szCs w:val="20"/>
          <w:color w:val="auto"/>
        </w:rPr>
      </w:pPr>
    </w:p>
    <w:p>
      <w:pPr>
        <w:jc w:val="both"/>
        <w:ind w:right="20"/>
        <w:spacing w:after="0" w:line="313" w:lineRule="auto"/>
        <w:rPr>
          <w:sz w:val="20"/>
          <w:szCs w:val="20"/>
          <w:color w:val="auto"/>
        </w:rPr>
      </w:pPr>
      <w:r>
        <w:rPr>
          <w:rFonts w:ascii="Arial" w:cs="Arial" w:eastAsia="Arial" w:hAnsi="Arial"/>
          <w:sz w:val="19"/>
          <w:szCs w:val="19"/>
          <w:color w:val="auto"/>
        </w:rPr>
        <w:t>In pursuit of these objectives, the HC&amp;C Committee believes that the compensation packages provided to the Named Executives should include both cash and equity-based compensation, with an emphasis on at-risk and performance-based pay.</w:t>
      </w:r>
    </w:p>
    <w:p>
      <w:pPr>
        <w:spacing w:after="0" w:line="194" w:lineRule="exact"/>
        <w:rPr>
          <w:sz w:val="20"/>
          <w:szCs w:val="20"/>
          <w:color w:val="auto"/>
        </w:rPr>
      </w:pPr>
    </w:p>
    <w:tbl>
      <w:tblPr>
        <w:tblLayout w:type="fixed"/>
        <w:tblInd w:w="1000" w:type="dxa"/>
        <w:tblCellMar>
          <w:top w:w="0" w:type="dxa"/>
          <w:left w:w="0" w:type="dxa"/>
          <w:bottom w:w="0" w:type="dxa"/>
          <w:right w:w="0" w:type="dxa"/>
        </w:tblCellMar>
      </w:tblPr>
      <w:tr>
        <w:trPr>
          <w:trHeight w:val="229"/>
        </w:trPr>
        <w:tc>
          <w:tcPr>
            <w:tcW w:w="2880" w:type="dxa"/>
            <w:vAlign w:val="bottom"/>
            <w:tcBorders>
              <w:bottom w:val="single" w:sz="8" w:color="auto"/>
            </w:tcBorders>
            <w:shd w:val="clear" w:color="auto" w:fill="E8F7F7"/>
          </w:tcPr>
          <w:p>
            <w:pPr>
              <w:ind w:left="20"/>
              <w:spacing w:after="0"/>
              <w:rPr>
                <w:sz w:val="20"/>
                <w:szCs w:val="20"/>
                <w:color w:val="auto"/>
              </w:rPr>
            </w:pPr>
            <w:r>
              <w:rPr>
                <w:rFonts w:ascii="Arial" w:cs="Arial" w:eastAsia="Arial" w:hAnsi="Arial"/>
                <w:sz w:val="18"/>
                <w:szCs w:val="18"/>
                <w:b w:val="1"/>
                <w:bCs w:val="1"/>
                <w:color w:val="auto"/>
              </w:rPr>
              <w:t>Compensation Element</w:t>
            </w:r>
          </w:p>
        </w:tc>
        <w:tc>
          <w:tcPr>
            <w:tcW w:w="6380" w:type="dxa"/>
            <w:vAlign w:val="bottom"/>
            <w:tcBorders>
              <w:bottom w:val="single" w:sz="8" w:color="auto"/>
            </w:tcBorders>
            <w:shd w:val="clear" w:color="auto" w:fill="E8F7F7"/>
          </w:tcPr>
          <w:p>
            <w:pPr>
              <w:ind w:left="2840"/>
              <w:spacing w:after="0"/>
              <w:rPr>
                <w:sz w:val="20"/>
                <w:szCs w:val="20"/>
                <w:color w:val="auto"/>
              </w:rPr>
            </w:pPr>
            <w:r>
              <w:rPr>
                <w:rFonts w:ascii="Arial" w:cs="Arial" w:eastAsia="Arial" w:hAnsi="Arial"/>
                <w:sz w:val="18"/>
                <w:szCs w:val="18"/>
                <w:b w:val="1"/>
                <w:bCs w:val="1"/>
                <w:color w:val="auto"/>
              </w:rPr>
              <w:t>Purpose</w:t>
            </w:r>
          </w:p>
        </w:tc>
        <w:tc>
          <w:tcPr>
            <w:tcW w:w="0" w:type="dxa"/>
            <w:vAlign w:val="bottom"/>
          </w:tcPr>
          <w:p>
            <w:pPr>
              <w:spacing w:after="0"/>
              <w:rPr>
                <w:sz w:val="1"/>
                <w:szCs w:val="1"/>
                <w:color w:val="auto"/>
              </w:rPr>
            </w:pPr>
          </w:p>
        </w:tc>
      </w:tr>
      <w:tr>
        <w:trPr>
          <w:trHeight w:val="223"/>
        </w:trPr>
        <w:tc>
          <w:tcPr>
            <w:tcW w:w="2880" w:type="dxa"/>
            <w:vAlign w:val="bottom"/>
            <w:tcBorders>
              <w:bottom w:val="single" w:sz="8" w:color="DBDBDB"/>
            </w:tcBorders>
          </w:tcPr>
          <w:p>
            <w:pPr>
              <w:ind w:left="20"/>
              <w:spacing w:after="0"/>
              <w:rPr>
                <w:sz w:val="20"/>
                <w:szCs w:val="20"/>
                <w:color w:val="auto"/>
              </w:rPr>
            </w:pPr>
            <w:r>
              <w:rPr>
                <w:rFonts w:ascii="Arial" w:cs="Arial" w:eastAsia="Arial" w:hAnsi="Arial"/>
                <w:sz w:val="18"/>
                <w:szCs w:val="18"/>
                <w:b w:val="1"/>
                <w:bCs w:val="1"/>
                <w:color w:val="auto"/>
              </w:rPr>
              <w:t>Base salary</w:t>
            </w:r>
          </w:p>
        </w:tc>
        <w:tc>
          <w:tcPr>
            <w:tcW w:w="6380" w:type="dxa"/>
            <w:vAlign w:val="bottom"/>
            <w:tcBorders>
              <w:bottom w:val="single" w:sz="8" w:color="DBDBDB"/>
            </w:tcBorders>
          </w:tcPr>
          <w:p>
            <w:pPr>
              <w:ind w:left="380"/>
              <w:spacing w:after="0"/>
              <w:rPr>
                <w:sz w:val="20"/>
                <w:szCs w:val="20"/>
                <w:color w:val="auto"/>
              </w:rPr>
            </w:pPr>
            <w:r>
              <w:rPr>
                <w:rFonts w:ascii="Arial" w:cs="Arial" w:eastAsia="Arial" w:hAnsi="Arial"/>
                <w:sz w:val="18"/>
                <w:szCs w:val="18"/>
                <w:color w:val="auto"/>
              </w:rPr>
              <w:t>•   Attract and retain highly qualified executives</w:t>
            </w:r>
          </w:p>
        </w:tc>
        <w:tc>
          <w:tcPr>
            <w:tcW w:w="0" w:type="dxa"/>
            <w:vAlign w:val="bottom"/>
          </w:tcPr>
          <w:p>
            <w:pPr>
              <w:spacing w:after="0"/>
              <w:rPr>
                <w:sz w:val="1"/>
                <w:szCs w:val="1"/>
                <w:color w:val="auto"/>
              </w:rPr>
            </w:pPr>
          </w:p>
        </w:tc>
      </w:tr>
      <w:tr>
        <w:trPr>
          <w:trHeight w:val="177"/>
        </w:trPr>
        <w:tc>
          <w:tcPr>
            <w:tcW w:w="2880" w:type="dxa"/>
            <w:vAlign w:val="bottom"/>
            <w:shd w:val="clear" w:color="auto" w:fill="E7ECF0"/>
          </w:tcPr>
          <w:p>
            <w:pPr>
              <w:spacing w:after="0"/>
              <w:rPr>
                <w:sz w:val="15"/>
                <w:szCs w:val="15"/>
                <w:color w:val="auto"/>
              </w:rPr>
            </w:pPr>
          </w:p>
        </w:tc>
        <w:tc>
          <w:tcPr>
            <w:tcW w:w="6380" w:type="dxa"/>
            <w:vAlign w:val="bottom"/>
            <w:shd w:val="clear" w:color="auto" w:fill="E7ECF0"/>
          </w:tcPr>
          <w:p>
            <w:pPr>
              <w:ind w:left="380"/>
              <w:spacing w:after="0" w:line="177" w:lineRule="exact"/>
              <w:rPr>
                <w:sz w:val="20"/>
                <w:szCs w:val="20"/>
                <w:color w:val="auto"/>
              </w:rPr>
            </w:pPr>
            <w:r>
              <w:rPr>
                <w:rFonts w:ascii="Arial" w:cs="Arial" w:eastAsia="Arial" w:hAnsi="Arial"/>
                <w:sz w:val="18"/>
                <w:szCs w:val="18"/>
                <w:color w:val="auto"/>
              </w:rPr>
              <w:t>•   Support pay-for-performance orientation</w:t>
            </w:r>
          </w:p>
        </w:tc>
        <w:tc>
          <w:tcPr>
            <w:tcW w:w="0" w:type="dxa"/>
            <w:vAlign w:val="bottom"/>
          </w:tcPr>
          <w:p>
            <w:pPr>
              <w:spacing w:after="0"/>
              <w:rPr>
                <w:sz w:val="1"/>
                <w:szCs w:val="1"/>
                <w:color w:val="auto"/>
              </w:rPr>
            </w:pPr>
          </w:p>
        </w:tc>
      </w:tr>
      <w:tr>
        <w:trPr>
          <w:trHeight w:val="181"/>
        </w:trPr>
        <w:tc>
          <w:tcPr>
            <w:tcW w:w="2880" w:type="dxa"/>
            <w:vAlign w:val="bottom"/>
            <w:shd w:val="clear" w:color="auto" w:fill="E7ECF0"/>
          </w:tcPr>
          <w:p>
            <w:pPr>
              <w:spacing w:after="0"/>
              <w:rPr>
                <w:sz w:val="15"/>
                <w:szCs w:val="15"/>
                <w:color w:val="auto"/>
              </w:rPr>
            </w:pPr>
          </w:p>
        </w:tc>
        <w:tc>
          <w:tcPr>
            <w:tcW w:w="6380" w:type="dxa"/>
            <w:vAlign w:val="bottom"/>
            <w:shd w:val="clear" w:color="auto" w:fill="E7ECF0"/>
          </w:tcPr>
          <w:p>
            <w:pPr>
              <w:ind w:left="380"/>
              <w:spacing w:after="0" w:line="181" w:lineRule="exact"/>
              <w:rPr>
                <w:sz w:val="20"/>
                <w:szCs w:val="20"/>
                <w:color w:val="auto"/>
              </w:rPr>
            </w:pPr>
            <w:r>
              <w:rPr>
                <w:rFonts w:ascii="Arial" w:cs="Arial" w:eastAsia="Arial" w:hAnsi="Arial"/>
                <w:sz w:val="18"/>
                <w:szCs w:val="18"/>
                <w:color w:val="auto"/>
              </w:rPr>
              <w:t>•   Focus executives on executing the annual operating plan and key</w:t>
            </w:r>
          </w:p>
        </w:tc>
        <w:tc>
          <w:tcPr>
            <w:tcW w:w="0" w:type="dxa"/>
            <w:vAlign w:val="bottom"/>
          </w:tcPr>
          <w:p>
            <w:pPr>
              <w:spacing w:after="0"/>
              <w:rPr>
                <w:sz w:val="1"/>
                <w:szCs w:val="1"/>
                <w:color w:val="auto"/>
              </w:rPr>
            </w:pPr>
          </w:p>
        </w:tc>
      </w:tr>
      <w:tr>
        <w:trPr>
          <w:trHeight w:val="176"/>
        </w:trPr>
        <w:tc>
          <w:tcPr>
            <w:tcW w:w="2880" w:type="dxa"/>
            <w:vAlign w:val="bottom"/>
            <w:vMerge w:val="restart"/>
            <w:shd w:val="clear" w:color="auto" w:fill="E7ECF0"/>
          </w:tcPr>
          <w:p>
            <w:pPr>
              <w:ind w:left="20"/>
              <w:spacing w:after="0"/>
              <w:rPr>
                <w:sz w:val="20"/>
                <w:szCs w:val="20"/>
                <w:color w:val="auto"/>
              </w:rPr>
            </w:pPr>
            <w:r>
              <w:rPr>
                <w:rFonts w:ascii="Arial" w:cs="Arial" w:eastAsia="Arial" w:hAnsi="Arial"/>
                <w:sz w:val="18"/>
                <w:szCs w:val="18"/>
                <w:b w:val="1"/>
                <w:bCs w:val="1"/>
                <w:color w:val="auto"/>
              </w:rPr>
              <w:t>Annual incentive cash bonus</w:t>
            </w:r>
          </w:p>
        </w:tc>
        <w:tc>
          <w:tcPr>
            <w:tcW w:w="6380" w:type="dxa"/>
            <w:vAlign w:val="bottom"/>
            <w:shd w:val="clear" w:color="auto" w:fill="E7ECF0"/>
          </w:tcPr>
          <w:p>
            <w:pPr>
              <w:ind w:left="700"/>
              <w:spacing w:after="0" w:line="176" w:lineRule="exact"/>
              <w:rPr>
                <w:sz w:val="20"/>
                <w:szCs w:val="20"/>
                <w:color w:val="auto"/>
              </w:rPr>
            </w:pPr>
            <w:r>
              <w:rPr>
                <w:rFonts w:ascii="Arial" w:cs="Arial" w:eastAsia="Arial" w:hAnsi="Arial"/>
                <w:sz w:val="18"/>
                <w:szCs w:val="18"/>
                <w:color w:val="auto"/>
              </w:rPr>
              <w:t>financial and non-financial measures of success as established by the</w:t>
            </w:r>
          </w:p>
        </w:tc>
        <w:tc>
          <w:tcPr>
            <w:tcW w:w="0" w:type="dxa"/>
            <w:vAlign w:val="bottom"/>
          </w:tcPr>
          <w:p>
            <w:pPr>
              <w:spacing w:after="0"/>
              <w:rPr>
                <w:sz w:val="1"/>
                <w:szCs w:val="1"/>
                <w:color w:val="auto"/>
              </w:rPr>
            </w:pPr>
          </w:p>
        </w:tc>
      </w:tr>
      <w:tr>
        <w:trPr>
          <w:trHeight w:val="229"/>
        </w:trPr>
        <w:tc>
          <w:tcPr>
            <w:tcW w:w="2880" w:type="dxa"/>
            <w:vAlign w:val="bottom"/>
            <w:tcBorders>
              <w:bottom w:val="single" w:sz="8" w:color="DBDBDB"/>
            </w:tcBorders>
            <w:vMerge w:val="continue"/>
            <w:shd w:val="clear" w:color="auto" w:fill="E7ECF0"/>
          </w:tcPr>
          <w:p>
            <w:pPr>
              <w:spacing w:after="0"/>
              <w:rPr>
                <w:sz w:val="19"/>
                <w:szCs w:val="19"/>
                <w:color w:val="auto"/>
              </w:rPr>
            </w:pPr>
          </w:p>
        </w:tc>
        <w:tc>
          <w:tcPr>
            <w:tcW w:w="6380" w:type="dxa"/>
            <w:vAlign w:val="bottom"/>
            <w:tcBorders>
              <w:bottom w:val="single" w:sz="8" w:color="DBDBDB"/>
            </w:tcBorders>
            <w:shd w:val="clear" w:color="auto" w:fill="E7ECF0"/>
          </w:tcPr>
          <w:p>
            <w:pPr>
              <w:ind w:left="700"/>
              <w:spacing w:after="0"/>
              <w:rPr>
                <w:sz w:val="20"/>
                <w:szCs w:val="20"/>
                <w:color w:val="auto"/>
              </w:rPr>
            </w:pPr>
            <w:r>
              <w:rPr>
                <w:rFonts w:ascii="Arial" w:cs="Arial" w:eastAsia="Arial" w:hAnsi="Arial"/>
                <w:sz w:val="18"/>
                <w:szCs w:val="18"/>
                <w:color w:val="auto"/>
              </w:rPr>
              <w:t>Board</w:t>
            </w:r>
          </w:p>
        </w:tc>
        <w:tc>
          <w:tcPr>
            <w:tcW w:w="0" w:type="dxa"/>
            <w:vAlign w:val="bottom"/>
          </w:tcPr>
          <w:p>
            <w:pPr>
              <w:spacing w:after="0"/>
              <w:rPr>
                <w:sz w:val="1"/>
                <w:szCs w:val="1"/>
                <w:color w:val="auto"/>
              </w:rPr>
            </w:pPr>
          </w:p>
        </w:tc>
      </w:tr>
      <w:tr>
        <w:trPr>
          <w:trHeight w:val="177"/>
        </w:trPr>
        <w:tc>
          <w:tcPr>
            <w:tcW w:w="2880" w:type="dxa"/>
            <w:vAlign w:val="bottom"/>
          </w:tcPr>
          <w:p>
            <w:pPr>
              <w:spacing w:after="0"/>
              <w:rPr>
                <w:sz w:val="15"/>
                <w:szCs w:val="15"/>
                <w:color w:val="auto"/>
              </w:rPr>
            </w:pPr>
          </w:p>
        </w:tc>
        <w:tc>
          <w:tcPr>
            <w:tcW w:w="6380" w:type="dxa"/>
            <w:vAlign w:val="bottom"/>
          </w:tcPr>
          <w:p>
            <w:pPr>
              <w:ind w:left="380"/>
              <w:spacing w:after="0" w:line="177" w:lineRule="exact"/>
              <w:rPr>
                <w:sz w:val="20"/>
                <w:szCs w:val="20"/>
                <w:color w:val="auto"/>
              </w:rPr>
            </w:pPr>
            <w:r>
              <w:rPr>
                <w:rFonts w:ascii="Arial" w:cs="Arial" w:eastAsia="Arial" w:hAnsi="Arial"/>
                <w:sz w:val="18"/>
                <w:szCs w:val="18"/>
                <w:color w:val="auto"/>
              </w:rPr>
              <w:t>•   Align interests of executives and stockholders</w:t>
            </w:r>
          </w:p>
        </w:tc>
        <w:tc>
          <w:tcPr>
            <w:tcW w:w="0" w:type="dxa"/>
            <w:vAlign w:val="bottom"/>
          </w:tcPr>
          <w:p>
            <w:pPr>
              <w:spacing w:after="0"/>
              <w:rPr>
                <w:sz w:val="1"/>
                <w:szCs w:val="1"/>
                <w:color w:val="auto"/>
              </w:rPr>
            </w:pPr>
          </w:p>
        </w:tc>
      </w:tr>
      <w:tr>
        <w:trPr>
          <w:trHeight w:val="181"/>
        </w:trPr>
        <w:tc>
          <w:tcPr>
            <w:tcW w:w="288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Long-term incentive</w:t>
            </w:r>
          </w:p>
        </w:tc>
        <w:tc>
          <w:tcPr>
            <w:tcW w:w="6380" w:type="dxa"/>
            <w:vAlign w:val="bottom"/>
          </w:tcPr>
          <w:p>
            <w:pPr>
              <w:ind w:left="380"/>
              <w:spacing w:after="0" w:line="181" w:lineRule="exact"/>
              <w:rPr>
                <w:sz w:val="20"/>
                <w:szCs w:val="20"/>
                <w:color w:val="auto"/>
              </w:rPr>
            </w:pPr>
            <w:r>
              <w:rPr>
                <w:rFonts w:ascii="Arial" w:cs="Arial" w:eastAsia="Arial" w:hAnsi="Arial"/>
                <w:sz w:val="18"/>
                <w:szCs w:val="18"/>
                <w:color w:val="auto"/>
              </w:rPr>
              <w:t>•   Support a stock ownership culture</w:t>
            </w:r>
          </w:p>
        </w:tc>
        <w:tc>
          <w:tcPr>
            <w:tcW w:w="0" w:type="dxa"/>
            <w:vAlign w:val="bottom"/>
          </w:tcPr>
          <w:p>
            <w:pPr>
              <w:spacing w:after="0"/>
              <w:rPr>
                <w:sz w:val="1"/>
                <w:szCs w:val="1"/>
                <w:color w:val="auto"/>
              </w:rPr>
            </w:pPr>
          </w:p>
        </w:tc>
      </w:tr>
      <w:tr>
        <w:trPr>
          <w:trHeight w:val="175"/>
        </w:trPr>
        <w:tc>
          <w:tcPr>
            <w:tcW w:w="2880" w:type="dxa"/>
            <w:vAlign w:val="bottom"/>
            <w:vMerge w:val="continue"/>
          </w:tcPr>
          <w:p>
            <w:pPr>
              <w:spacing w:after="0"/>
              <w:rPr>
                <w:sz w:val="15"/>
                <w:szCs w:val="15"/>
                <w:color w:val="auto"/>
              </w:rPr>
            </w:pPr>
          </w:p>
        </w:tc>
        <w:tc>
          <w:tcPr>
            <w:tcW w:w="6380" w:type="dxa"/>
            <w:vAlign w:val="bottom"/>
          </w:tcPr>
          <w:p>
            <w:pPr>
              <w:ind w:left="380"/>
              <w:spacing w:after="0" w:line="176" w:lineRule="exact"/>
              <w:rPr>
                <w:sz w:val="20"/>
                <w:szCs w:val="20"/>
                <w:color w:val="auto"/>
              </w:rPr>
            </w:pPr>
            <w:r>
              <w:rPr>
                <w:rFonts w:ascii="Arial" w:cs="Arial" w:eastAsia="Arial" w:hAnsi="Arial"/>
                <w:sz w:val="18"/>
                <w:szCs w:val="18"/>
                <w:color w:val="auto"/>
              </w:rPr>
              <w:t>•   Drive long-term value creation</w:t>
            </w:r>
          </w:p>
        </w:tc>
        <w:tc>
          <w:tcPr>
            <w:tcW w:w="0" w:type="dxa"/>
            <w:vAlign w:val="bottom"/>
          </w:tcPr>
          <w:p>
            <w:pPr>
              <w:spacing w:after="0"/>
              <w:rPr>
                <w:sz w:val="1"/>
                <w:szCs w:val="1"/>
                <w:color w:val="auto"/>
              </w:rPr>
            </w:pPr>
          </w:p>
        </w:tc>
      </w:tr>
      <w:tr>
        <w:trPr>
          <w:trHeight w:val="230"/>
        </w:trPr>
        <w:tc>
          <w:tcPr>
            <w:tcW w:w="2880" w:type="dxa"/>
            <w:vAlign w:val="bottom"/>
            <w:tcBorders>
              <w:bottom w:val="single" w:sz="8" w:color="DBDBDB"/>
            </w:tcBorders>
          </w:tcPr>
          <w:p>
            <w:pPr>
              <w:ind w:left="20"/>
              <w:spacing w:after="0"/>
              <w:rPr>
                <w:sz w:val="20"/>
                <w:szCs w:val="20"/>
                <w:color w:val="auto"/>
              </w:rPr>
            </w:pPr>
            <w:r>
              <w:rPr>
                <w:rFonts w:ascii="Arial" w:cs="Arial" w:eastAsia="Arial" w:hAnsi="Arial"/>
                <w:sz w:val="18"/>
                <w:szCs w:val="18"/>
                <w:b w:val="1"/>
                <w:bCs w:val="1"/>
                <w:color w:val="auto"/>
              </w:rPr>
              <w:t>compensation</w:t>
            </w:r>
          </w:p>
        </w:tc>
        <w:tc>
          <w:tcPr>
            <w:tcW w:w="6380" w:type="dxa"/>
            <w:vAlign w:val="bottom"/>
            <w:tcBorders>
              <w:bottom w:val="single" w:sz="8" w:color="DBDBDB"/>
            </w:tcBorders>
          </w:tcPr>
          <w:p>
            <w:pPr>
              <w:ind w:left="380"/>
              <w:spacing w:after="0"/>
              <w:rPr>
                <w:sz w:val="20"/>
                <w:szCs w:val="20"/>
                <w:color w:val="auto"/>
              </w:rPr>
            </w:pPr>
            <w:r>
              <w:rPr>
                <w:rFonts w:ascii="Arial" w:cs="Arial" w:eastAsia="Arial" w:hAnsi="Arial"/>
                <w:sz w:val="18"/>
                <w:szCs w:val="18"/>
                <w:color w:val="auto"/>
              </w:rPr>
              <w:t>•   Encourage retention of executives</w:t>
            </w:r>
          </w:p>
        </w:tc>
        <w:tc>
          <w:tcPr>
            <w:tcW w:w="0" w:type="dxa"/>
            <w:vAlign w:val="bottom"/>
          </w:tcPr>
          <w:p>
            <w:pPr>
              <w:spacing w:after="0"/>
              <w:rPr>
                <w:sz w:val="1"/>
                <w:szCs w:val="1"/>
                <w:color w:val="auto"/>
              </w:rPr>
            </w:pPr>
          </w:p>
        </w:tc>
      </w:tr>
      <w:tr>
        <w:trPr>
          <w:trHeight w:val="177"/>
        </w:trPr>
        <w:tc>
          <w:tcPr>
            <w:tcW w:w="2880" w:type="dxa"/>
            <w:vAlign w:val="bottom"/>
            <w:shd w:val="clear" w:color="auto" w:fill="E7ECF0"/>
          </w:tcPr>
          <w:p>
            <w:pPr>
              <w:spacing w:after="0"/>
              <w:rPr>
                <w:sz w:val="15"/>
                <w:szCs w:val="15"/>
                <w:color w:val="auto"/>
              </w:rPr>
            </w:pPr>
          </w:p>
        </w:tc>
        <w:tc>
          <w:tcPr>
            <w:tcW w:w="6380" w:type="dxa"/>
            <w:vAlign w:val="bottom"/>
            <w:shd w:val="clear" w:color="auto" w:fill="E7ECF0"/>
          </w:tcPr>
          <w:p>
            <w:pPr>
              <w:ind w:left="380"/>
              <w:spacing w:after="0" w:line="177" w:lineRule="exact"/>
              <w:rPr>
                <w:sz w:val="20"/>
                <w:szCs w:val="20"/>
                <w:color w:val="auto"/>
              </w:rPr>
            </w:pPr>
            <w:r>
              <w:rPr>
                <w:rFonts w:ascii="Arial" w:cs="Arial" w:eastAsia="Arial" w:hAnsi="Arial"/>
                <w:sz w:val="18"/>
                <w:szCs w:val="18"/>
                <w:color w:val="auto"/>
              </w:rPr>
              <w:t>•   Attract and retain highly qualified executives</w:t>
            </w:r>
          </w:p>
        </w:tc>
        <w:tc>
          <w:tcPr>
            <w:tcW w:w="0" w:type="dxa"/>
            <w:vAlign w:val="bottom"/>
          </w:tcPr>
          <w:p>
            <w:pPr>
              <w:spacing w:after="0"/>
              <w:rPr>
                <w:sz w:val="1"/>
                <w:szCs w:val="1"/>
                <w:color w:val="auto"/>
              </w:rPr>
            </w:pPr>
          </w:p>
        </w:tc>
      </w:tr>
      <w:tr>
        <w:trPr>
          <w:trHeight w:val="181"/>
        </w:trPr>
        <w:tc>
          <w:tcPr>
            <w:tcW w:w="2880" w:type="dxa"/>
            <w:vAlign w:val="bottom"/>
            <w:vMerge w:val="restart"/>
            <w:shd w:val="clear" w:color="auto" w:fill="E7ECF0"/>
          </w:tcPr>
          <w:p>
            <w:pPr>
              <w:ind w:left="20"/>
              <w:spacing w:after="0"/>
              <w:rPr>
                <w:sz w:val="20"/>
                <w:szCs w:val="20"/>
                <w:color w:val="auto"/>
              </w:rPr>
            </w:pPr>
            <w:r>
              <w:rPr>
                <w:rFonts w:ascii="Arial" w:cs="Arial" w:eastAsia="Arial" w:hAnsi="Arial"/>
                <w:sz w:val="18"/>
                <w:szCs w:val="18"/>
                <w:b w:val="1"/>
                <w:bCs w:val="1"/>
                <w:color w:val="auto"/>
              </w:rPr>
              <w:t>Broad-based benefits</w:t>
            </w:r>
          </w:p>
        </w:tc>
        <w:tc>
          <w:tcPr>
            <w:tcW w:w="6380" w:type="dxa"/>
            <w:vAlign w:val="bottom"/>
            <w:shd w:val="clear" w:color="auto" w:fill="E7ECF0"/>
          </w:tcPr>
          <w:p>
            <w:pPr>
              <w:ind w:left="380"/>
              <w:spacing w:after="0" w:line="181" w:lineRule="exact"/>
              <w:rPr>
                <w:sz w:val="20"/>
                <w:szCs w:val="20"/>
                <w:color w:val="auto"/>
              </w:rPr>
            </w:pPr>
            <w:r>
              <w:rPr>
                <w:rFonts w:ascii="Arial" w:cs="Arial" w:eastAsia="Arial" w:hAnsi="Arial"/>
                <w:sz w:val="18"/>
                <w:szCs w:val="18"/>
                <w:color w:val="auto"/>
              </w:rPr>
              <w:t>•   Named Executives at Jack Henry participate in the same benefit</w:t>
            </w:r>
          </w:p>
        </w:tc>
        <w:tc>
          <w:tcPr>
            <w:tcW w:w="0" w:type="dxa"/>
            <w:vAlign w:val="bottom"/>
          </w:tcPr>
          <w:p>
            <w:pPr>
              <w:spacing w:after="0"/>
              <w:rPr>
                <w:sz w:val="1"/>
                <w:szCs w:val="1"/>
                <w:color w:val="auto"/>
              </w:rPr>
            </w:pPr>
          </w:p>
        </w:tc>
      </w:tr>
      <w:tr>
        <w:trPr>
          <w:trHeight w:val="230"/>
        </w:trPr>
        <w:tc>
          <w:tcPr>
            <w:tcW w:w="2880" w:type="dxa"/>
            <w:vAlign w:val="bottom"/>
            <w:tcBorders>
              <w:bottom w:val="single" w:sz="8" w:color="DBDBDB"/>
            </w:tcBorders>
            <w:vMerge w:val="continue"/>
            <w:shd w:val="clear" w:color="auto" w:fill="E7ECF0"/>
          </w:tcPr>
          <w:p>
            <w:pPr>
              <w:spacing w:after="0"/>
              <w:rPr>
                <w:sz w:val="19"/>
                <w:szCs w:val="19"/>
                <w:color w:val="auto"/>
              </w:rPr>
            </w:pPr>
          </w:p>
        </w:tc>
        <w:tc>
          <w:tcPr>
            <w:tcW w:w="6380" w:type="dxa"/>
            <w:vAlign w:val="bottom"/>
            <w:tcBorders>
              <w:bottom w:val="single" w:sz="8" w:color="DBDBDB"/>
            </w:tcBorders>
            <w:shd w:val="clear" w:color="auto" w:fill="E7ECF0"/>
          </w:tcPr>
          <w:p>
            <w:pPr>
              <w:ind w:left="700"/>
              <w:spacing w:after="0"/>
              <w:rPr>
                <w:sz w:val="20"/>
                <w:szCs w:val="20"/>
                <w:color w:val="auto"/>
              </w:rPr>
            </w:pPr>
            <w:r>
              <w:rPr>
                <w:rFonts w:ascii="Arial" w:cs="Arial" w:eastAsia="Arial" w:hAnsi="Arial"/>
                <w:sz w:val="18"/>
                <w:szCs w:val="18"/>
                <w:color w:val="auto"/>
              </w:rPr>
              <w:t>programs available to our full-time employees</w:t>
            </w:r>
          </w:p>
        </w:tc>
        <w:tc>
          <w:tcPr>
            <w:tcW w:w="0" w:type="dxa"/>
            <w:vAlign w:val="bottom"/>
          </w:tcPr>
          <w:p>
            <w:pPr>
              <w:spacing w:after="0"/>
              <w:rPr>
                <w:sz w:val="1"/>
                <w:szCs w:val="1"/>
                <w:color w:val="auto"/>
              </w:rPr>
            </w:pPr>
          </w:p>
        </w:tc>
      </w:tr>
      <w:tr>
        <w:trPr>
          <w:trHeight w:val="177"/>
        </w:trPr>
        <w:tc>
          <w:tcPr>
            <w:tcW w:w="288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Termination provisions</w:t>
            </w:r>
          </w:p>
        </w:tc>
        <w:tc>
          <w:tcPr>
            <w:tcW w:w="6380" w:type="dxa"/>
            <w:vAlign w:val="bottom"/>
          </w:tcPr>
          <w:p>
            <w:pPr>
              <w:ind w:left="380"/>
              <w:spacing w:after="0" w:line="177" w:lineRule="exact"/>
              <w:rPr>
                <w:sz w:val="20"/>
                <w:szCs w:val="20"/>
                <w:color w:val="auto"/>
              </w:rPr>
            </w:pPr>
            <w:r>
              <w:rPr>
                <w:rFonts w:ascii="Arial" w:cs="Arial" w:eastAsia="Arial" w:hAnsi="Arial"/>
                <w:sz w:val="18"/>
                <w:szCs w:val="18"/>
                <w:color w:val="auto"/>
              </w:rPr>
              <w:t>•   Align management and stockholder interests to review attractive</w:t>
            </w:r>
          </w:p>
        </w:tc>
        <w:tc>
          <w:tcPr>
            <w:tcW w:w="0" w:type="dxa"/>
            <w:vAlign w:val="bottom"/>
          </w:tcPr>
          <w:p>
            <w:pPr>
              <w:spacing w:after="0"/>
              <w:rPr>
                <w:sz w:val="1"/>
                <w:szCs w:val="1"/>
                <w:color w:val="auto"/>
              </w:rPr>
            </w:pPr>
          </w:p>
        </w:tc>
      </w:tr>
      <w:tr>
        <w:trPr>
          <w:trHeight w:val="235"/>
        </w:trPr>
        <w:tc>
          <w:tcPr>
            <w:tcW w:w="2880" w:type="dxa"/>
            <w:vAlign w:val="bottom"/>
            <w:tcBorders>
              <w:bottom w:val="single" w:sz="8" w:color="DBDBDB"/>
            </w:tcBorders>
            <w:vMerge w:val="continue"/>
          </w:tcPr>
          <w:p>
            <w:pPr>
              <w:spacing w:after="0"/>
              <w:rPr>
                <w:sz w:val="20"/>
                <w:szCs w:val="20"/>
                <w:color w:val="auto"/>
              </w:rPr>
            </w:pPr>
          </w:p>
        </w:tc>
        <w:tc>
          <w:tcPr>
            <w:tcW w:w="6380" w:type="dxa"/>
            <w:vAlign w:val="bottom"/>
            <w:tcBorders>
              <w:bottom w:val="single" w:sz="8" w:color="DBDBDB"/>
            </w:tcBorders>
          </w:tcPr>
          <w:p>
            <w:pPr>
              <w:ind w:left="700"/>
              <w:spacing w:after="0"/>
              <w:rPr>
                <w:sz w:val="20"/>
                <w:szCs w:val="20"/>
                <w:color w:val="auto"/>
              </w:rPr>
            </w:pPr>
            <w:r>
              <w:rPr>
                <w:rFonts w:ascii="Arial" w:cs="Arial" w:eastAsia="Arial" w:hAnsi="Arial"/>
                <w:sz w:val="18"/>
                <w:szCs w:val="18"/>
                <w:color w:val="auto"/>
              </w:rPr>
              <w:t>business alternatives</w:t>
            </w:r>
          </w:p>
        </w:tc>
        <w:tc>
          <w:tcPr>
            <w:tcW w:w="0" w:type="dxa"/>
            <w:vAlign w:val="bottom"/>
          </w:tcPr>
          <w:p>
            <w:pPr>
              <w:spacing w:after="0"/>
              <w:rPr>
                <w:sz w:val="1"/>
                <w:szCs w:val="1"/>
                <w:color w:val="auto"/>
              </w:rPr>
            </w:pPr>
          </w:p>
        </w:tc>
      </w:tr>
    </w:tbl>
    <w:p>
      <w:pPr>
        <w:spacing w:after="0" w:line="32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Process for Establishing Compensation</w:t>
      </w:r>
    </w:p>
    <w:p>
      <w:pPr>
        <w:spacing w:after="0" w:line="258" w:lineRule="exact"/>
        <w:rPr>
          <w:sz w:val="20"/>
          <w:szCs w:val="20"/>
          <w:color w:val="auto"/>
        </w:rPr>
      </w:pPr>
    </w:p>
    <w:p>
      <w:pPr>
        <w:jc w:val="both"/>
        <w:spacing w:after="0" w:line="262" w:lineRule="auto"/>
        <w:rPr>
          <w:sz w:val="20"/>
          <w:szCs w:val="20"/>
          <w:color w:val="auto"/>
        </w:rPr>
      </w:pPr>
      <w:r>
        <w:rPr>
          <w:rFonts w:ascii="Arial" w:cs="Arial" w:eastAsia="Arial" w:hAnsi="Arial"/>
          <w:sz w:val="20"/>
          <w:szCs w:val="20"/>
          <w:color w:val="auto"/>
        </w:rPr>
        <w:t>The HC&amp;C Committee has overall responsibility for making decisions regarding the compensation of the Named Executives. In determining appropriate compensation levels for the Named Executives, the HC&amp;C Committee meets and deliberates outside the presence of the Named Executives and other members of the executive management team. With respect to the compensation levels for the Named Executives other than the Chief Executive Officer, the HC&amp;C Committee considers input and recommendations from the Chief Executive Officer. Performance reviews of the Named Executives are based on objective and subjective evaluations of individual performance as well as their performance in the preceding fiscal year in achieving Company performance objectives. While our Chief Executive Officer makes recommendations concerning salary adjustments, cash bonus programs, and award amounts for the other Named Executives, the HC&amp;C Committee exercises its discretion and sole authority to set the compensation of each of the Named Executives.</w:t>
      </w:r>
    </w:p>
    <w:p>
      <w:pPr>
        <w:spacing w:after="0" w:line="211" w:lineRule="exact"/>
        <w:rPr>
          <w:sz w:val="20"/>
          <w:szCs w:val="20"/>
          <w:color w:val="auto"/>
        </w:rPr>
      </w:pPr>
    </w:p>
    <w:p>
      <w:pPr>
        <w:jc w:val="both"/>
        <w:spacing w:after="0" w:line="262" w:lineRule="auto"/>
        <w:rPr>
          <w:sz w:val="20"/>
          <w:szCs w:val="20"/>
          <w:color w:val="auto"/>
        </w:rPr>
      </w:pPr>
      <w:r>
        <w:rPr>
          <w:rFonts w:ascii="Arial" w:cs="Arial" w:eastAsia="Arial" w:hAnsi="Arial"/>
          <w:sz w:val="20"/>
          <w:szCs w:val="20"/>
          <w:color w:val="auto"/>
        </w:rPr>
        <w:t>In designing compensation programs and determining compensation levels for the Named Executives for fiscal 2024, the HC&amp;C Committee was assisted by an independent compensation consultant firm. The HC&amp;C Committee engaged Meridian Compensation Partners, LLC (“Meridian”), an independent executive compensation and corporate governance consulting firm, to serve as its independent advisor and compensation consultant with respect to compensation programs for fiscal 2024. The Chair of the HC&amp;C Committee worked directly with Meridian to determine the scope of the work needed to assist the HC&amp;C Committee in its decision-making processes. The engagement of the consulting firm included provision of benchmark comparative data for the Named Executives with respect to base salaries, annual cash bonuses, and long term incentives, in addition to incentive plan design and governance-related matters affecting executive compensation. Meridian was also engaged to provide analysis and advice to the HC&amp;C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36195</wp:posOffset>
            </wp:positionV>
            <wp:extent cx="7132320" cy="3517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32320" cy="351790"/>
                    </a:xfrm>
                    <a:prstGeom prst="rect">
                      <a:avLst/>
                    </a:prstGeom>
                    <a:noFill/>
                  </pic:spPr>
                </pic:pic>
              </a:graphicData>
            </a:graphic>
          </wp:anchor>
        </w:drawing>
      </w:r>
    </w:p>
    <w:p>
      <w:pPr>
        <w:spacing w:after="0" w:line="248" w:lineRule="exact"/>
        <w:rPr>
          <w:sz w:val="20"/>
          <w:szCs w:val="20"/>
          <w:color w:val="auto"/>
        </w:rPr>
      </w:pPr>
    </w:p>
    <w:p>
      <w:pPr>
        <w:ind w:left="20"/>
        <w:spacing w:after="0"/>
        <w:tabs>
          <w:tab w:leader="none" w:pos="440" w:val="left"/>
        </w:tabs>
        <w:rPr>
          <w:sz w:val="20"/>
          <w:szCs w:val="20"/>
          <w:color w:val="auto"/>
        </w:rPr>
      </w:pPr>
      <w:r>
        <w:rPr>
          <w:rFonts w:ascii="Arial" w:cs="Arial" w:eastAsia="Arial" w:hAnsi="Arial"/>
          <w:sz w:val="18"/>
          <w:szCs w:val="18"/>
          <w:color w:val="auto"/>
        </w:rPr>
        <w:t>34</w:t>
        <w:tab/>
        <w:t>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253365</wp:posOffset>
            </wp:positionV>
            <wp:extent cx="7157720"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01" w:right="339" w:bottom="1440" w:gutter="0" w:footer="0" w:header="0"/>
        </w:sectPr>
      </w:pPr>
    </w:p>
    <w:bookmarkStart w:id="37" w:name="page38"/>
    <w:bookmarkEnd w:id="37"/>
    <w:p>
      <w:pPr>
        <w:jc w:val="both"/>
        <w:spacing w:after="0" w:line="269" w:lineRule="auto"/>
        <w:rPr>
          <w:sz w:val="20"/>
          <w:szCs w:val="20"/>
          <w:color w:val="auto"/>
        </w:rPr>
      </w:pPr>
      <w:r>
        <w:rPr>
          <w:rFonts w:ascii="Arial" w:cs="Arial" w:eastAsia="Arial" w:hAnsi="Arial"/>
          <w:sz w:val="20"/>
          <w:szCs w:val="20"/>
          <w:color w:val="auto"/>
        </w:rPr>
        <w:t>Committee with respect to the compensation of the Company’s independent directors. The HC&amp;C Committee Chair approves any additional work performed by Meridian on behalf of management. The HC&amp;C Committee has assessed the independence of Meridian and determined that no conflict of interest exists under the rules established by the SEC and Nasdaq. The HC&amp;C Committee reviews the independence of its advisors annually.</w:t>
      </w:r>
    </w:p>
    <w:p>
      <w:pPr>
        <w:spacing w:after="0" w:line="197" w:lineRule="exact"/>
        <w:rPr>
          <w:sz w:val="20"/>
          <w:szCs w:val="20"/>
          <w:color w:val="auto"/>
        </w:rPr>
      </w:pPr>
    </w:p>
    <w:p>
      <w:pPr>
        <w:jc w:val="both"/>
        <w:spacing w:after="0" w:line="265" w:lineRule="auto"/>
        <w:rPr>
          <w:sz w:val="20"/>
          <w:szCs w:val="20"/>
          <w:color w:val="auto"/>
        </w:rPr>
      </w:pPr>
      <w:r>
        <w:rPr>
          <w:rFonts w:ascii="Arial" w:cs="Arial" w:eastAsia="Arial" w:hAnsi="Arial"/>
          <w:sz w:val="20"/>
          <w:szCs w:val="20"/>
          <w:color w:val="auto"/>
        </w:rPr>
        <w:t>In making compensation decisions, the HC&amp;C Committee compared each element of total direct compensation against a peer group of publicly traded companies in the software, payments, and data processing industries against which the HC&amp;C Committee believes we compete in the market for executive talent. We collectively refer to this group as the “Compensation Peer Group.” In selecting companies for the Compensation Peer Group, the HC&amp;C Committee has considered multiple criteria, including industry, annual revenue, and market capitalization. For fiscal 2024, the Compensation Peer Group was comprised of the following companies:</w:t>
      </w:r>
    </w:p>
    <w:p>
      <w:pPr>
        <w:spacing w:after="0" w:line="220" w:lineRule="exact"/>
        <w:rPr>
          <w:sz w:val="20"/>
          <w:szCs w:val="20"/>
          <w:color w:val="auto"/>
        </w:rPr>
      </w:pPr>
    </w:p>
    <w:tbl>
      <w:tblPr>
        <w:tblLayout w:type="fixed"/>
        <w:tblInd w:w="40" w:type="dxa"/>
        <w:tblCellMar>
          <w:top w:w="0" w:type="dxa"/>
          <w:left w:w="0" w:type="dxa"/>
          <w:bottom w:w="0" w:type="dxa"/>
          <w:right w:w="0" w:type="dxa"/>
        </w:tblCellMar>
      </w:tblPr>
      <w:tr>
        <w:trPr>
          <w:trHeight w:val="270"/>
        </w:trPr>
        <w:tc>
          <w:tcPr>
            <w:tcW w:w="2940" w:type="dxa"/>
            <w:vAlign w:val="bottom"/>
            <w:tcBorders>
              <w:top w:val="single" w:sz="8" w:color="auto"/>
            </w:tcBorders>
            <w:gridSpan w:val="2"/>
          </w:tcPr>
          <w:p>
            <w:pPr>
              <w:ind w:left="20"/>
              <w:spacing w:after="0"/>
              <w:rPr>
                <w:sz w:val="20"/>
                <w:szCs w:val="20"/>
                <w:color w:val="auto"/>
              </w:rPr>
            </w:pPr>
            <w:r>
              <w:rPr>
                <w:rFonts w:ascii="Arial" w:cs="Arial" w:eastAsia="Arial" w:hAnsi="Arial"/>
                <w:sz w:val="20"/>
                <w:szCs w:val="20"/>
                <w:color w:val="auto"/>
              </w:rPr>
              <w:t>ACI Worldwide, Inc.</w:t>
            </w:r>
          </w:p>
        </w:tc>
        <w:tc>
          <w:tcPr>
            <w:tcW w:w="4000" w:type="dxa"/>
            <w:vAlign w:val="bottom"/>
            <w:tcBorders>
              <w:top w:val="single" w:sz="8" w:color="auto"/>
            </w:tcBorders>
            <w:gridSpan w:val="2"/>
          </w:tcPr>
          <w:p>
            <w:pPr>
              <w:spacing w:after="0"/>
              <w:rPr>
                <w:sz w:val="20"/>
                <w:szCs w:val="20"/>
                <w:color w:val="auto"/>
              </w:rPr>
            </w:pPr>
            <w:r>
              <w:rPr>
                <w:rFonts w:ascii="Arial" w:cs="Arial" w:eastAsia="Arial" w:hAnsi="Arial"/>
                <w:sz w:val="20"/>
                <w:szCs w:val="20"/>
                <w:color w:val="auto"/>
              </w:rPr>
              <w:t>Black Knight, Inc.*</w:t>
            </w:r>
          </w:p>
        </w:tc>
        <w:tc>
          <w:tcPr>
            <w:tcW w:w="4240" w:type="dxa"/>
            <w:vAlign w:val="bottom"/>
            <w:tcBorders>
              <w:top w:val="single" w:sz="8" w:color="auto"/>
            </w:tcBorders>
          </w:tcPr>
          <w:p>
            <w:pPr>
              <w:spacing w:after="0"/>
              <w:rPr>
                <w:sz w:val="20"/>
                <w:szCs w:val="20"/>
                <w:color w:val="auto"/>
              </w:rPr>
            </w:pPr>
            <w:r>
              <w:rPr>
                <w:rFonts w:ascii="Arial" w:cs="Arial" w:eastAsia="Arial" w:hAnsi="Arial"/>
                <w:sz w:val="20"/>
                <w:szCs w:val="20"/>
                <w:color w:val="auto"/>
              </w:rPr>
              <w:t>Broadridge Financial Solutions, Inc.</w:t>
            </w:r>
          </w:p>
        </w:tc>
      </w:tr>
      <w:tr>
        <w:trPr>
          <w:trHeight w:val="250"/>
        </w:trPr>
        <w:tc>
          <w:tcPr>
            <w:tcW w:w="2780" w:type="dxa"/>
            <w:vAlign w:val="bottom"/>
            <w:tcBorders>
              <w:top w:val="single" w:sz="8" w:color="DBDBDB"/>
              <w:bottom w:val="single" w:sz="8" w:color="DBDBDB"/>
            </w:tcBorders>
            <w:shd w:val="clear" w:color="auto" w:fill="E7ECF0"/>
          </w:tcPr>
          <w:p>
            <w:pPr>
              <w:ind w:left="20"/>
              <w:spacing w:after="0"/>
              <w:rPr>
                <w:sz w:val="20"/>
                <w:szCs w:val="20"/>
                <w:color w:val="auto"/>
              </w:rPr>
            </w:pPr>
            <w:r>
              <w:rPr>
                <w:rFonts w:ascii="Arial" w:cs="Arial" w:eastAsia="Arial" w:hAnsi="Arial"/>
                <w:sz w:val="20"/>
                <w:szCs w:val="20"/>
                <w:color w:val="auto"/>
              </w:rPr>
              <w:t>Corpay, Inc.</w:t>
            </w:r>
          </w:p>
        </w:tc>
        <w:tc>
          <w:tcPr>
            <w:tcW w:w="160" w:type="dxa"/>
            <w:vAlign w:val="bottom"/>
            <w:tcBorders>
              <w:top w:val="single" w:sz="8" w:color="E7ECF0"/>
            </w:tcBorders>
            <w:shd w:val="clear" w:color="auto" w:fill="E7ECF0"/>
          </w:tcPr>
          <w:p>
            <w:pPr>
              <w:spacing w:after="0"/>
              <w:rPr>
                <w:sz w:val="21"/>
                <w:szCs w:val="21"/>
                <w:color w:val="auto"/>
              </w:rPr>
            </w:pPr>
          </w:p>
        </w:tc>
        <w:tc>
          <w:tcPr>
            <w:tcW w:w="3840" w:type="dxa"/>
            <w:vAlign w:val="bottom"/>
            <w:tcBorders>
              <w:top w:val="single" w:sz="8" w:color="DBDBDB"/>
              <w:bottom w:val="single" w:sz="8" w:color="DBDBDB"/>
            </w:tcBorders>
            <w:shd w:val="clear" w:color="auto" w:fill="E7ECF0"/>
          </w:tcPr>
          <w:p>
            <w:pPr>
              <w:spacing w:after="0"/>
              <w:rPr>
                <w:sz w:val="20"/>
                <w:szCs w:val="20"/>
                <w:color w:val="auto"/>
              </w:rPr>
            </w:pPr>
            <w:r>
              <w:rPr>
                <w:rFonts w:ascii="Arial" w:cs="Arial" w:eastAsia="Arial" w:hAnsi="Arial"/>
                <w:sz w:val="20"/>
                <w:szCs w:val="20"/>
                <w:color w:val="auto"/>
              </w:rPr>
              <w:t>DocuSign, Inc.</w:t>
            </w:r>
          </w:p>
        </w:tc>
        <w:tc>
          <w:tcPr>
            <w:tcW w:w="160" w:type="dxa"/>
            <w:vAlign w:val="bottom"/>
            <w:tcBorders>
              <w:top w:val="single" w:sz="8" w:color="E7ECF0"/>
            </w:tcBorders>
            <w:shd w:val="clear" w:color="auto" w:fill="E7ECF0"/>
          </w:tcPr>
          <w:p>
            <w:pPr>
              <w:spacing w:after="0"/>
              <w:rPr>
                <w:sz w:val="21"/>
                <w:szCs w:val="21"/>
                <w:color w:val="auto"/>
              </w:rPr>
            </w:pPr>
          </w:p>
        </w:tc>
        <w:tc>
          <w:tcPr>
            <w:tcW w:w="4240" w:type="dxa"/>
            <w:vAlign w:val="bottom"/>
            <w:tcBorders>
              <w:top w:val="single" w:sz="8" w:color="DBDBDB"/>
              <w:bottom w:val="single" w:sz="8" w:color="DBDBDB"/>
            </w:tcBorders>
            <w:shd w:val="clear" w:color="auto" w:fill="E7ECF0"/>
          </w:tcPr>
          <w:p>
            <w:pPr>
              <w:spacing w:after="0"/>
              <w:rPr>
                <w:sz w:val="20"/>
                <w:szCs w:val="20"/>
                <w:color w:val="auto"/>
              </w:rPr>
            </w:pPr>
            <w:r>
              <w:rPr>
                <w:rFonts w:ascii="Arial" w:cs="Arial" w:eastAsia="Arial" w:hAnsi="Arial"/>
                <w:sz w:val="20"/>
                <w:szCs w:val="20"/>
                <w:color w:val="auto"/>
              </w:rPr>
              <w:t>Euronet Worldwide, Inc.</w:t>
            </w:r>
          </w:p>
        </w:tc>
      </w:tr>
      <w:tr>
        <w:trPr>
          <w:trHeight w:val="250"/>
        </w:trPr>
        <w:tc>
          <w:tcPr>
            <w:tcW w:w="2780" w:type="dxa"/>
            <w:vAlign w:val="bottom"/>
            <w:tcBorders>
              <w:bottom w:val="single" w:sz="8" w:color="DBDBDB"/>
            </w:tcBorders>
          </w:tcPr>
          <w:p>
            <w:pPr>
              <w:ind w:left="20"/>
              <w:spacing w:after="0"/>
              <w:rPr>
                <w:sz w:val="20"/>
                <w:szCs w:val="20"/>
                <w:color w:val="auto"/>
              </w:rPr>
            </w:pPr>
            <w:r>
              <w:rPr>
                <w:rFonts w:ascii="Arial" w:cs="Arial" w:eastAsia="Arial" w:hAnsi="Arial"/>
                <w:sz w:val="20"/>
                <w:szCs w:val="20"/>
                <w:color w:val="auto"/>
              </w:rPr>
              <w:t>ExlService Holdings, Inc.</w:t>
            </w:r>
          </w:p>
        </w:tc>
        <w:tc>
          <w:tcPr>
            <w:tcW w:w="160" w:type="dxa"/>
            <w:vAlign w:val="bottom"/>
            <w:tcBorders>
              <w:bottom w:val="single" w:sz="8" w:color="E7ECF0"/>
            </w:tcBorders>
          </w:tcPr>
          <w:p>
            <w:pPr>
              <w:spacing w:after="0"/>
              <w:rPr>
                <w:sz w:val="21"/>
                <w:szCs w:val="21"/>
                <w:color w:val="auto"/>
              </w:rPr>
            </w:pPr>
          </w:p>
        </w:tc>
        <w:tc>
          <w:tcPr>
            <w:tcW w:w="3840" w:type="dxa"/>
            <w:vAlign w:val="bottom"/>
            <w:tcBorders>
              <w:bottom w:val="single" w:sz="8" w:color="DBDBDB"/>
            </w:tcBorders>
          </w:tcPr>
          <w:p>
            <w:pPr>
              <w:spacing w:after="0"/>
              <w:rPr>
                <w:sz w:val="20"/>
                <w:szCs w:val="20"/>
                <w:color w:val="auto"/>
              </w:rPr>
            </w:pPr>
            <w:r>
              <w:rPr>
                <w:rFonts w:ascii="Arial" w:cs="Arial" w:eastAsia="Arial" w:hAnsi="Arial"/>
                <w:sz w:val="20"/>
                <w:szCs w:val="20"/>
                <w:color w:val="auto"/>
              </w:rPr>
              <w:t>FactSet Research Systems Inc.</w:t>
            </w:r>
          </w:p>
        </w:tc>
        <w:tc>
          <w:tcPr>
            <w:tcW w:w="160" w:type="dxa"/>
            <w:vAlign w:val="bottom"/>
            <w:tcBorders>
              <w:bottom w:val="single" w:sz="8" w:color="E7ECF0"/>
            </w:tcBorders>
          </w:tcPr>
          <w:p>
            <w:pPr>
              <w:spacing w:after="0"/>
              <w:rPr>
                <w:sz w:val="21"/>
                <w:szCs w:val="21"/>
                <w:color w:val="auto"/>
              </w:rPr>
            </w:pPr>
          </w:p>
        </w:tc>
        <w:tc>
          <w:tcPr>
            <w:tcW w:w="4240" w:type="dxa"/>
            <w:vAlign w:val="bottom"/>
            <w:tcBorders>
              <w:bottom w:val="single" w:sz="8" w:color="DBDBDB"/>
            </w:tcBorders>
          </w:tcPr>
          <w:p>
            <w:pPr>
              <w:spacing w:after="0"/>
              <w:rPr>
                <w:sz w:val="20"/>
                <w:szCs w:val="20"/>
                <w:color w:val="auto"/>
              </w:rPr>
            </w:pPr>
            <w:r>
              <w:rPr>
                <w:rFonts w:ascii="Arial" w:cs="Arial" w:eastAsia="Arial" w:hAnsi="Arial"/>
                <w:sz w:val="20"/>
                <w:szCs w:val="20"/>
                <w:color w:val="auto"/>
              </w:rPr>
              <w:t>Fair Isaac Corporation</w:t>
            </w:r>
          </w:p>
        </w:tc>
      </w:tr>
      <w:tr>
        <w:trPr>
          <w:trHeight w:val="250"/>
        </w:trPr>
        <w:tc>
          <w:tcPr>
            <w:tcW w:w="2780" w:type="dxa"/>
            <w:vAlign w:val="bottom"/>
            <w:tcBorders>
              <w:bottom w:val="single" w:sz="8" w:color="DBDBDB"/>
            </w:tcBorders>
            <w:shd w:val="clear" w:color="auto" w:fill="E7ECF0"/>
          </w:tcPr>
          <w:p>
            <w:pPr>
              <w:ind w:left="20"/>
              <w:spacing w:after="0"/>
              <w:rPr>
                <w:sz w:val="20"/>
                <w:szCs w:val="20"/>
                <w:color w:val="auto"/>
              </w:rPr>
            </w:pPr>
            <w:r>
              <w:rPr>
                <w:rFonts w:ascii="Arial" w:cs="Arial" w:eastAsia="Arial" w:hAnsi="Arial"/>
                <w:sz w:val="20"/>
                <w:szCs w:val="20"/>
                <w:color w:val="auto"/>
              </w:rPr>
              <w:t>Genpact Limited</w:t>
            </w:r>
          </w:p>
        </w:tc>
        <w:tc>
          <w:tcPr>
            <w:tcW w:w="160" w:type="dxa"/>
            <w:vAlign w:val="bottom"/>
            <w:shd w:val="clear" w:color="auto" w:fill="E7ECF0"/>
          </w:tcPr>
          <w:p>
            <w:pPr>
              <w:spacing w:after="0"/>
              <w:rPr>
                <w:sz w:val="21"/>
                <w:szCs w:val="21"/>
                <w:color w:val="auto"/>
              </w:rPr>
            </w:pPr>
          </w:p>
        </w:tc>
        <w:tc>
          <w:tcPr>
            <w:tcW w:w="3840" w:type="dxa"/>
            <w:vAlign w:val="bottom"/>
            <w:tcBorders>
              <w:bottom w:val="single" w:sz="8" w:color="DBDBDB"/>
            </w:tcBorders>
            <w:shd w:val="clear" w:color="auto" w:fill="E7ECF0"/>
          </w:tcPr>
          <w:p>
            <w:pPr>
              <w:spacing w:after="0"/>
              <w:rPr>
                <w:sz w:val="20"/>
                <w:szCs w:val="20"/>
                <w:color w:val="auto"/>
              </w:rPr>
            </w:pPr>
            <w:r>
              <w:rPr>
                <w:rFonts w:ascii="Arial" w:cs="Arial" w:eastAsia="Arial" w:hAnsi="Arial"/>
                <w:sz w:val="20"/>
                <w:szCs w:val="20"/>
                <w:color w:val="auto"/>
              </w:rPr>
              <w:t>Morningstar, Inc.</w:t>
            </w:r>
          </w:p>
        </w:tc>
        <w:tc>
          <w:tcPr>
            <w:tcW w:w="160" w:type="dxa"/>
            <w:vAlign w:val="bottom"/>
            <w:shd w:val="clear" w:color="auto" w:fill="E7ECF0"/>
          </w:tcPr>
          <w:p>
            <w:pPr>
              <w:spacing w:after="0"/>
              <w:rPr>
                <w:sz w:val="21"/>
                <w:szCs w:val="21"/>
                <w:color w:val="auto"/>
              </w:rPr>
            </w:pPr>
          </w:p>
        </w:tc>
        <w:tc>
          <w:tcPr>
            <w:tcW w:w="4240" w:type="dxa"/>
            <w:vAlign w:val="bottom"/>
            <w:tcBorders>
              <w:bottom w:val="single" w:sz="8" w:color="DBDBDB"/>
            </w:tcBorders>
            <w:shd w:val="clear" w:color="auto" w:fill="E7ECF0"/>
          </w:tcPr>
          <w:p>
            <w:pPr>
              <w:spacing w:after="0"/>
              <w:rPr>
                <w:sz w:val="20"/>
                <w:szCs w:val="20"/>
                <w:color w:val="auto"/>
              </w:rPr>
            </w:pPr>
            <w:r>
              <w:rPr>
                <w:rFonts w:ascii="Arial" w:cs="Arial" w:eastAsia="Arial" w:hAnsi="Arial"/>
                <w:sz w:val="20"/>
                <w:szCs w:val="20"/>
                <w:color w:val="auto"/>
              </w:rPr>
              <w:t>PTC Inc.</w:t>
            </w:r>
          </w:p>
        </w:tc>
      </w:tr>
      <w:tr>
        <w:trPr>
          <w:trHeight w:val="250"/>
        </w:trPr>
        <w:tc>
          <w:tcPr>
            <w:tcW w:w="2780" w:type="dxa"/>
            <w:vAlign w:val="bottom"/>
            <w:tcBorders>
              <w:bottom w:val="single" w:sz="8" w:color="DBDBDB"/>
            </w:tcBorders>
          </w:tcPr>
          <w:p>
            <w:pPr>
              <w:ind w:left="20"/>
              <w:spacing w:after="0"/>
              <w:rPr>
                <w:sz w:val="20"/>
                <w:szCs w:val="20"/>
                <w:color w:val="auto"/>
              </w:rPr>
            </w:pPr>
            <w:r>
              <w:rPr>
                <w:rFonts w:ascii="Arial" w:cs="Arial" w:eastAsia="Arial" w:hAnsi="Arial"/>
                <w:sz w:val="20"/>
                <w:szCs w:val="20"/>
                <w:color w:val="auto"/>
              </w:rPr>
              <w:t>Splunk Inc.*</w:t>
            </w:r>
          </w:p>
        </w:tc>
        <w:tc>
          <w:tcPr>
            <w:tcW w:w="160" w:type="dxa"/>
            <w:vAlign w:val="bottom"/>
            <w:tcBorders>
              <w:bottom w:val="single" w:sz="8" w:color="E7ECF0"/>
            </w:tcBorders>
          </w:tcPr>
          <w:p>
            <w:pPr>
              <w:spacing w:after="0"/>
              <w:rPr>
                <w:sz w:val="21"/>
                <w:szCs w:val="21"/>
                <w:color w:val="auto"/>
              </w:rPr>
            </w:pPr>
          </w:p>
        </w:tc>
        <w:tc>
          <w:tcPr>
            <w:tcW w:w="3840" w:type="dxa"/>
            <w:vAlign w:val="bottom"/>
            <w:tcBorders>
              <w:bottom w:val="single" w:sz="8" w:color="DBDBDB"/>
            </w:tcBorders>
          </w:tcPr>
          <w:p>
            <w:pPr>
              <w:spacing w:after="0"/>
              <w:rPr>
                <w:sz w:val="20"/>
                <w:szCs w:val="20"/>
                <w:color w:val="auto"/>
              </w:rPr>
            </w:pPr>
            <w:r>
              <w:rPr>
                <w:rFonts w:ascii="Arial" w:cs="Arial" w:eastAsia="Arial" w:hAnsi="Arial"/>
                <w:sz w:val="20"/>
                <w:szCs w:val="20"/>
                <w:color w:val="auto"/>
              </w:rPr>
              <w:t>SS&amp;C Technologies Holdings, Inc.</w:t>
            </w:r>
          </w:p>
        </w:tc>
        <w:tc>
          <w:tcPr>
            <w:tcW w:w="160" w:type="dxa"/>
            <w:vAlign w:val="bottom"/>
            <w:tcBorders>
              <w:bottom w:val="single" w:sz="8" w:color="E7ECF0"/>
            </w:tcBorders>
          </w:tcPr>
          <w:p>
            <w:pPr>
              <w:spacing w:after="0"/>
              <w:rPr>
                <w:sz w:val="21"/>
                <w:szCs w:val="21"/>
                <w:color w:val="auto"/>
              </w:rPr>
            </w:pPr>
          </w:p>
        </w:tc>
        <w:tc>
          <w:tcPr>
            <w:tcW w:w="4240" w:type="dxa"/>
            <w:vAlign w:val="bottom"/>
            <w:tcBorders>
              <w:bottom w:val="single" w:sz="8" w:color="DBDBDB"/>
            </w:tcBorders>
          </w:tcPr>
          <w:p>
            <w:pPr>
              <w:spacing w:after="0"/>
              <w:rPr>
                <w:sz w:val="20"/>
                <w:szCs w:val="20"/>
                <w:color w:val="auto"/>
              </w:rPr>
            </w:pPr>
            <w:r>
              <w:rPr>
                <w:rFonts w:ascii="Arial" w:cs="Arial" w:eastAsia="Arial" w:hAnsi="Arial"/>
                <w:sz w:val="20"/>
                <w:szCs w:val="20"/>
                <w:color w:val="auto"/>
              </w:rPr>
              <w:t>Tyler Technologies, Inc.</w:t>
            </w:r>
          </w:p>
        </w:tc>
      </w:tr>
      <w:tr>
        <w:trPr>
          <w:trHeight w:val="250"/>
        </w:trPr>
        <w:tc>
          <w:tcPr>
            <w:tcW w:w="2780" w:type="dxa"/>
            <w:vAlign w:val="bottom"/>
            <w:tcBorders>
              <w:bottom w:val="single" w:sz="8" w:color="DBDBDB"/>
            </w:tcBorders>
            <w:shd w:val="clear" w:color="auto" w:fill="E7ECF0"/>
          </w:tcPr>
          <w:p>
            <w:pPr>
              <w:ind w:left="20"/>
              <w:spacing w:after="0"/>
              <w:rPr>
                <w:sz w:val="20"/>
                <w:szCs w:val="20"/>
                <w:color w:val="auto"/>
              </w:rPr>
            </w:pPr>
            <w:r>
              <w:rPr>
                <w:rFonts w:ascii="Arial" w:cs="Arial" w:eastAsia="Arial" w:hAnsi="Arial"/>
                <w:sz w:val="20"/>
                <w:szCs w:val="20"/>
                <w:color w:val="auto"/>
              </w:rPr>
              <w:t>Verint Systems Inc.</w:t>
            </w:r>
          </w:p>
        </w:tc>
        <w:tc>
          <w:tcPr>
            <w:tcW w:w="160" w:type="dxa"/>
            <w:vAlign w:val="bottom"/>
            <w:shd w:val="clear" w:color="auto" w:fill="E7ECF0"/>
          </w:tcPr>
          <w:p>
            <w:pPr>
              <w:spacing w:after="0"/>
              <w:rPr>
                <w:sz w:val="21"/>
                <w:szCs w:val="21"/>
                <w:color w:val="auto"/>
              </w:rPr>
            </w:pPr>
          </w:p>
        </w:tc>
        <w:tc>
          <w:tcPr>
            <w:tcW w:w="3840" w:type="dxa"/>
            <w:vAlign w:val="bottom"/>
            <w:tcBorders>
              <w:bottom w:val="single" w:sz="8" w:color="DBDBDB"/>
            </w:tcBorders>
            <w:shd w:val="clear" w:color="auto" w:fill="E7ECF0"/>
          </w:tcPr>
          <w:p>
            <w:pPr>
              <w:spacing w:after="0"/>
              <w:rPr>
                <w:sz w:val="20"/>
                <w:szCs w:val="20"/>
                <w:color w:val="auto"/>
              </w:rPr>
            </w:pPr>
            <w:r>
              <w:rPr>
                <w:rFonts w:ascii="Arial" w:cs="Arial" w:eastAsia="Arial" w:hAnsi="Arial"/>
                <w:sz w:val="20"/>
                <w:szCs w:val="20"/>
                <w:color w:val="auto"/>
              </w:rPr>
              <w:t>WEX, Inc.</w:t>
            </w:r>
          </w:p>
        </w:tc>
        <w:tc>
          <w:tcPr>
            <w:tcW w:w="160" w:type="dxa"/>
            <w:vAlign w:val="bottom"/>
            <w:shd w:val="clear" w:color="auto" w:fill="E7ECF0"/>
          </w:tcPr>
          <w:p>
            <w:pPr>
              <w:spacing w:after="0"/>
              <w:rPr>
                <w:sz w:val="21"/>
                <w:szCs w:val="21"/>
                <w:color w:val="auto"/>
              </w:rPr>
            </w:pPr>
          </w:p>
        </w:tc>
        <w:tc>
          <w:tcPr>
            <w:tcW w:w="4240" w:type="dxa"/>
            <w:vAlign w:val="bottom"/>
            <w:tcBorders>
              <w:bottom w:val="single" w:sz="8" w:color="DBDBDB"/>
            </w:tcBorders>
            <w:shd w:val="clear" w:color="auto" w:fill="E7ECF0"/>
          </w:tcPr>
          <w:p>
            <w:pPr>
              <w:spacing w:after="0"/>
              <w:rPr>
                <w:sz w:val="21"/>
                <w:szCs w:val="21"/>
                <w:color w:val="auto"/>
              </w:rPr>
            </w:pPr>
          </w:p>
        </w:tc>
      </w:tr>
    </w:tbl>
    <w:p>
      <w:pPr>
        <w:spacing w:after="0" w:line="332" w:lineRule="exact"/>
        <w:rPr>
          <w:sz w:val="20"/>
          <w:szCs w:val="20"/>
          <w:color w:val="auto"/>
        </w:rPr>
      </w:pPr>
    </w:p>
    <w:p>
      <w:pPr>
        <w:jc w:val="both"/>
        <w:spacing w:after="0" w:line="276" w:lineRule="auto"/>
        <w:rPr>
          <w:sz w:val="20"/>
          <w:szCs w:val="20"/>
          <w:color w:val="auto"/>
        </w:rPr>
      </w:pPr>
      <w:r>
        <w:rPr>
          <w:rFonts w:ascii="Arial" w:cs="Arial" w:eastAsia="Arial" w:hAnsi="Arial"/>
          <w:sz w:val="18"/>
          <w:szCs w:val="18"/>
          <w:color w:val="auto"/>
        </w:rPr>
        <w:t>*Black Knight, Inc. was included as part of the fiscal 2024 Compensation Peer Group for benchmarking, but was acquired in the first quarter of fiscal 2024. Splunk Inc. was included as part of the fiscal 2024 Compensation Peer Group for benchmarking, but was acquired in the third quarter of fiscal 2024.</w:t>
      </w:r>
    </w:p>
    <w:p>
      <w:pPr>
        <w:spacing w:after="0" w:line="215" w:lineRule="exact"/>
        <w:rPr>
          <w:sz w:val="20"/>
          <w:szCs w:val="20"/>
          <w:color w:val="auto"/>
        </w:rPr>
      </w:pPr>
    </w:p>
    <w:p>
      <w:pPr>
        <w:jc w:val="both"/>
        <w:spacing w:after="0" w:line="269" w:lineRule="auto"/>
        <w:rPr>
          <w:sz w:val="20"/>
          <w:szCs w:val="20"/>
          <w:color w:val="auto"/>
        </w:rPr>
      </w:pPr>
      <w:r>
        <w:rPr>
          <w:rFonts w:ascii="Arial" w:cs="Arial" w:eastAsia="Arial" w:hAnsi="Arial"/>
          <w:sz w:val="20"/>
          <w:szCs w:val="20"/>
          <w:color w:val="auto"/>
        </w:rPr>
        <w:t>The Compensation Peer Group is reviewed annually and, as appropriate, updated by the HC&amp;C Committee to make sure that members of the group are consistent with the Company’s industry and financial scope and comparable in terms of size and labor pool. For comparison purposes, the Company’s annual revenue, net income, and market capitalization were within a reasonable range of the median of the members of the Compensation Peer Group.</w:t>
      </w:r>
    </w:p>
    <w:p>
      <w:pPr>
        <w:spacing w:after="0" w:line="197" w:lineRule="exact"/>
        <w:rPr>
          <w:sz w:val="20"/>
          <w:szCs w:val="20"/>
          <w:color w:val="auto"/>
        </w:rPr>
      </w:pPr>
    </w:p>
    <w:p>
      <w:pPr>
        <w:jc w:val="both"/>
        <w:spacing w:after="0" w:line="268" w:lineRule="auto"/>
        <w:rPr>
          <w:sz w:val="20"/>
          <w:szCs w:val="20"/>
          <w:color w:val="auto"/>
        </w:rPr>
      </w:pPr>
      <w:r>
        <w:rPr>
          <w:rFonts w:ascii="Arial" w:cs="Arial" w:eastAsia="Arial" w:hAnsi="Arial"/>
          <w:sz w:val="20"/>
          <w:szCs w:val="20"/>
          <w:color w:val="auto"/>
        </w:rPr>
        <w:t>In addition to the Compensation Peer Group, two companies, Fiserv, Inc. and Fidelity National Information Services, Inc. (together, the “Reference Peers”), were identified whose business models more closely align with the Company, but who both have larger revenue and market capitalization. The HC&amp;C Committee used data from both our Compensation Peer Group and our Reference Peers to inform our executive compensation program design and to track current market trends, but only the Compensation Peer Group was used in compensation benchmarking assessments.</w:t>
      </w:r>
    </w:p>
    <w:p>
      <w:pPr>
        <w:spacing w:after="0" w:line="201" w:lineRule="exact"/>
        <w:rPr>
          <w:sz w:val="20"/>
          <w:szCs w:val="20"/>
          <w:color w:val="auto"/>
        </w:rPr>
      </w:pPr>
    </w:p>
    <w:p>
      <w:pPr>
        <w:jc w:val="both"/>
        <w:spacing w:after="0" w:line="269" w:lineRule="auto"/>
        <w:rPr>
          <w:sz w:val="20"/>
          <w:szCs w:val="20"/>
          <w:color w:val="auto"/>
        </w:rPr>
      </w:pPr>
      <w:r>
        <w:rPr>
          <w:rFonts w:ascii="Arial" w:cs="Arial" w:eastAsia="Arial" w:hAnsi="Arial"/>
          <w:sz w:val="20"/>
          <w:szCs w:val="20"/>
          <w:color w:val="auto"/>
        </w:rPr>
        <w:t>To benchmark each element of total compensation for our Named Executives, Meridian provided data from two key sources: (1) public filings for the companies in our Compensation Peer Group and (2) an executive compensation survey reflective of our industry and the general industry. In reviewing compensation survey data, the HC&amp;C Committee considered data for companies with annual revenues similar to the Company.</w:t>
      </w:r>
    </w:p>
    <w:p>
      <w:pPr>
        <w:spacing w:after="0" w:line="197" w:lineRule="exact"/>
        <w:rPr>
          <w:sz w:val="20"/>
          <w:szCs w:val="20"/>
          <w:color w:val="auto"/>
        </w:rPr>
      </w:pPr>
    </w:p>
    <w:p>
      <w:pPr>
        <w:jc w:val="both"/>
        <w:spacing w:after="0" w:line="269" w:lineRule="auto"/>
        <w:rPr>
          <w:sz w:val="20"/>
          <w:szCs w:val="20"/>
          <w:color w:val="auto"/>
        </w:rPr>
      </w:pPr>
      <w:r>
        <w:rPr>
          <w:rFonts w:ascii="Arial" w:cs="Arial" w:eastAsia="Arial" w:hAnsi="Arial"/>
          <w:sz w:val="20"/>
          <w:szCs w:val="20"/>
          <w:color w:val="auto"/>
        </w:rPr>
        <w:t>In setting fiscal 2024 compensation, the HC&amp;C Committee reviewed competitive market data for the Compensation Peer Group at the 25th, 50th, and 75th percentiles for base salary, target bonus, target cash compensation, long-term incentive compensation, and target total compensation. In setting total cash compensation and long-term incentive compensation, the HC&amp;C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27940</wp:posOffset>
            </wp:positionV>
            <wp:extent cx="7132320" cy="3517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32320" cy="351790"/>
                    </a:xfrm>
                    <a:prstGeom prst="rect">
                      <a:avLst/>
                    </a:prstGeom>
                    <a:noFill/>
                  </pic:spPr>
                </pic:pic>
              </a:graphicData>
            </a:graphic>
          </wp:anchor>
        </w:drawing>
      </w:r>
    </w:p>
    <w:p>
      <w:pPr>
        <w:spacing w:after="0" w:line="234" w:lineRule="exact"/>
        <w:rPr>
          <w:sz w:val="20"/>
          <w:szCs w:val="20"/>
          <w:color w:val="auto"/>
        </w:rPr>
      </w:pPr>
    </w:p>
    <w:p>
      <w:pPr>
        <w:ind w:left="9000"/>
        <w:spacing w:after="0"/>
        <w:tabs>
          <w:tab w:leader="none" w:pos="11000" w:val="left"/>
        </w:tabs>
        <w:rPr>
          <w:sz w:val="20"/>
          <w:szCs w:val="20"/>
          <w:color w:val="auto"/>
        </w:rPr>
      </w:pPr>
      <w:r>
        <w:rPr>
          <w:rFonts w:ascii="Arial" w:cs="Arial" w:eastAsia="Arial" w:hAnsi="Arial"/>
          <w:sz w:val="18"/>
          <w:szCs w:val="18"/>
          <w:color w:val="auto"/>
        </w:rPr>
        <w:t>2024 Proxy Statement</w:t>
      </w:r>
      <w:r>
        <w:rPr>
          <w:sz w:val="20"/>
          <w:szCs w:val="20"/>
          <w:color w:val="auto"/>
        </w:rPr>
        <w:tab/>
      </w:r>
      <w:r>
        <w:rPr>
          <w:rFonts w:ascii="Arial" w:cs="Arial" w:eastAsia="Arial" w:hAnsi="Arial"/>
          <w:sz w:val="17"/>
          <w:szCs w:val="17"/>
          <w:color w:val="1E3767"/>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253365</wp:posOffset>
            </wp:positionV>
            <wp:extent cx="7157720"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01" w:right="339" w:bottom="1440" w:gutter="0" w:footer="0" w:header="0"/>
        </w:sectPr>
      </w:pPr>
    </w:p>
    <w:bookmarkStart w:id="38" w:name="page39"/>
    <w:bookmarkEnd w:id="38"/>
    <w:p>
      <w:pPr>
        <w:jc w:val="both"/>
        <w:spacing w:after="0" w:line="269" w:lineRule="auto"/>
        <w:rPr>
          <w:sz w:val="20"/>
          <w:szCs w:val="20"/>
          <w:color w:val="auto"/>
        </w:rPr>
      </w:pPr>
      <w:r>
        <w:rPr>
          <w:rFonts w:ascii="Arial" w:cs="Arial" w:eastAsia="Arial" w:hAnsi="Arial"/>
          <w:sz w:val="20"/>
          <w:szCs w:val="20"/>
          <w:color w:val="auto"/>
        </w:rPr>
        <w:t>recognized that there are certain limitations in the market data available for the Compensation Peer Group. Thus, in addition to considering levels of compensation suggested by market data, the HC&amp;C Committee also considered other relevant factors including performance against pre-identified objectives under business plans for the preceding fiscal year, individual performance reviews, change in job duties, and internal equity for compensation levels among our executives.</w:t>
      </w:r>
    </w:p>
    <w:p>
      <w:pPr>
        <w:spacing w:after="0" w:line="197" w:lineRule="exact"/>
        <w:rPr>
          <w:sz w:val="20"/>
          <w:szCs w:val="20"/>
          <w:color w:val="auto"/>
        </w:rPr>
      </w:pPr>
    </w:p>
    <w:p>
      <w:pPr>
        <w:jc w:val="both"/>
        <w:spacing w:after="0" w:line="268" w:lineRule="auto"/>
        <w:rPr>
          <w:sz w:val="20"/>
          <w:szCs w:val="20"/>
          <w:color w:val="auto"/>
        </w:rPr>
      </w:pPr>
      <w:r>
        <w:rPr>
          <w:rFonts w:ascii="Arial" w:cs="Arial" w:eastAsia="Arial" w:hAnsi="Arial"/>
          <w:sz w:val="20"/>
          <w:szCs w:val="20"/>
          <w:color w:val="auto"/>
        </w:rPr>
        <w:t>The allocation between cash, non-cash, short-term, and long-term incentive compensation is measured against the practices of our Compensation Peer Group and Reference Peers and reflects the HC&amp;C Committee’s determination of the appropriate compensation mix among base pay, target annual cash incentives, and long-term equity incentives to encourage retention and performance. Actual cash and equity incentive awards are determined by the performance of the Company and the individual, depending on the type of award, compared to established goals.</w:t>
      </w:r>
    </w:p>
    <w:p>
      <w:pPr>
        <w:spacing w:after="0" w:line="19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Base Salary</w:t>
      </w:r>
    </w:p>
    <w:p>
      <w:pPr>
        <w:spacing w:after="0" w:line="258" w:lineRule="exact"/>
        <w:rPr>
          <w:sz w:val="20"/>
          <w:szCs w:val="20"/>
          <w:color w:val="auto"/>
        </w:rPr>
      </w:pPr>
    </w:p>
    <w:p>
      <w:pPr>
        <w:jc w:val="both"/>
        <w:spacing w:after="0" w:line="265" w:lineRule="auto"/>
        <w:rPr>
          <w:sz w:val="20"/>
          <w:szCs w:val="20"/>
          <w:color w:val="auto"/>
        </w:rPr>
      </w:pPr>
      <w:r>
        <w:rPr>
          <w:rFonts w:ascii="Arial" w:cs="Arial" w:eastAsia="Arial" w:hAnsi="Arial"/>
          <w:sz w:val="20"/>
          <w:szCs w:val="20"/>
          <w:color w:val="auto"/>
        </w:rPr>
        <w:t>Although we believe a significant portion of executive compensation should be based on “at-risk” compensation to align pay and performance, the HC&amp;C Committee also believes that competitive base salaries are necessary to attract and retain a highly qualified and effective executive team. In June and July 2023, the HC&amp;C Committee considered competitive data provided by Meridian. Based on this data as well as individual and corporate performance and changes in executive duties, the HC&amp;C Committee increased the base salaries of the Named Executives in the following amounts. Fiscal 2024 base salary changes did not go into effect for Named Executives until January 2024.</w:t>
      </w:r>
    </w:p>
    <w:p>
      <w:pPr>
        <w:spacing w:after="0" w:line="216" w:lineRule="exact"/>
        <w:rPr>
          <w:sz w:val="20"/>
          <w:szCs w:val="20"/>
          <w:color w:val="auto"/>
        </w:rPr>
      </w:pPr>
    </w:p>
    <w:tbl>
      <w:tblPr>
        <w:tblLayout w:type="fixed"/>
        <w:tblInd w:w="1760" w:type="dxa"/>
        <w:tblCellMar>
          <w:top w:w="0" w:type="dxa"/>
          <w:left w:w="0" w:type="dxa"/>
          <w:bottom w:w="0" w:type="dxa"/>
          <w:right w:w="0" w:type="dxa"/>
        </w:tblCellMar>
      </w:tblPr>
      <w:tr>
        <w:trPr>
          <w:trHeight w:val="207"/>
        </w:trPr>
        <w:tc>
          <w:tcPr>
            <w:tcW w:w="1840" w:type="dxa"/>
            <w:vAlign w:val="bottom"/>
            <w:vMerge w:val="restart"/>
            <w:shd w:val="clear" w:color="auto" w:fill="E8F7F7"/>
          </w:tcPr>
          <w:p>
            <w:pPr>
              <w:ind w:left="20"/>
              <w:spacing w:after="0"/>
              <w:rPr>
                <w:sz w:val="20"/>
                <w:szCs w:val="20"/>
                <w:color w:val="auto"/>
              </w:rPr>
            </w:pPr>
            <w:r>
              <w:rPr>
                <w:rFonts w:ascii="Arial" w:cs="Arial" w:eastAsia="Arial" w:hAnsi="Arial"/>
                <w:sz w:val="18"/>
                <w:szCs w:val="18"/>
                <w:b w:val="1"/>
                <w:bCs w:val="1"/>
                <w:color w:val="auto"/>
              </w:rPr>
              <w:t>Named Executive</w:t>
            </w:r>
          </w:p>
        </w:tc>
        <w:tc>
          <w:tcPr>
            <w:tcW w:w="2380" w:type="dxa"/>
            <w:vAlign w:val="bottom"/>
            <w:shd w:val="clear" w:color="auto" w:fill="E8F7F7"/>
          </w:tcPr>
          <w:p>
            <w:pPr>
              <w:jc w:val="right"/>
              <w:ind w:right="30"/>
              <w:spacing w:after="0"/>
              <w:rPr>
                <w:sz w:val="20"/>
                <w:szCs w:val="20"/>
                <w:color w:val="auto"/>
              </w:rPr>
            </w:pPr>
            <w:r>
              <w:rPr>
                <w:rFonts w:ascii="Arial" w:cs="Arial" w:eastAsia="Arial" w:hAnsi="Arial"/>
                <w:sz w:val="18"/>
                <w:szCs w:val="18"/>
                <w:b w:val="1"/>
                <w:bCs w:val="1"/>
                <w:color w:val="auto"/>
              </w:rPr>
              <w:t>Fiscal 2023 Base Salary</w:t>
            </w:r>
          </w:p>
        </w:tc>
        <w:tc>
          <w:tcPr>
            <w:tcW w:w="2340" w:type="dxa"/>
            <w:vAlign w:val="bottom"/>
            <w:shd w:val="clear" w:color="auto" w:fill="E8F7F7"/>
          </w:tcPr>
          <w:p>
            <w:pPr>
              <w:jc w:val="right"/>
              <w:ind w:right="150"/>
              <w:spacing w:after="0"/>
              <w:rPr>
                <w:sz w:val="20"/>
                <w:szCs w:val="20"/>
                <w:color w:val="auto"/>
              </w:rPr>
            </w:pPr>
            <w:r>
              <w:rPr>
                <w:rFonts w:ascii="Arial" w:cs="Arial" w:eastAsia="Arial" w:hAnsi="Arial"/>
                <w:sz w:val="18"/>
                <w:szCs w:val="18"/>
                <w:b w:val="1"/>
                <w:bCs w:val="1"/>
                <w:color w:val="auto"/>
              </w:rPr>
              <w:t>Fiscal 2024 Base Salary</w:t>
            </w:r>
          </w:p>
        </w:tc>
        <w:tc>
          <w:tcPr>
            <w:tcW w:w="1160" w:type="dxa"/>
            <w:vAlign w:val="bottom"/>
            <w:shd w:val="clear" w:color="auto" w:fill="E8F7F7"/>
          </w:tcPr>
          <w:p>
            <w:pPr>
              <w:jc w:val="right"/>
              <w:ind w:right="190"/>
              <w:spacing w:after="0"/>
              <w:rPr>
                <w:sz w:val="20"/>
                <w:szCs w:val="20"/>
                <w:color w:val="auto"/>
              </w:rPr>
            </w:pPr>
            <w:r>
              <w:rPr>
                <w:rFonts w:ascii="Arial" w:cs="Arial" w:eastAsia="Arial" w:hAnsi="Arial"/>
                <w:sz w:val="18"/>
                <w:szCs w:val="18"/>
                <w:b w:val="1"/>
                <w:bCs w:val="1"/>
                <w:color w:val="auto"/>
              </w:rPr>
              <w:t>Increase</w:t>
            </w:r>
          </w:p>
        </w:tc>
        <w:tc>
          <w:tcPr>
            <w:tcW w:w="0" w:type="dxa"/>
            <w:vAlign w:val="bottom"/>
          </w:tcPr>
          <w:p>
            <w:pPr>
              <w:spacing w:after="0"/>
              <w:rPr>
                <w:sz w:val="1"/>
                <w:szCs w:val="1"/>
                <w:color w:val="auto"/>
              </w:rPr>
            </w:pPr>
          </w:p>
        </w:tc>
      </w:tr>
      <w:tr>
        <w:trPr>
          <w:trHeight w:val="235"/>
        </w:trPr>
        <w:tc>
          <w:tcPr>
            <w:tcW w:w="1840" w:type="dxa"/>
            <w:vAlign w:val="bottom"/>
            <w:tcBorders>
              <w:bottom w:val="single" w:sz="8" w:color="auto"/>
            </w:tcBorders>
            <w:vMerge w:val="continue"/>
            <w:shd w:val="clear" w:color="auto" w:fill="E8F7F7"/>
          </w:tcPr>
          <w:p>
            <w:pPr>
              <w:spacing w:after="0"/>
              <w:rPr>
                <w:sz w:val="20"/>
                <w:szCs w:val="20"/>
                <w:color w:val="auto"/>
              </w:rPr>
            </w:pPr>
          </w:p>
        </w:tc>
        <w:tc>
          <w:tcPr>
            <w:tcW w:w="2380" w:type="dxa"/>
            <w:vAlign w:val="bottom"/>
            <w:tcBorders>
              <w:bottom w:val="single" w:sz="8" w:color="auto"/>
            </w:tcBorders>
            <w:shd w:val="clear" w:color="auto" w:fill="E8F7F7"/>
          </w:tcPr>
          <w:p>
            <w:pPr>
              <w:jc w:val="right"/>
              <w:ind w:right="930"/>
              <w:spacing w:after="0"/>
              <w:rPr>
                <w:sz w:val="20"/>
                <w:szCs w:val="20"/>
                <w:color w:val="auto"/>
              </w:rPr>
            </w:pPr>
            <w:r>
              <w:rPr>
                <w:rFonts w:ascii="Arial" w:cs="Arial" w:eastAsia="Arial" w:hAnsi="Arial"/>
                <w:sz w:val="18"/>
                <w:szCs w:val="18"/>
                <w:b w:val="1"/>
                <w:bCs w:val="1"/>
                <w:color w:val="auto"/>
              </w:rPr>
              <w:t>($)</w:t>
            </w:r>
          </w:p>
        </w:tc>
        <w:tc>
          <w:tcPr>
            <w:tcW w:w="2340" w:type="dxa"/>
            <w:vAlign w:val="bottom"/>
            <w:tcBorders>
              <w:bottom w:val="single" w:sz="8" w:color="auto"/>
            </w:tcBorders>
            <w:shd w:val="clear" w:color="auto" w:fill="E8F7F7"/>
          </w:tcPr>
          <w:p>
            <w:pPr>
              <w:jc w:val="right"/>
              <w:ind w:right="1070"/>
              <w:spacing w:after="0"/>
              <w:rPr>
                <w:sz w:val="20"/>
                <w:szCs w:val="20"/>
                <w:color w:val="auto"/>
              </w:rPr>
            </w:pPr>
            <w:r>
              <w:rPr>
                <w:rFonts w:ascii="Arial" w:cs="Arial" w:eastAsia="Arial" w:hAnsi="Arial"/>
                <w:sz w:val="18"/>
                <w:szCs w:val="18"/>
                <w:b w:val="1"/>
                <w:bCs w:val="1"/>
                <w:color w:val="auto"/>
              </w:rPr>
              <w:t>($)</w:t>
            </w:r>
          </w:p>
        </w:tc>
        <w:tc>
          <w:tcPr>
            <w:tcW w:w="1160" w:type="dxa"/>
            <w:vAlign w:val="bottom"/>
            <w:tcBorders>
              <w:bottom w:val="single" w:sz="8" w:color="auto"/>
            </w:tcBorders>
            <w:shd w:val="clear" w:color="auto" w:fill="E8F7F7"/>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1840" w:type="dxa"/>
            <w:vAlign w:val="bottom"/>
            <w:tcBorders>
              <w:bottom w:val="single" w:sz="8" w:color="DBDBDB"/>
            </w:tcBorders>
          </w:tcPr>
          <w:p>
            <w:pPr>
              <w:ind w:left="20"/>
              <w:spacing w:after="0"/>
              <w:rPr>
                <w:sz w:val="20"/>
                <w:szCs w:val="20"/>
                <w:color w:val="auto"/>
              </w:rPr>
            </w:pPr>
            <w:r>
              <w:rPr>
                <w:rFonts w:ascii="Arial" w:cs="Arial" w:eastAsia="Arial" w:hAnsi="Arial"/>
                <w:sz w:val="18"/>
                <w:szCs w:val="18"/>
                <w:color w:val="auto"/>
              </w:rPr>
              <w:t>David B. Foss</w:t>
            </w:r>
          </w:p>
        </w:tc>
        <w:tc>
          <w:tcPr>
            <w:tcW w:w="2380" w:type="dxa"/>
            <w:vAlign w:val="bottom"/>
            <w:tcBorders>
              <w:bottom w:val="single" w:sz="8" w:color="DBDBDB"/>
            </w:tcBorders>
          </w:tcPr>
          <w:p>
            <w:pPr>
              <w:jc w:val="right"/>
              <w:spacing w:after="0"/>
              <w:rPr>
                <w:sz w:val="20"/>
                <w:szCs w:val="20"/>
                <w:color w:val="auto"/>
              </w:rPr>
            </w:pPr>
            <w:r>
              <w:rPr>
                <w:rFonts w:ascii="Arial" w:cs="Arial" w:eastAsia="Arial" w:hAnsi="Arial"/>
                <w:sz w:val="18"/>
                <w:szCs w:val="18"/>
                <w:color w:val="auto"/>
              </w:rPr>
              <w:t>865,000</w:t>
            </w:r>
          </w:p>
        </w:tc>
        <w:tc>
          <w:tcPr>
            <w:tcW w:w="2340" w:type="dxa"/>
            <w:vAlign w:val="bottom"/>
            <w:tcBorders>
              <w:bottom w:val="single" w:sz="8" w:color="DBDBDB"/>
            </w:tcBorders>
          </w:tcPr>
          <w:p>
            <w:pPr>
              <w:jc w:val="right"/>
              <w:ind w:right="70"/>
              <w:spacing w:after="0"/>
              <w:rPr>
                <w:sz w:val="20"/>
                <w:szCs w:val="20"/>
                <w:color w:val="auto"/>
              </w:rPr>
            </w:pPr>
            <w:r>
              <w:rPr>
                <w:rFonts w:ascii="Arial" w:cs="Arial" w:eastAsia="Arial" w:hAnsi="Arial"/>
                <w:sz w:val="18"/>
                <w:szCs w:val="18"/>
                <w:color w:val="auto"/>
              </w:rPr>
              <w:t>865,000</w:t>
            </w:r>
          </w:p>
        </w:tc>
        <w:tc>
          <w:tcPr>
            <w:tcW w:w="1160" w:type="dxa"/>
            <w:vAlign w:val="bottom"/>
            <w:tcBorders>
              <w:bottom w:val="single" w:sz="8" w:color="DBDBDB"/>
            </w:tcBorders>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23"/>
        </w:trPr>
        <w:tc>
          <w:tcPr>
            <w:tcW w:w="1840" w:type="dxa"/>
            <w:vAlign w:val="bottom"/>
            <w:tcBorders>
              <w:bottom w:val="single" w:sz="8" w:color="DBDBDB"/>
            </w:tcBorders>
            <w:shd w:val="clear" w:color="auto" w:fill="E7ECF0"/>
          </w:tcPr>
          <w:p>
            <w:pPr>
              <w:ind w:left="20"/>
              <w:spacing w:after="0"/>
              <w:rPr>
                <w:sz w:val="20"/>
                <w:szCs w:val="20"/>
                <w:color w:val="auto"/>
              </w:rPr>
            </w:pPr>
            <w:r>
              <w:rPr>
                <w:rFonts w:ascii="Arial" w:cs="Arial" w:eastAsia="Arial" w:hAnsi="Arial"/>
                <w:sz w:val="18"/>
                <w:szCs w:val="18"/>
                <w:color w:val="auto"/>
              </w:rPr>
              <w:t>Gregory R. Adelson</w:t>
            </w:r>
          </w:p>
        </w:tc>
        <w:tc>
          <w:tcPr>
            <w:tcW w:w="2380" w:type="dxa"/>
            <w:vAlign w:val="bottom"/>
            <w:tcBorders>
              <w:bottom w:val="single" w:sz="8" w:color="DBDBDB"/>
            </w:tcBorders>
            <w:shd w:val="clear" w:color="auto" w:fill="E7ECF0"/>
          </w:tcPr>
          <w:p>
            <w:pPr>
              <w:jc w:val="right"/>
              <w:spacing w:after="0"/>
              <w:rPr>
                <w:sz w:val="20"/>
                <w:szCs w:val="20"/>
                <w:color w:val="auto"/>
              </w:rPr>
            </w:pPr>
            <w:r>
              <w:rPr>
                <w:rFonts w:ascii="Arial" w:cs="Arial" w:eastAsia="Arial" w:hAnsi="Arial"/>
                <w:sz w:val="18"/>
                <w:szCs w:val="18"/>
                <w:color w:val="auto"/>
              </w:rPr>
              <w:t>575,000</w:t>
            </w:r>
          </w:p>
        </w:tc>
        <w:tc>
          <w:tcPr>
            <w:tcW w:w="2340" w:type="dxa"/>
            <w:vAlign w:val="bottom"/>
            <w:tcBorders>
              <w:bottom w:val="single" w:sz="8" w:color="DBDBDB"/>
            </w:tcBorders>
            <w:shd w:val="clear" w:color="auto" w:fill="E7ECF0"/>
          </w:tcPr>
          <w:p>
            <w:pPr>
              <w:jc w:val="right"/>
              <w:ind w:right="70"/>
              <w:spacing w:after="0"/>
              <w:rPr>
                <w:sz w:val="20"/>
                <w:szCs w:val="20"/>
                <w:color w:val="auto"/>
              </w:rPr>
            </w:pPr>
            <w:r>
              <w:rPr>
                <w:rFonts w:ascii="Arial" w:cs="Arial" w:eastAsia="Arial" w:hAnsi="Arial"/>
                <w:sz w:val="18"/>
                <w:szCs w:val="18"/>
                <w:color w:val="auto"/>
              </w:rPr>
              <w:t>586,500</w:t>
            </w:r>
          </w:p>
        </w:tc>
        <w:tc>
          <w:tcPr>
            <w:tcW w:w="1160" w:type="dxa"/>
            <w:vAlign w:val="bottom"/>
            <w:tcBorders>
              <w:bottom w:val="single" w:sz="8" w:color="DBDBDB"/>
            </w:tcBorders>
            <w:shd w:val="clear" w:color="auto" w:fill="E7ECF0"/>
          </w:tcPr>
          <w:p>
            <w:pPr>
              <w:jc w:val="right"/>
              <w:spacing w:after="0"/>
              <w:rPr>
                <w:sz w:val="20"/>
                <w:szCs w:val="20"/>
                <w:color w:val="auto"/>
              </w:rPr>
            </w:pPr>
            <w:r>
              <w:rPr>
                <w:rFonts w:ascii="Arial" w:cs="Arial" w:eastAsia="Arial" w:hAnsi="Arial"/>
                <w:sz w:val="18"/>
                <w:szCs w:val="18"/>
                <w:color w:val="auto"/>
              </w:rPr>
              <w:t>2.0 %</w:t>
            </w:r>
          </w:p>
        </w:tc>
        <w:tc>
          <w:tcPr>
            <w:tcW w:w="0" w:type="dxa"/>
            <w:vAlign w:val="bottom"/>
          </w:tcPr>
          <w:p>
            <w:pPr>
              <w:spacing w:after="0"/>
              <w:rPr>
                <w:sz w:val="1"/>
                <w:szCs w:val="1"/>
                <w:color w:val="auto"/>
              </w:rPr>
            </w:pPr>
          </w:p>
        </w:tc>
      </w:tr>
      <w:tr>
        <w:trPr>
          <w:trHeight w:val="223"/>
        </w:trPr>
        <w:tc>
          <w:tcPr>
            <w:tcW w:w="1840" w:type="dxa"/>
            <w:vAlign w:val="bottom"/>
            <w:tcBorders>
              <w:bottom w:val="single" w:sz="8" w:color="DBDBDB"/>
            </w:tcBorders>
          </w:tcPr>
          <w:p>
            <w:pPr>
              <w:ind w:left="20"/>
              <w:spacing w:after="0"/>
              <w:rPr>
                <w:sz w:val="20"/>
                <w:szCs w:val="20"/>
                <w:color w:val="auto"/>
              </w:rPr>
            </w:pPr>
            <w:r>
              <w:rPr>
                <w:rFonts w:ascii="Arial" w:cs="Arial" w:eastAsia="Arial" w:hAnsi="Arial"/>
                <w:sz w:val="18"/>
                <w:szCs w:val="18"/>
                <w:color w:val="auto"/>
              </w:rPr>
              <w:t>Mimi L. Carsley</w:t>
            </w:r>
          </w:p>
        </w:tc>
        <w:tc>
          <w:tcPr>
            <w:tcW w:w="2380" w:type="dxa"/>
            <w:vAlign w:val="bottom"/>
            <w:tcBorders>
              <w:bottom w:val="single" w:sz="8" w:color="DBDBDB"/>
            </w:tcBorders>
          </w:tcPr>
          <w:p>
            <w:pPr>
              <w:jc w:val="right"/>
              <w:spacing w:after="0"/>
              <w:rPr>
                <w:sz w:val="20"/>
                <w:szCs w:val="20"/>
                <w:color w:val="auto"/>
              </w:rPr>
            </w:pPr>
            <w:r>
              <w:rPr>
                <w:rFonts w:ascii="Arial" w:cs="Arial" w:eastAsia="Arial" w:hAnsi="Arial"/>
                <w:sz w:val="18"/>
                <w:szCs w:val="18"/>
                <w:color w:val="auto"/>
              </w:rPr>
              <w:t>475,000</w:t>
            </w:r>
          </w:p>
        </w:tc>
        <w:tc>
          <w:tcPr>
            <w:tcW w:w="2340" w:type="dxa"/>
            <w:vAlign w:val="bottom"/>
            <w:tcBorders>
              <w:bottom w:val="single" w:sz="8" w:color="DBDBDB"/>
            </w:tcBorders>
          </w:tcPr>
          <w:p>
            <w:pPr>
              <w:jc w:val="right"/>
              <w:ind w:right="70"/>
              <w:spacing w:after="0"/>
              <w:rPr>
                <w:sz w:val="20"/>
                <w:szCs w:val="20"/>
                <w:color w:val="auto"/>
              </w:rPr>
            </w:pPr>
            <w:r>
              <w:rPr>
                <w:rFonts w:ascii="Arial" w:cs="Arial" w:eastAsia="Arial" w:hAnsi="Arial"/>
                <w:sz w:val="18"/>
                <w:szCs w:val="18"/>
                <w:color w:val="auto"/>
              </w:rPr>
              <w:t>517,750</w:t>
            </w:r>
          </w:p>
        </w:tc>
        <w:tc>
          <w:tcPr>
            <w:tcW w:w="1160" w:type="dxa"/>
            <w:vAlign w:val="bottom"/>
            <w:tcBorders>
              <w:bottom w:val="single" w:sz="8" w:color="DBDBDB"/>
            </w:tcBorders>
          </w:tcPr>
          <w:p>
            <w:pPr>
              <w:jc w:val="right"/>
              <w:spacing w:after="0"/>
              <w:rPr>
                <w:sz w:val="20"/>
                <w:szCs w:val="20"/>
                <w:color w:val="auto"/>
              </w:rPr>
            </w:pPr>
            <w:r>
              <w:rPr>
                <w:rFonts w:ascii="Arial" w:cs="Arial" w:eastAsia="Arial" w:hAnsi="Arial"/>
                <w:sz w:val="18"/>
                <w:szCs w:val="18"/>
                <w:color w:val="auto"/>
              </w:rPr>
              <w:t>9.0 %</w:t>
            </w:r>
          </w:p>
        </w:tc>
        <w:tc>
          <w:tcPr>
            <w:tcW w:w="0" w:type="dxa"/>
            <w:vAlign w:val="bottom"/>
          </w:tcPr>
          <w:p>
            <w:pPr>
              <w:spacing w:after="0"/>
              <w:rPr>
                <w:sz w:val="1"/>
                <w:szCs w:val="1"/>
                <w:color w:val="auto"/>
              </w:rPr>
            </w:pPr>
          </w:p>
        </w:tc>
      </w:tr>
      <w:tr>
        <w:trPr>
          <w:trHeight w:val="223"/>
        </w:trPr>
        <w:tc>
          <w:tcPr>
            <w:tcW w:w="1840" w:type="dxa"/>
            <w:vAlign w:val="bottom"/>
            <w:tcBorders>
              <w:bottom w:val="single" w:sz="8" w:color="DBDBDB"/>
            </w:tcBorders>
            <w:shd w:val="clear" w:color="auto" w:fill="E7ECF0"/>
          </w:tcPr>
          <w:p>
            <w:pPr>
              <w:ind w:left="20"/>
              <w:spacing w:after="0"/>
              <w:rPr>
                <w:sz w:val="20"/>
                <w:szCs w:val="20"/>
                <w:color w:val="auto"/>
              </w:rPr>
            </w:pPr>
            <w:r>
              <w:rPr>
                <w:rFonts w:ascii="Arial" w:cs="Arial" w:eastAsia="Arial" w:hAnsi="Arial"/>
                <w:sz w:val="18"/>
                <w:szCs w:val="18"/>
                <w:color w:val="auto"/>
              </w:rPr>
              <w:t>Craig K. Morgan</w:t>
            </w:r>
          </w:p>
        </w:tc>
        <w:tc>
          <w:tcPr>
            <w:tcW w:w="2380" w:type="dxa"/>
            <w:vAlign w:val="bottom"/>
            <w:tcBorders>
              <w:bottom w:val="single" w:sz="8" w:color="DBDBDB"/>
            </w:tcBorders>
            <w:shd w:val="clear" w:color="auto" w:fill="E7ECF0"/>
          </w:tcPr>
          <w:p>
            <w:pPr>
              <w:jc w:val="right"/>
              <w:spacing w:after="0"/>
              <w:rPr>
                <w:sz w:val="20"/>
                <w:szCs w:val="20"/>
                <w:color w:val="auto"/>
              </w:rPr>
            </w:pPr>
            <w:r>
              <w:rPr>
                <w:rFonts w:ascii="Arial" w:cs="Arial" w:eastAsia="Arial" w:hAnsi="Arial"/>
                <w:sz w:val="18"/>
                <w:szCs w:val="18"/>
                <w:color w:val="auto"/>
              </w:rPr>
              <w:t>430,000</w:t>
            </w:r>
          </w:p>
        </w:tc>
        <w:tc>
          <w:tcPr>
            <w:tcW w:w="2340" w:type="dxa"/>
            <w:vAlign w:val="bottom"/>
            <w:tcBorders>
              <w:bottom w:val="single" w:sz="8" w:color="DBDBDB"/>
            </w:tcBorders>
            <w:shd w:val="clear" w:color="auto" w:fill="E7ECF0"/>
          </w:tcPr>
          <w:p>
            <w:pPr>
              <w:jc w:val="right"/>
              <w:ind w:right="70"/>
              <w:spacing w:after="0"/>
              <w:rPr>
                <w:sz w:val="20"/>
                <w:szCs w:val="20"/>
                <w:color w:val="auto"/>
              </w:rPr>
            </w:pPr>
            <w:r>
              <w:rPr>
                <w:rFonts w:ascii="Arial" w:cs="Arial" w:eastAsia="Arial" w:hAnsi="Arial"/>
                <w:sz w:val="18"/>
                <w:szCs w:val="18"/>
                <w:color w:val="auto"/>
              </w:rPr>
              <w:t>438,600</w:t>
            </w:r>
          </w:p>
        </w:tc>
        <w:tc>
          <w:tcPr>
            <w:tcW w:w="1160" w:type="dxa"/>
            <w:vAlign w:val="bottom"/>
            <w:tcBorders>
              <w:bottom w:val="single" w:sz="8" w:color="DBDBDB"/>
            </w:tcBorders>
            <w:shd w:val="clear" w:color="auto" w:fill="E7ECF0"/>
          </w:tcPr>
          <w:p>
            <w:pPr>
              <w:jc w:val="right"/>
              <w:spacing w:after="0"/>
              <w:rPr>
                <w:sz w:val="20"/>
                <w:szCs w:val="20"/>
                <w:color w:val="auto"/>
              </w:rPr>
            </w:pPr>
            <w:r>
              <w:rPr>
                <w:rFonts w:ascii="Arial" w:cs="Arial" w:eastAsia="Arial" w:hAnsi="Arial"/>
                <w:sz w:val="18"/>
                <w:szCs w:val="18"/>
                <w:color w:val="auto"/>
              </w:rPr>
              <w:t>2.0 %</w:t>
            </w:r>
          </w:p>
        </w:tc>
        <w:tc>
          <w:tcPr>
            <w:tcW w:w="0" w:type="dxa"/>
            <w:vAlign w:val="bottom"/>
          </w:tcPr>
          <w:p>
            <w:pPr>
              <w:spacing w:after="0"/>
              <w:rPr>
                <w:sz w:val="1"/>
                <w:szCs w:val="1"/>
                <w:color w:val="auto"/>
              </w:rPr>
            </w:pPr>
          </w:p>
        </w:tc>
      </w:tr>
      <w:tr>
        <w:trPr>
          <w:trHeight w:val="223"/>
        </w:trPr>
        <w:tc>
          <w:tcPr>
            <w:tcW w:w="1840" w:type="dxa"/>
            <w:vAlign w:val="bottom"/>
            <w:tcBorders>
              <w:bottom w:val="single" w:sz="8" w:color="DBDBDB"/>
            </w:tcBorders>
          </w:tcPr>
          <w:p>
            <w:pPr>
              <w:ind w:left="20"/>
              <w:spacing w:after="0"/>
              <w:rPr>
                <w:sz w:val="20"/>
                <w:szCs w:val="20"/>
                <w:color w:val="auto"/>
              </w:rPr>
            </w:pPr>
            <w:r>
              <w:rPr>
                <w:rFonts w:ascii="Arial" w:cs="Arial" w:eastAsia="Arial" w:hAnsi="Arial"/>
                <w:sz w:val="18"/>
                <w:szCs w:val="18"/>
                <w:color w:val="auto"/>
              </w:rPr>
              <w:t>Stacey E. Zengel</w:t>
            </w:r>
          </w:p>
        </w:tc>
        <w:tc>
          <w:tcPr>
            <w:tcW w:w="2380" w:type="dxa"/>
            <w:vAlign w:val="bottom"/>
            <w:tcBorders>
              <w:bottom w:val="single" w:sz="8" w:color="DBDBDB"/>
            </w:tcBorders>
          </w:tcPr>
          <w:p>
            <w:pPr>
              <w:jc w:val="right"/>
              <w:spacing w:after="0"/>
              <w:rPr>
                <w:sz w:val="20"/>
                <w:szCs w:val="20"/>
                <w:color w:val="auto"/>
              </w:rPr>
            </w:pPr>
            <w:r>
              <w:rPr>
                <w:rFonts w:ascii="Arial" w:cs="Arial" w:eastAsia="Arial" w:hAnsi="Arial"/>
                <w:sz w:val="18"/>
                <w:szCs w:val="18"/>
                <w:color w:val="auto"/>
              </w:rPr>
              <w:t>383,000</w:t>
            </w:r>
          </w:p>
        </w:tc>
        <w:tc>
          <w:tcPr>
            <w:tcW w:w="2340" w:type="dxa"/>
            <w:vAlign w:val="bottom"/>
            <w:tcBorders>
              <w:bottom w:val="single" w:sz="8" w:color="DBDBDB"/>
            </w:tcBorders>
          </w:tcPr>
          <w:p>
            <w:pPr>
              <w:jc w:val="right"/>
              <w:ind w:right="70"/>
              <w:spacing w:after="0"/>
              <w:rPr>
                <w:sz w:val="20"/>
                <w:szCs w:val="20"/>
                <w:color w:val="auto"/>
              </w:rPr>
            </w:pPr>
            <w:r>
              <w:rPr>
                <w:rFonts w:ascii="Arial" w:cs="Arial" w:eastAsia="Arial" w:hAnsi="Arial"/>
                <w:sz w:val="18"/>
                <w:szCs w:val="18"/>
                <w:color w:val="auto"/>
              </w:rPr>
              <w:t>390,660</w:t>
            </w:r>
          </w:p>
        </w:tc>
        <w:tc>
          <w:tcPr>
            <w:tcW w:w="1160" w:type="dxa"/>
            <w:vAlign w:val="bottom"/>
            <w:tcBorders>
              <w:bottom w:val="single" w:sz="8" w:color="DBDBDB"/>
            </w:tcBorders>
          </w:tcPr>
          <w:p>
            <w:pPr>
              <w:jc w:val="right"/>
              <w:spacing w:after="0"/>
              <w:rPr>
                <w:sz w:val="20"/>
                <w:szCs w:val="20"/>
                <w:color w:val="auto"/>
              </w:rPr>
            </w:pPr>
            <w:r>
              <w:rPr>
                <w:rFonts w:ascii="Arial" w:cs="Arial" w:eastAsia="Arial" w:hAnsi="Arial"/>
                <w:sz w:val="18"/>
                <w:szCs w:val="18"/>
                <w:color w:val="auto"/>
              </w:rPr>
              <w:t>2.0 %</w:t>
            </w:r>
          </w:p>
        </w:tc>
        <w:tc>
          <w:tcPr>
            <w:tcW w:w="0" w:type="dxa"/>
            <w:vAlign w:val="bottom"/>
          </w:tcPr>
          <w:p>
            <w:pPr>
              <w:spacing w:after="0"/>
              <w:rPr>
                <w:sz w:val="1"/>
                <w:szCs w:val="1"/>
                <w:color w:val="auto"/>
              </w:rPr>
            </w:pPr>
          </w:p>
        </w:tc>
      </w:tr>
    </w:tbl>
    <w:p>
      <w:pPr>
        <w:spacing w:after="0" w:line="32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Annual Incentive Cash Bonuses</w:t>
      </w:r>
    </w:p>
    <w:p>
      <w:pPr>
        <w:spacing w:after="0" w:line="245"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Annual Incentive Plan</w:t>
      </w:r>
    </w:p>
    <w:p>
      <w:pPr>
        <w:spacing w:after="0" w:line="256" w:lineRule="exact"/>
        <w:rPr>
          <w:sz w:val="20"/>
          <w:szCs w:val="20"/>
          <w:color w:val="auto"/>
        </w:rPr>
      </w:pPr>
    </w:p>
    <w:p>
      <w:pPr>
        <w:jc w:val="both"/>
        <w:spacing w:after="0" w:line="261" w:lineRule="auto"/>
        <w:rPr>
          <w:sz w:val="20"/>
          <w:szCs w:val="20"/>
          <w:color w:val="auto"/>
        </w:rPr>
      </w:pPr>
      <w:r>
        <w:rPr>
          <w:rFonts w:ascii="Arial" w:cs="Arial" w:eastAsia="Arial" w:hAnsi="Arial"/>
          <w:sz w:val="20"/>
          <w:szCs w:val="20"/>
          <w:color w:val="auto"/>
        </w:rPr>
        <w:t>It is our practice to provide our Named Executives with the opportunity to earn annual incentive cash bonus compensation through programs that reward attainment of key objectives under corporate annual business plans. The objectives that underlie our annual incentive compensation programs may vary between fiscal years and between the Named Executives, but generally include objectives that reward attainment by the Company of targeted adjusted operating income as well as strategic executive goals. In setting the fiscal 2024 bonus amounts a Named Executive is eligible to earn for achieving specified objectives, the HC&amp;C Committee considered published survey data and targeted bonus and target total cash compensation levels at or near the 50th percentile of the Compensation Peer Group. Bonus opportunities for achieving objectives are generally established as a percentage of an executive’s base salary and the percentages increase with job scope and complexity. Executives have the opportunity to earn reduced bonus amounts if a minimum level (threshold) of performance against an objective is achieved and can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37465</wp:posOffset>
            </wp:positionV>
            <wp:extent cx="7132320" cy="3511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32320" cy="351155"/>
                    </a:xfrm>
                    <a:prstGeom prst="rect">
                      <a:avLst/>
                    </a:prstGeom>
                    <a:noFill/>
                  </pic:spPr>
                </pic:pic>
              </a:graphicData>
            </a:graphic>
          </wp:anchor>
        </w:drawing>
      </w:r>
    </w:p>
    <w:p>
      <w:pPr>
        <w:spacing w:after="0" w:line="249" w:lineRule="exact"/>
        <w:rPr>
          <w:sz w:val="20"/>
          <w:szCs w:val="20"/>
          <w:color w:val="auto"/>
        </w:rPr>
      </w:pPr>
    </w:p>
    <w:p>
      <w:pPr>
        <w:ind w:left="20"/>
        <w:spacing w:after="0"/>
        <w:tabs>
          <w:tab w:leader="none" w:pos="440" w:val="left"/>
        </w:tabs>
        <w:rPr>
          <w:sz w:val="20"/>
          <w:szCs w:val="20"/>
          <w:color w:val="auto"/>
        </w:rPr>
      </w:pPr>
      <w:r>
        <w:rPr>
          <w:rFonts w:ascii="Arial" w:cs="Arial" w:eastAsia="Arial" w:hAnsi="Arial"/>
          <w:sz w:val="18"/>
          <w:szCs w:val="18"/>
          <w:color w:val="auto"/>
        </w:rPr>
        <w:t>36</w:t>
        <w:tab/>
        <w:t>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253365</wp:posOffset>
            </wp:positionV>
            <wp:extent cx="7157720"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01" w:right="339" w:bottom="1440" w:gutter="0" w:footer="0" w:header="0"/>
        </w:sectPr>
      </w:pPr>
    </w:p>
    <w:bookmarkStart w:id="39" w:name="page40"/>
    <w:bookmarkEnd w:id="39"/>
    <w:p>
      <w:pPr>
        <w:jc w:val="both"/>
        <w:ind w:right="20"/>
        <w:spacing w:after="0" w:line="286" w:lineRule="auto"/>
        <w:rPr>
          <w:sz w:val="20"/>
          <w:szCs w:val="20"/>
          <w:color w:val="auto"/>
        </w:rPr>
      </w:pPr>
      <w:r>
        <w:rPr>
          <w:rFonts w:ascii="Arial" w:cs="Arial" w:eastAsia="Arial" w:hAnsi="Arial"/>
          <w:sz w:val="20"/>
          <w:szCs w:val="20"/>
          <w:color w:val="auto"/>
        </w:rPr>
        <w:t>also earn increased bonus amounts for performance in excess of the level of targeted performance (subject to a maximum of 200% of the established target amount).</w:t>
      </w:r>
    </w:p>
    <w:p>
      <w:pPr>
        <w:spacing w:after="0" w:line="194" w:lineRule="exact"/>
        <w:rPr>
          <w:sz w:val="20"/>
          <w:szCs w:val="20"/>
          <w:color w:val="auto"/>
        </w:rPr>
      </w:pPr>
    </w:p>
    <w:p>
      <w:pPr>
        <w:jc w:val="both"/>
        <w:spacing w:after="0" w:line="263" w:lineRule="auto"/>
        <w:rPr>
          <w:sz w:val="20"/>
          <w:szCs w:val="20"/>
          <w:color w:val="auto"/>
        </w:rPr>
      </w:pPr>
      <w:r>
        <w:rPr>
          <w:rFonts w:ascii="Arial" w:cs="Arial" w:eastAsia="Arial" w:hAnsi="Arial"/>
          <w:sz w:val="20"/>
          <w:szCs w:val="20"/>
          <w:color w:val="auto"/>
        </w:rPr>
        <w:t>The decision as to whether to offer an annual incentive cash bonus program to our Named Executives for any fiscal year, the type and funding of any program offered, and the objectives that underlie any program, are subject to the discretion of the HC&amp;C Committee and its assessment of general and industry specific conditions existing during the applicable period. In determining the amount that a Named Executive is eligible to earn under an incentive cash bonus program, the HC&amp;C Committee may also exercise negative discretion to reduce an award based on its assessment of the executive’s contribution and accountability for the objectives that are the subject of the bonus, the internal equity of the executive’s bonus opportunity as compared to bonus opportunities for our other executives, and any other factors the HC&amp;C Committee considers relevant.</w:t>
      </w:r>
    </w:p>
    <w:p>
      <w:pPr>
        <w:spacing w:after="0" w:line="207" w:lineRule="exact"/>
        <w:rPr>
          <w:sz w:val="20"/>
          <w:szCs w:val="20"/>
          <w:color w:val="auto"/>
        </w:rPr>
      </w:pPr>
    </w:p>
    <w:p>
      <w:pPr>
        <w:jc w:val="both"/>
        <w:ind w:right="20"/>
        <w:spacing w:after="0" w:line="286" w:lineRule="auto"/>
        <w:rPr>
          <w:sz w:val="20"/>
          <w:szCs w:val="20"/>
          <w:color w:val="auto"/>
        </w:rPr>
      </w:pPr>
      <w:r>
        <w:rPr>
          <w:rFonts w:ascii="Arial" w:cs="Arial" w:eastAsia="Arial" w:hAnsi="Arial"/>
          <w:sz w:val="20"/>
          <w:szCs w:val="20"/>
          <w:color w:val="auto"/>
        </w:rPr>
        <w:t>To provide an appropriate structure for cash bonus incentives, the Company’s stockholders previously approved the 2017 Annual Incentive Plan. Cash bonus incentives for fiscal 2024 were structured under the 2017 Annual Incentive Plan.</w:t>
      </w:r>
    </w:p>
    <w:p>
      <w:pPr>
        <w:spacing w:after="0" w:line="194"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The fiscal 2024 incentive cash bonus plan established for the Named Executives was based 75% upon achievement of the Company’s annual adjusted budget operating income target and 25% upon the achievement of strategic executive goals set for the Named Executives as a group by the HC&amp;C Committee. The achievement of these strategic executive goals is based on the HC&amp;C Committee’s holistic determination of the performance of all strategic executive goals in the aggregate, with one payout factor determined based on the HC&amp;C Committee assessment between 0% and 200% of target. In addition, the strategic executive goals portion of the plan is subject to an individual modifier for each specific Named Executive based on the HC&amp;C Committee’s evaluation. This individual modifier can increase or decrease the strategic executive goal outcome 25% up or down for that Named Executive. The entire incentive cash bonus payout is limited to 200% of target for each Named Executive, even if the combined operating income target achievement and the strategic executive goal achievement, with applicable individual modifier, exceeds 200%. However, the fiscal 2024 annual incentive plan provided that no part of the incentive cash bonus was payable unless the Company’s performance on the adjusted operating income measurement was at or above the minimum threshold for achievement.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35560</wp:posOffset>
            </wp:positionV>
            <wp:extent cx="7132320" cy="3511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32320" cy="351155"/>
                    </a:xfrm>
                    <a:prstGeom prst="rect">
                      <a:avLst/>
                    </a:prstGeom>
                    <a:noFill/>
                  </pic:spPr>
                </pic:pic>
              </a:graphicData>
            </a:graphic>
          </wp:anchor>
        </w:drawing>
      </w:r>
    </w:p>
    <w:p>
      <w:pPr>
        <w:spacing w:after="0" w:line="247" w:lineRule="exact"/>
        <w:rPr>
          <w:sz w:val="20"/>
          <w:szCs w:val="20"/>
          <w:color w:val="auto"/>
        </w:rPr>
      </w:pPr>
    </w:p>
    <w:p>
      <w:pPr>
        <w:ind w:left="9000"/>
        <w:spacing w:after="0"/>
        <w:tabs>
          <w:tab w:leader="none" w:pos="11000" w:val="left"/>
        </w:tabs>
        <w:rPr>
          <w:sz w:val="20"/>
          <w:szCs w:val="20"/>
          <w:color w:val="auto"/>
        </w:rPr>
      </w:pPr>
      <w:r>
        <w:rPr>
          <w:rFonts w:ascii="Arial" w:cs="Arial" w:eastAsia="Arial" w:hAnsi="Arial"/>
          <w:sz w:val="18"/>
          <w:szCs w:val="18"/>
          <w:color w:val="auto"/>
        </w:rPr>
        <w:t>2024 Proxy Statement</w:t>
      </w:r>
      <w:r>
        <w:rPr>
          <w:sz w:val="20"/>
          <w:szCs w:val="20"/>
          <w:color w:val="auto"/>
        </w:rPr>
        <w:tab/>
      </w:r>
      <w:r>
        <w:rPr>
          <w:rFonts w:ascii="Arial" w:cs="Arial" w:eastAsia="Arial" w:hAnsi="Arial"/>
          <w:sz w:val="17"/>
          <w:szCs w:val="17"/>
          <w:color w:val="1E3767"/>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262255</wp:posOffset>
            </wp:positionV>
            <wp:extent cx="7157720" cy="425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01" w:right="339" w:bottom="1440" w:gutter="0" w:footer="0" w:header="0"/>
        </w:sectPr>
      </w:pPr>
    </w:p>
    <w:bookmarkStart w:id="40" w:name="page41"/>
    <w:bookmarkEnd w:id="4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1408430</wp:posOffset>
            </wp:positionH>
            <wp:positionV relativeFrom="page">
              <wp:posOffset>577850</wp:posOffset>
            </wp:positionV>
            <wp:extent cx="4732020" cy="329184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clrChange>
                        <a:clrFrom>
                          <a:srgbClr val="FFFFFF"/>
                        </a:clrFrom>
                        <a:clrTo>
                          <a:srgbClr val="FFFFFF">
                            <a:alpha val="0"/>
                          </a:srgbClr>
                        </a:clrTo>
                      </a:clrChange>
                      <a:extLst>
                        <a:ext uri="{28A0092B-C50C-407E-A947-70E740481C1C}"/>
                      </a:extLst>
                    </a:blip>
                    <a:srcRect/>
                    <a:stretch>
                      <a:fillRect/>
                    </a:stretch>
                  </pic:blipFill>
                  <pic:spPr bwMode="auto">
                    <a:xfrm>
                      <a:off x="0" y="0"/>
                      <a:ext cx="4732020" cy="32918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both"/>
        <w:spacing w:after="0" w:line="261" w:lineRule="auto"/>
        <w:rPr>
          <w:sz w:val="20"/>
          <w:szCs w:val="20"/>
          <w:color w:val="auto"/>
        </w:rPr>
      </w:pPr>
      <w:r>
        <w:rPr>
          <w:rFonts w:ascii="Arial" w:cs="Arial" w:eastAsia="Arial" w:hAnsi="Arial"/>
          <w:sz w:val="20"/>
          <w:szCs w:val="20"/>
          <w:color w:val="auto"/>
        </w:rPr>
        <w:t>The adjusted operating income performance target for the Named Executives in fiscal 2024, which achievement composes 75% of the targeted annual incentive cash bonus, was established from the annual budget of the Company as approved by the Board of $494.5 million of adjusted operating income. The annual budget was developed by management with input from the Board in a thorough process that builds upon departmental forecasts and considers historical performance, industry dynamics, and macro-economic trends. This $494.5 million of adjusted operating income was reached by adjusting the approved GAAP operating income target of $505.7 million to remove $13.1 million of anticipated operating income from deconversion fees during the fiscal year and adding back $1.9 million of anticipated operating income loss for the first two months of fiscal 2024 from an acquisition made two months into fiscal 2023, consistent with the Company’s non-GAAP adjustment practices in financial earnings releases.</w:t>
      </w:r>
    </w:p>
    <w:p>
      <w:pPr>
        <w:spacing w:after="0" w:line="220" w:lineRule="exact"/>
        <w:rPr>
          <w:sz w:val="20"/>
          <w:szCs w:val="20"/>
          <w:color w:val="auto"/>
        </w:rPr>
      </w:pPr>
    </w:p>
    <w:p>
      <w:pPr>
        <w:jc w:val="both"/>
        <w:spacing w:after="0" w:line="261" w:lineRule="auto"/>
        <w:rPr>
          <w:sz w:val="20"/>
          <w:szCs w:val="20"/>
          <w:color w:val="auto"/>
        </w:rPr>
      </w:pPr>
      <w:r>
        <w:rPr>
          <w:rFonts w:ascii="Arial" w:cs="Arial" w:eastAsia="Arial" w:hAnsi="Arial"/>
          <w:sz w:val="20"/>
          <w:szCs w:val="20"/>
          <w:color w:val="auto"/>
        </w:rPr>
        <w:t>The HC&amp;C Committee designed the fiscal 2024 annual incentive cash bonus plan to require that the adjusted operating income after all bonuses are paid be no less than $ 494.5 million. Based on $28.5 million of anticipated amounts to be expensed as target corporate bonuses that are dependent on achievement of certain operating income performance levels in the fiscal year, and accounting for the average strategic executive goal achievement including individual modifiers in fiscal 2024 of greater than 100% as described below, the 100% payout target for adjusted operating income before bonus payments was $523.2 million. For purposes of the determining payouts under the annual incentive cash bonus plan, the HC&amp;C Committee adjusts operating income to remove the impact of deconversion fees, acquisitions and divestitures, sales of assets, and, as approved by the HC&amp;C Committee, any other one-time non-GAAP adjustments that management makes in the Company’s earnings releases for the relevant periods.</w:t>
      </w:r>
    </w:p>
    <w:p>
      <w:pPr>
        <w:spacing w:after="0" w:line="220" w:lineRule="exact"/>
        <w:rPr>
          <w:sz w:val="20"/>
          <w:szCs w:val="20"/>
          <w:color w:val="auto"/>
        </w:rPr>
      </w:pPr>
    </w:p>
    <w:p>
      <w:pPr>
        <w:jc w:val="both"/>
        <w:spacing w:after="0" w:line="269" w:lineRule="auto"/>
        <w:rPr>
          <w:sz w:val="20"/>
          <w:szCs w:val="20"/>
          <w:color w:val="auto"/>
        </w:rPr>
      </w:pPr>
      <w:r>
        <w:rPr>
          <w:rFonts w:ascii="Arial" w:cs="Arial" w:eastAsia="Arial" w:hAnsi="Arial"/>
          <w:sz w:val="20"/>
          <w:szCs w:val="20"/>
          <w:color w:val="auto"/>
        </w:rPr>
        <w:t>Because annual bonuses may only be paid out to the extent post-bonus adjusted operating income exceeds the $494.5 million threshold, the threshold for adjusted operating income pre-bonus is a function of total bonus pool size, rather than a set percentage of target. For fiscal 2024, the pre-bonus adjusted operating income threshold was 94.6% of target, below which no bonus was payable, with a target amount at 100% and up to a maximum at 110%. Bonus payouts for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7132320" cy="3511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32320" cy="351155"/>
                    </a:xfrm>
                    <a:prstGeom prst="rect">
                      <a:avLst/>
                    </a:prstGeom>
                    <a:noFill/>
                  </pic:spPr>
                </pic:pic>
              </a:graphicData>
            </a:graphic>
          </wp:anchor>
        </w:drawing>
      </w:r>
    </w:p>
    <w:p>
      <w:pPr>
        <w:spacing w:after="0" w:line="221" w:lineRule="exact"/>
        <w:rPr>
          <w:sz w:val="20"/>
          <w:szCs w:val="20"/>
          <w:color w:val="auto"/>
        </w:rPr>
      </w:pPr>
    </w:p>
    <w:p>
      <w:pPr>
        <w:ind w:left="20"/>
        <w:spacing w:after="0"/>
        <w:tabs>
          <w:tab w:leader="none" w:pos="440" w:val="left"/>
        </w:tabs>
        <w:rPr>
          <w:sz w:val="20"/>
          <w:szCs w:val="20"/>
          <w:color w:val="auto"/>
        </w:rPr>
      </w:pPr>
      <w:r>
        <w:rPr>
          <w:rFonts w:ascii="Arial" w:cs="Arial" w:eastAsia="Arial" w:hAnsi="Arial"/>
          <w:sz w:val="18"/>
          <w:szCs w:val="18"/>
          <w:color w:val="auto"/>
        </w:rPr>
        <w:t>38</w:t>
        <w:tab/>
        <w:t>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262255</wp:posOffset>
            </wp:positionV>
            <wp:extent cx="7157720" cy="425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1" w:name="page42"/>
    <w:bookmarkEnd w:id="41"/>
    <w:p>
      <w:pPr>
        <w:jc w:val="both"/>
        <w:spacing w:after="0" w:line="286" w:lineRule="auto"/>
        <w:rPr>
          <w:sz w:val="20"/>
          <w:szCs w:val="20"/>
          <w:color w:val="auto"/>
        </w:rPr>
      </w:pPr>
      <w:r>
        <w:rPr>
          <w:rFonts w:ascii="Arial" w:cs="Arial" w:eastAsia="Arial" w:hAnsi="Arial"/>
          <w:sz w:val="20"/>
          <w:szCs w:val="20"/>
          <w:color w:val="auto"/>
        </w:rPr>
        <w:t>adjusted operating income achievement ranged from 0% of target at threshold performance to 200% of targeted bonus at maximum performance, with additional breakpoints between threshold and target and between target and maximum.</w:t>
      </w:r>
    </w:p>
    <w:p>
      <w:pPr>
        <w:spacing w:after="0" w:line="194" w:lineRule="exact"/>
        <w:rPr>
          <w:sz w:val="20"/>
          <w:szCs w:val="20"/>
          <w:color w:val="auto"/>
        </w:rPr>
      </w:pPr>
    </w:p>
    <w:p>
      <w:pPr>
        <w:jc w:val="both"/>
        <w:spacing w:after="0" w:line="261" w:lineRule="auto"/>
        <w:rPr>
          <w:sz w:val="20"/>
          <w:szCs w:val="20"/>
          <w:color w:val="auto"/>
        </w:rPr>
      </w:pPr>
      <w:r>
        <w:rPr>
          <w:rFonts w:ascii="Arial" w:cs="Arial" w:eastAsia="Arial" w:hAnsi="Arial"/>
          <w:sz w:val="20"/>
          <w:szCs w:val="20"/>
          <w:color w:val="auto"/>
        </w:rPr>
        <w:t>The adjusted operating income results used for the performance target were calculated by adjusting the actual operating income results for fiscal 2024 of $489.4 million to remove operating income related to non-GAAP adjustments as applied by management in financial earnings releases and as approved by the HC&amp;C Committee. These adjustments included removing deconversion fees during the fiscal year of $13.1 million and adding back actual operating loss for the fiscal 2023 acquisition for the two months without a comparable period in fiscal 2024 of $2.2 million, $16.4 million related to expenses incurred under the voluntary employee departure incentive payment program, a voluntary separation program offered by the Company to certain eligible employees during fiscal 2024, and amounts expensed as corporate bonuses at June 30, 2024 of $29.2 million, which were dependent upon achievement of certain operating income performance levels in the fiscal year. This outcome of $524.1 million of pre-bonus adjusted operating income in fiscal 2024, or 100.2% of target, resulted in a 100.7% payout of target for the Named Executives.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656590</wp:posOffset>
            </wp:positionH>
            <wp:positionV relativeFrom="paragraph">
              <wp:posOffset>-13335</wp:posOffset>
            </wp:positionV>
            <wp:extent cx="5837555" cy="37801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5837555" cy="37801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both"/>
        <w:spacing w:after="0" w:line="279" w:lineRule="auto"/>
        <w:rPr>
          <w:sz w:val="20"/>
          <w:szCs w:val="20"/>
          <w:color w:val="auto"/>
        </w:rPr>
      </w:pPr>
      <w:r>
        <w:rPr>
          <w:rFonts w:ascii="Arial" w:cs="Arial" w:eastAsia="Arial" w:hAnsi="Arial"/>
          <w:sz w:val="19"/>
          <w:szCs w:val="19"/>
          <w:color w:val="auto"/>
        </w:rPr>
        <w:t>The strategic executive goals, which compose 25% of the targeted annual incentive cash bonus, were set by the HC&amp;C Committee based on the Company’s business strategies and objectives. For fiscal 2024, the HC&amp;C Committee adopted six strategic goals for the Named Executives, which included achieving specified customer and employee satisfaction ratings, delivery of important corporate initiatives, milestones and product delivery timelines, implementation of programs and systems, implementing process and control improvements, and achieving customer sales targets. These strategic goals are keys to financial and business success for the Company and thus contribute to producing income and stockholder returns over the long-term. The HC&amp;C Committee grades the strategic payout based on a holistic determination of all goals in the aggregate, 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16510</wp:posOffset>
            </wp:positionV>
            <wp:extent cx="7132320" cy="3511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32320" cy="351155"/>
                    </a:xfrm>
                    <a:prstGeom prst="rect">
                      <a:avLst/>
                    </a:prstGeom>
                    <a:noFill/>
                  </pic:spPr>
                </pic:pic>
              </a:graphicData>
            </a:graphic>
          </wp:anchor>
        </w:drawing>
      </w:r>
    </w:p>
    <w:p>
      <w:pPr>
        <w:spacing w:after="0" w:line="216" w:lineRule="exact"/>
        <w:rPr>
          <w:sz w:val="20"/>
          <w:szCs w:val="20"/>
          <w:color w:val="auto"/>
        </w:rPr>
      </w:pPr>
    </w:p>
    <w:p>
      <w:pPr>
        <w:ind w:left="9000"/>
        <w:spacing w:after="0"/>
        <w:tabs>
          <w:tab w:leader="none" w:pos="11000" w:val="left"/>
        </w:tabs>
        <w:rPr>
          <w:sz w:val="20"/>
          <w:szCs w:val="20"/>
          <w:color w:val="auto"/>
        </w:rPr>
      </w:pPr>
      <w:r>
        <w:rPr>
          <w:rFonts w:ascii="Arial" w:cs="Arial" w:eastAsia="Arial" w:hAnsi="Arial"/>
          <w:sz w:val="18"/>
          <w:szCs w:val="18"/>
          <w:color w:val="auto"/>
        </w:rPr>
        <w:t>2024 Proxy Statement</w:t>
      </w:r>
      <w:r>
        <w:rPr>
          <w:sz w:val="20"/>
          <w:szCs w:val="20"/>
          <w:color w:val="auto"/>
        </w:rPr>
        <w:tab/>
      </w:r>
      <w:r>
        <w:rPr>
          <w:rFonts w:ascii="Arial" w:cs="Arial" w:eastAsia="Arial" w:hAnsi="Arial"/>
          <w:sz w:val="17"/>
          <w:szCs w:val="17"/>
          <w:color w:val="1E3767"/>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262255</wp:posOffset>
            </wp:positionV>
            <wp:extent cx="7157720" cy="425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01" w:right="339" w:bottom="1440" w:gutter="0" w:footer="0" w:header="0"/>
        </w:sectPr>
      </w:pPr>
    </w:p>
    <w:bookmarkStart w:id="42" w:name="page43"/>
    <w:bookmarkEnd w:id="42"/>
    <w:p>
      <w:pPr>
        <w:jc w:val="both"/>
        <w:spacing w:after="0" w:line="269" w:lineRule="auto"/>
        <w:rPr>
          <w:sz w:val="20"/>
          <w:szCs w:val="20"/>
          <w:color w:val="auto"/>
        </w:rPr>
      </w:pPr>
      <w:r>
        <w:rPr>
          <w:rFonts w:ascii="Arial" w:cs="Arial" w:eastAsia="Arial" w:hAnsi="Arial"/>
          <w:sz w:val="20"/>
          <w:szCs w:val="20"/>
          <w:color w:val="auto"/>
        </w:rPr>
        <w:t>one payout factor determined based on the HC&amp;C Committee’s assessment. Based on exceeding benchmark scores for customer and employee satisfaction ratings, meeting or exceeding implementation schedules for identified initiatives and products, execution on process and control improvements, and positive customer sales results, the HC&amp;C Committee determined that the six strategic executive goals earned a payout of 115% of target.</w:t>
      </w:r>
    </w:p>
    <w:p>
      <w:pPr>
        <w:spacing w:after="0" w:line="197" w:lineRule="exact"/>
        <w:rPr>
          <w:sz w:val="20"/>
          <w:szCs w:val="20"/>
          <w:color w:val="auto"/>
        </w:rPr>
      </w:pPr>
    </w:p>
    <w:p>
      <w:pPr>
        <w:jc w:val="both"/>
        <w:spacing w:after="0" w:line="276" w:lineRule="auto"/>
        <w:rPr>
          <w:sz w:val="20"/>
          <w:szCs w:val="20"/>
          <w:color w:val="auto"/>
        </w:rPr>
      </w:pPr>
      <w:r>
        <w:rPr>
          <w:rFonts w:ascii="Arial" w:cs="Arial" w:eastAsia="Arial" w:hAnsi="Arial"/>
          <w:sz w:val="20"/>
          <w:szCs w:val="20"/>
          <w:color w:val="auto"/>
        </w:rPr>
        <w:t>Potential bonus payouts related to the strategic executive goals range from 0% to 200%. The maximum bonus was intended to be payable only upon truly superior performance. The HC&amp;C Committee intended for this bonus plan to provide a strong incentive for management to meet and exceed budgetary income and identified strategic goals in fiscal 2024.</w:t>
      </w:r>
    </w:p>
    <w:p>
      <w:pPr>
        <w:spacing w:after="0" w:line="192" w:lineRule="exact"/>
        <w:rPr>
          <w:sz w:val="20"/>
          <w:szCs w:val="20"/>
          <w:color w:val="auto"/>
        </w:rPr>
      </w:pPr>
    </w:p>
    <w:p>
      <w:pPr>
        <w:jc w:val="both"/>
        <w:spacing w:after="0" w:line="264" w:lineRule="auto"/>
        <w:rPr>
          <w:sz w:val="20"/>
          <w:szCs w:val="20"/>
          <w:color w:val="auto"/>
        </w:rPr>
      </w:pPr>
      <w:r>
        <w:rPr>
          <w:rFonts w:ascii="Arial" w:cs="Arial" w:eastAsia="Arial" w:hAnsi="Arial"/>
          <w:sz w:val="20"/>
          <w:szCs w:val="20"/>
          <w:color w:val="auto"/>
        </w:rPr>
        <w:t>The strategic executive goals payout factor applies to all Named Executives, but is also subject to an individual modifier of up to 25% increase or decrease as determined by the HC&amp;C Committee. The individual modifier is applicable in situations of significant under- or over-performance by an individual. In fiscal 2024, the HC&amp;C Committee applied a 25% positive individual modifier to Ms. Carsley’s strategic executive goal payout factor, resulting in a 143.8% strategic executive goal attainment percentage for Ms. Carsley. This individual modifier was applied to recognize the individual performance and accomplishments of Ms. Carsley during fiscal 2024, including specifically the improvements and achievements Ms. Carsley directed within the Company’s finance department. The HC&amp;C Committee did not apply a positive or negative individual modifier to any other Named Executive.</w:t>
      </w:r>
    </w:p>
    <w:p>
      <w:pPr>
        <w:spacing w:after="0" w:line="204" w:lineRule="exact"/>
        <w:rPr>
          <w:sz w:val="20"/>
          <w:szCs w:val="20"/>
          <w:color w:val="auto"/>
        </w:rPr>
      </w:pPr>
    </w:p>
    <w:p>
      <w:pPr>
        <w:jc w:val="both"/>
        <w:ind w:right="20"/>
        <w:spacing w:after="0" w:line="286" w:lineRule="auto"/>
        <w:rPr>
          <w:sz w:val="20"/>
          <w:szCs w:val="20"/>
          <w:color w:val="auto"/>
        </w:rPr>
      </w:pPr>
      <w:r>
        <w:rPr>
          <w:rFonts w:ascii="Arial" w:cs="Arial" w:eastAsia="Arial" w:hAnsi="Arial"/>
          <w:sz w:val="20"/>
          <w:szCs w:val="20"/>
          <w:color w:val="auto"/>
        </w:rPr>
        <w:t>The full fiscal 2024 incentive bonuses paid, including amounts paid for achievement of individual performance goals, were as follows:</w:t>
      </w:r>
    </w:p>
    <w:p>
      <w:pPr>
        <w:spacing w:after="0" w:line="229" w:lineRule="exact"/>
        <w:rPr>
          <w:sz w:val="20"/>
          <w:szCs w:val="20"/>
          <w:color w:val="auto"/>
        </w:rPr>
      </w:pPr>
    </w:p>
    <w:tbl>
      <w:tblPr>
        <w:tblLayout w:type="fixed"/>
        <w:tblInd w:w="440" w:type="dxa"/>
        <w:tblCellMar>
          <w:top w:w="0" w:type="dxa"/>
          <w:left w:w="0" w:type="dxa"/>
          <w:bottom w:w="0" w:type="dxa"/>
          <w:right w:w="0" w:type="dxa"/>
        </w:tblCellMar>
      </w:tblPr>
      <w:tr>
        <w:trPr>
          <w:trHeight w:val="419"/>
        </w:trPr>
        <w:tc>
          <w:tcPr>
            <w:tcW w:w="1760" w:type="dxa"/>
            <w:vAlign w:val="bottom"/>
            <w:tcBorders>
              <w:bottom w:val="single" w:sz="8" w:color="E8F7F7"/>
            </w:tcBorders>
            <w:shd w:val="clear" w:color="auto" w:fill="E8F7F7"/>
          </w:tcPr>
          <w:p>
            <w:pPr>
              <w:spacing w:after="0"/>
              <w:rPr>
                <w:sz w:val="24"/>
                <w:szCs w:val="24"/>
                <w:color w:val="auto"/>
              </w:rPr>
            </w:pPr>
          </w:p>
        </w:tc>
        <w:tc>
          <w:tcPr>
            <w:tcW w:w="1580" w:type="dxa"/>
            <w:vAlign w:val="bottom"/>
            <w:tcBorders>
              <w:bottom w:val="single" w:sz="8" w:color="E8F7F7"/>
            </w:tcBorders>
            <w:shd w:val="clear" w:color="auto" w:fill="E8F7F7"/>
          </w:tcPr>
          <w:p>
            <w:pPr>
              <w:spacing w:after="0"/>
              <w:rPr>
                <w:sz w:val="24"/>
                <w:szCs w:val="24"/>
                <w:color w:val="auto"/>
              </w:rPr>
            </w:pPr>
          </w:p>
        </w:tc>
        <w:tc>
          <w:tcPr>
            <w:tcW w:w="4000" w:type="dxa"/>
            <w:vAlign w:val="bottom"/>
            <w:tcBorders>
              <w:bottom w:val="single" w:sz="8" w:color="auto"/>
            </w:tcBorders>
            <w:gridSpan w:val="2"/>
            <w:shd w:val="clear" w:color="auto" w:fill="E8F7F7"/>
          </w:tcPr>
          <w:p>
            <w:pPr>
              <w:ind w:left="20"/>
              <w:spacing w:after="0"/>
              <w:rPr>
                <w:sz w:val="20"/>
                <w:szCs w:val="20"/>
                <w:color w:val="auto"/>
              </w:rPr>
            </w:pPr>
            <w:r>
              <w:rPr>
                <w:rFonts w:ascii="Arial" w:cs="Arial" w:eastAsia="Arial" w:hAnsi="Arial"/>
                <w:sz w:val="16"/>
                <w:szCs w:val="16"/>
                <w:b w:val="1"/>
                <w:bCs w:val="1"/>
                <w:color w:val="auto"/>
              </w:rPr>
              <w:t>Performance on Incentive Measures</w:t>
            </w:r>
          </w:p>
        </w:tc>
        <w:tc>
          <w:tcPr>
            <w:tcW w:w="80" w:type="dxa"/>
            <w:vAlign w:val="bottom"/>
            <w:tcBorders>
              <w:bottom w:val="single" w:sz="8" w:color="E8F7F7"/>
            </w:tcBorders>
            <w:shd w:val="clear" w:color="auto" w:fill="E8F7F7"/>
          </w:tcPr>
          <w:p>
            <w:pPr>
              <w:spacing w:after="0"/>
              <w:rPr>
                <w:sz w:val="24"/>
                <w:szCs w:val="24"/>
                <w:color w:val="auto"/>
              </w:rPr>
            </w:pPr>
          </w:p>
        </w:tc>
        <w:tc>
          <w:tcPr>
            <w:tcW w:w="2940" w:type="dxa"/>
            <w:vAlign w:val="bottom"/>
            <w:tcBorders>
              <w:bottom w:val="single" w:sz="8" w:color="auto"/>
            </w:tcBorders>
            <w:gridSpan w:val="2"/>
            <w:shd w:val="clear" w:color="auto" w:fill="E8F7F7"/>
          </w:tcPr>
          <w:p>
            <w:pPr>
              <w:ind w:left="20"/>
              <w:spacing w:after="0"/>
              <w:rPr>
                <w:sz w:val="20"/>
                <w:szCs w:val="20"/>
                <w:color w:val="auto"/>
              </w:rPr>
            </w:pPr>
            <w:r>
              <w:rPr>
                <w:rFonts w:ascii="Arial" w:cs="Arial" w:eastAsia="Arial" w:hAnsi="Arial"/>
                <w:sz w:val="16"/>
                <w:szCs w:val="16"/>
                <w:b w:val="1"/>
                <w:bCs w:val="1"/>
                <w:color w:val="auto"/>
              </w:rPr>
              <w:t>Annual Incentive Payout - FY2024</w:t>
            </w:r>
          </w:p>
        </w:tc>
        <w:tc>
          <w:tcPr>
            <w:tcW w:w="0" w:type="dxa"/>
            <w:vAlign w:val="bottom"/>
          </w:tcPr>
          <w:p>
            <w:pPr>
              <w:spacing w:after="0"/>
              <w:rPr>
                <w:sz w:val="1"/>
                <w:szCs w:val="1"/>
                <w:color w:val="auto"/>
              </w:rPr>
            </w:pPr>
          </w:p>
        </w:tc>
      </w:tr>
      <w:tr>
        <w:trPr>
          <w:trHeight w:val="452"/>
        </w:trPr>
        <w:tc>
          <w:tcPr>
            <w:tcW w:w="1760" w:type="dxa"/>
            <w:vAlign w:val="bottom"/>
            <w:shd w:val="clear" w:color="auto" w:fill="E8F7F7"/>
          </w:tcPr>
          <w:p>
            <w:pPr>
              <w:spacing w:after="0"/>
              <w:rPr>
                <w:sz w:val="24"/>
                <w:szCs w:val="24"/>
                <w:color w:val="auto"/>
              </w:rPr>
            </w:pPr>
          </w:p>
        </w:tc>
        <w:tc>
          <w:tcPr>
            <w:tcW w:w="1580" w:type="dxa"/>
            <w:vAlign w:val="bottom"/>
            <w:shd w:val="clear" w:color="auto" w:fill="E8F7F7"/>
          </w:tcPr>
          <w:p>
            <w:pPr>
              <w:jc w:val="center"/>
              <w:ind w:left="179"/>
              <w:spacing w:after="0"/>
              <w:rPr>
                <w:sz w:val="20"/>
                <w:szCs w:val="20"/>
                <w:color w:val="auto"/>
              </w:rPr>
            </w:pPr>
            <w:r>
              <w:rPr>
                <w:rFonts w:ascii="Arial" w:cs="Arial" w:eastAsia="Arial" w:hAnsi="Arial"/>
                <w:sz w:val="16"/>
                <w:szCs w:val="16"/>
                <w:b w:val="1"/>
                <w:bCs w:val="1"/>
                <w:color w:val="auto"/>
              </w:rPr>
              <w:t>Target Annual</w:t>
            </w:r>
          </w:p>
        </w:tc>
        <w:tc>
          <w:tcPr>
            <w:tcW w:w="1920" w:type="dxa"/>
            <w:vAlign w:val="bottom"/>
            <w:shd w:val="clear" w:color="auto" w:fill="E8F7F7"/>
          </w:tcPr>
          <w:p>
            <w:pPr>
              <w:jc w:val="center"/>
              <w:spacing w:after="0"/>
              <w:rPr>
                <w:sz w:val="20"/>
                <w:szCs w:val="20"/>
                <w:color w:val="auto"/>
              </w:rPr>
            </w:pPr>
            <w:r>
              <w:rPr>
                <w:rFonts w:ascii="Arial" w:cs="Arial" w:eastAsia="Arial" w:hAnsi="Arial"/>
                <w:sz w:val="16"/>
                <w:szCs w:val="16"/>
                <w:b w:val="1"/>
                <w:bCs w:val="1"/>
                <w:color w:val="auto"/>
              </w:rPr>
              <w:t>Adjusted Operating</w:t>
            </w:r>
          </w:p>
        </w:tc>
        <w:tc>
          <w:tcPr>
            <w:tcW w:w="2160" w:type="dxa"/>
            <w:vAlign w:val="bottom"/>
            <w:gridSpan w:val="2"/>
            <w:shd w:val="clear" w:color="auto" w:fill="E8F7F7"/>
          </w:tcPr>
          <w:p>
            <w:pPr>
              <w:jc w:val="center"/>
              <w:spacing w:after="0"/>
              <w:rPr>
                <w:sz w:val="20"/>
                <w:szCs w:val="20"/>
                <w:color w:val="auto"/>
              </w:rPr>
            </w:pPr>
            <w:r>
              <w:rPr>
                <w:rFonts w:ascii="Arial" w:cs="Arial" w:eastAsia="Arial" w:hAnsi="Arial"/>
                <w:sz w:val="16"/>
                <w:szCs w:val="16"/>
                <w:b w:val="1"/>
                <w:bCs w:val="1"/>
                <w:color w:val="auto"/>
              </w:rPr>
              <w:t>Strategic Executive</w:t>
            </w:r>
          </w:p>
        </w:tc>
        <w:tc>
          <w:tcPr>
            <w:tcW w:w="1480" w:type="dxa"/>
            <w:vAlign w:val="bottom"/>
            <w:shd w:val="clear" w:color="auto" w:fill="E8F7F7"/>
          </w:tcPr>
          <w:p>
            <w:pPr>
              <w:spacing w:after="0"/>
              <w:rPr>
                <w:sz w:val="24"/>
                <w:szCs w:val="24"/>
                <w:color w:val="auto"/>
              </w:rPr>
            </w:pPr>
          </w:p>
        </w:tc>
        <w:tc>
          <w:tcPr>
            <w:tcW w:w="1460" w:type="dxa"/>
            <w:vAlign w:val="bottom"/>
            <w:shd w:val="clear" w:color="auto" w:fill="E8F7F7"/>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760" w:type="dxa"/>
            <w:vAlign w:val="bottom"/>
            <w:vMerge w:val="restart"/>
            <w:shd w:val="clear" w:color="auto" w:fill="E8F7F7"/>
          </w:tcPr>
          <w:p>
            <w:pPr>
              <w:ind w:left="20"/>
              <w:spacing w:after="0"/>
              <w:rPr>
                <w:sz w:val="20"/>
                <w:szCs w:val="20"/>
                <w:color w:val="auto"/>
              </w:rPr>
            </w:pPr>
            <w:r>
              <w:rPr>
                <w:rFonts w:ascii="Arial" w:cs="Arial" w:eastAsia="Arial" w:hAnsi="Arial"/>
                <w:sz w:val="16"/>
                <w:szCs w:val="16"/>
                <w:b w:val="1"/>
                <w:bCs w:val="1"/>
                <w:color w:val="auto"/>
              </w:rPr>
              <w:t>Named Executive</w:t>
            </w:r>
          </w:p>
        </w:tc>
        <w:tc>
          <w:tcPr>
            <w:tcW w:w="1580" w:type="dxa"/>
            <w:vAlign w:val="bottom"/>
            <w:shd w:val="clear" w:color="auto" w:fill="E8F7F7"/>
          </w:tcPr>
          <w:p>
            <w:pPr>
              <w:jc w:val="center"/>
              <w:ind w:left="159"/>
              <w:spacing w:after="0" w:line="162" w:lineRule="exact"/>
              <w:rPr>
                <w:sz w:val="20"/>
                <w:szCs w:val="20"/>
                <w:color w:val="auto"/>
              </w:rPr>
            </w:pPr>
            <w:r>
              <w:rPr>
                <w:rFonts w:ascii="Arial" w:cs="Arial" w:eastAsia="Arial" w:hAnsi="Arial"/>
                <w:sz w:val="16"/>
                <w:szCs w:val="16"/>
                <w:b w:val="1"/>
                <w:bCs w:val="1"/>
                <w:color w:val="auto"/>
              </w:rPr>
              <w:t>Incentive (as %</w:t>
            </w:r>
          </w:p>
        </w:tc>
        <w:tc>
          <w:tcPr>
            <w:tcW w:w="1920" w:type="dxa"/>
            <w:vAlign w:val="bottom"/>
            <w:shd w:val="clear" w:color="auto" w:fill="E8F7F7"/>
          </w:tcPr>
          <w:p>
            <w:pPr>
              <w:jc w:val="center"/>
              <w:spacing w:after="0" w:line="162" w:lineRule="exact"/>
              <w:rPr>
                <w:sz w:val="20"/>
                <w:szCs w:val="20"/>
                <w:color w:val="auto"/>
              </w:rPr>
            </w:pPr>
            <w:r>
              <w:rPr>
                <w:rFonts w:ascii="Arial" w:cs="Arial" w:eastAsia="Arial" w:hAnsi="Arial"/>
                <w:sz w:val="16"/>
                <w:szCs w:val="16"/>
                <w:b w:val="1"/>
                <w:bCs w:val="1"/>
                <w:color w:val="auto"/>
              </w:rPr>
              <w:t>Income Performance</w:t>
            </w:r>
          </w:p>
        </w:tc>
        <w:tc>
          <w:tcPr>
            <w:tcW w:w="2160" w:type="dxa"/>
            <w:vAlign w:val="bottom"/>
            <w:gridSpan w:val="2"/>
            <w:shd w:val="clear" w:color="auto" w:fill="E8F7F7"/>
          </w:tcPr>
          <w:p>
            <w:pPr>
              <w:jc w:val="center"/>
              <w:spacing w:after="0" w:line="162" w:lineRule="exact"/>
              <w:rPr>
                <w:sz w:val="20"/>
                <w:szCs w:val="20"/>
                <w:color w:val="auto"/>
              </w:rPr>
            </w:pPr>
            <w:r>
              <w:rPr>
                <w:rFonts w:ascii="Arial" w:cs="Arial" w:eastAsia="Arial" w:hAnsi="Arial"/>
                <w:sz w:val="16"/>
                <w:szCs w:val="16"/>
                <w:b w:val="1"/>
                <w:bCs w:val="1"/>
                <w:color w:val="auto"/>
              </w:rPr>
              <w:t>Goals Performance (25%</w:t>
            </w:r>
          </w:p>
        </w:tc>
        <w:tc>
          <w:tcPr>
            <w:tcW w:w="1480" w:type="dxa"/>
            <w:vAlign w:val="bottom"/>
            <w:vMerge w:val="restart"/>
            <w:shd w:val="clear" w:color="auto" w:fill="E8F7F7"/>
          </w:tcPr>
          <w:p>
            <w:pPr>
              <w:ind w:left="300"/>
              <w:spacing w:after="0"/>
              <w:rPr>
                <w:sz w:val="20"/>
                <w:szCs w:val="20"/>
                <w:color w:val="auto"/>
              </w:rPr>
            </w:pPr>
            <w:r>
              <w:rPr>
                <w:rFonts w:ascii="Arial" w:cs="Arial" w:eastAsia="Arial" w:hAnsi="Arial"/>
                <w:sz w:val="16"/>
                <w:szCs w:val="16"/>
                <w:b w:val="1"/>
                <w:bCs w:val="1"/>
                <w:color w:val="auto"/>
              </w:rPr>
              <w:t>% of Target</w:t>
            </w:r>
          </w:p>
        </w:tc>
        <w:tc>
          <w:tcPr>
            <w:tcW w:w="1460" w:type="dxa"/>
            <w:vAlign w:val="bottom"/>
            <w:vMerge w:val="restart"/>
            <w:shd w:val="clear" w:color="auto" w:fill="E8F7F7"/>
          </w:tcPr>
          <w:p>
            <w:pPr>
              <w:ind w:left="300"/>
              <w:spacing w:after="0"/>
              <w:rPr>
                <w:sz w:val="20"/>
                <w:szCs w:val="20"/>
                <w:color w:val="auto"/>
              </w:rPr>
            </w:pPr>
            <w:r>
              <w:rPr>
                <w:rFonts w:ascii="Arial" w:cs="Arial" w:eastAsia="Arial" w:hAnsi="Arial"/>
                <w:sz w:val="16"/>
                <w:szCs w:val="16"/>
                <w:b w:val="1"/>
                <w:bCs w:val="1"/>
                <w:color w:val="auto"/>
              </w:rPr>
              <w:t>Amount ($)</w:t>
            </w:r>
          </w:p>
        </w:tc>
        <w:tc>
          <w:tcPr>
            <w:tcW w:w="0" w:type="dxa"/>
            <w:vAlign w:val="bottom"/>
          </w:tcPr>
          <w:p>
            <w:pPr>
              <w:spacing w:after="0"/>
              <w:rPr>
                <w:sz w:val="1"/>
                <w:szCs w:val="1"/>
                <w:color w:val="auto"/>
              </w:rPr>
            </w:pPr>
          </w:p>
        </w:tc>
      </w:tr>
      <w:tr>
        <w:trPr>
          <w:trHeight w:val="216"/>
        </w:trPr>
        <w:tc>
          <w:tcPr>
            <w:tcW w:w="1760" w:type="dxa"/>
            <w:vAlign w:val="bottom"/>
            <w:tcBorders>
              <w:bottom w:val="single" w:sz="8" w:color="auto"/>
            </w:tcBorders>
            <w:vMerge w:val="continue"/>
            <w:shd w:val="clear" w:color="auto" w:fill="E8F7F7"/>
          </w:tcPr>
          <w:p>
            <w:pPr>
              <w:spacing w:after="0"/>
              <w:rPr>
                <w:sz w:val="18"/>
                <w:szCs w:val="18"/>
                <w:color w:val="auto"/>
              </w:rPr>
            </w:pPr>
          </w:p>
        </w:tc>
        <w:tc>
          <w:tcPr>
            <w:tcW w:w="1580" w:type="dxa"/>
            <w:vAlign w:val="bottom"/>
            <w:tcBorders>
              <w:bottom w:val="single" w:sz="8" w:color="auto"/>
            </w:tcBorders>
            <w:shd w:val="clear" w:color="auto" w:fill="E8F7F7"/>
          </w:tcPr>
          <w:p>
            <w:pPr>
              <w:jc w:val="center"/>
              <w:ind w:left="159"/>
              <w:spacing w:after="0"/>
              <w:rPr>
                <w:sz w:val="20"/>
                <w:szCs w:val="20"/>
                <w:color w:val="auto"/>
              </w:rPr>
            </w:pPr>
            <w:r>
              <w:rPr>
                <w:rFonts w:ascii="Arial" w:cs="Arial" w:eastAsia="Arial" w:hAnsi="Arial"/>
                <w:sz w:val="16"/>
                <w:szCs w:val="16"/>
                <w:b w:val="1"/>
                <w:bCs w:val="1"/>
                <w:color w:val="auto"/>
              </w:rPr>
              <w:t>of base)</w:t>
            </w:r>
          </w:p>
        </w:tc>
        <w:tc>
          <w:tcPr>
            <w:tcW w:w="1920" w:type="dxa"/>
            <w:vAlign w:val="bottom"/>
            <w:tcBorders>
              <w:bottom w:val="single" w:sz="8" w:color="auto"/>
            </w:tcBorders>
            <w:shd w:val="clear" w:color="auto" w:fill="E8F7F7"/>
          </w:tcPr>
          <w:p>
            <w:pPr>
              <w:jc w:val="center"/>
              <w:spacing w:after="0"/>
              <w:rPr>
                <w:sz w:val="20"/>
                <w:szCs w:val="20"/>
                <w:color w:val="auto"/>
              </w:rPr>
            </w:pPr>
            <w:r>
              <w:rPr>
                <w:rFonts w:ascii="Arial" w:cs="Arial" w:eastAsia="Arial" w:hAnsi="Arial"/>
                <w:sz w:val="16"/>
                <w:szCs w:val="16"/>
                <w:b w:val="1"/>
                <w:bCs w:val="1"/>
                <w:color w:val="auto"/>
                <w:w w:val="99"/>
              </w:rPr>
              <w:t>(75% of Bonus)</w:t>
            </w:r>
          </w:p>
        </w:tc>
        <w:tc>
          <w:tcPr>
            <w:tcW w:w="2160" w:type="dxa"/>
            <w:vAlign w:val="bottom"/>
            <w:tcBorders>
              <w:bottom w:val="single" w:sz="8" w:color="auto"/>
            </w:tcBorders>
            <w:gridSpan w:val="2"/>
            <w:shd w:val="clear" w:color="auto" w:fill="E8F7F7"/>
          </w:tcPr>
          <w:p>
            <w:pPr>
              <w:jc w:val="center"/>
              <w:spacing w:after="0"/>
              <w:rPr>
                <w:sz w:val="20"/>
                <w:szCs w:val="20"/>
                <w:color w:val="auto"/>
              </w:rPr>
            </w:pPr>
            <w:r>
              <w:rPr>
                <w:rFonts w:ascii="Arial" w:cs="Arial" w:eastAsia="Arial" w:hAnsi="Arial"/>
                <w:sz w:val="16"/>
                <w:szCs w:val="16"/>
                <w:b w:val="1"/>
                <w:bCs w:val="1"/>
                <w:color w:val="auto"/>
              </w:rPr>
              <w:t>of Bonus) (1)</w:t>
            </w:r>
          </w:p>
        </w:tc>
        <w:tc>
          <w:tcPr>
            <w:tcW w:w="1480" w:type="dxa"/>
            <w:vAlign w:val="bottom"/>
            <w:tcBorders>
              <w:bottom w:val="single" w:sz="8" w:color="auto"/>
            </w:tcBorders>
            <w:vMerge w:val="continue"/>
            <w:shd w:val="clear" w:color="auto" w:fill="E8F7F7"/>
          </w:tcPr>
          <w:p>
            <w:pPr>
              <w:spacing w:after="0"/>
              <w:rPr>
                <w:sz w:val="18"/>
                <w:szCs w:val="18"/>
                <w:color w:val="auto"/>
              </w:rPr>
            </w:pPr>
          </w:p>
        </w:tc>
        <w:tc>
          <w:tcPr>
            <w:tcW w:w="1460" w:type="dxa"/>
            <w:vAlign w:val="bottom"/>
            <w:tcBorders>
              <w:bottom w:val="single" w:sz="8" w:color="auto"/>
            </w:tcBorders>
            <w:vMerge w:val="continue"/>
            <w:shd w:val="clear" w:color="auto" w:fill="E8F7F7"/>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760" w:type="dxa"/>
            <w:vAlign w:val="bottom"/>
            <w:tcBorders>
              <w:bottom w:val="single" w:sz="8" w:color="DBDBDB"/>
            </w:tcBorders>
          </w:tcPr>
          <w:p>
            <w:pPr>
              <w:ind w:left="20"/>
              <w:spacing w:after="0"/>
              <w:rPr>
                <w:sz w:val="20"/>
                <w:szCs w:val="20"/>
                <w:color w:val="auto"/>
              </w:rPr>
            </w:pPr>
            <w:r>
              <w:rPr>
                <w:rFonts w:ascii="Arial" w:cs="Arial" w:eastAsia="Arial" w:hAnsi="Arial"/>
                <w:sz w:val="16"/>
                <w:szCs w:val="16"/>
                <w:color w:val="auto"/>
              </w:rPr>
              <w:t>David B. Foss</w:t>
            </w:r>
          </w:p>
        </w:tc>
        <w:tc>
          <w:tcPr>
            <w:tcW w:w="1580" w:type="dxa"/>
            <w:vAlign w:val="bottom"/>
            <w:tcBorders>
              <w:bottom w:val="single" w:sz="8" w:color="DBDBDB"/>
            </w:tcBorders>
          </w:tcPr>
          <w:p>
            <w:pPr>
              <w:jc w:val="center"/>
              <w:ind w:left="159"/>
              <w:spacing w:after="0"/>
              <w:rPr>
                <w:sz w:val="20"/>
                <w:szCs w:val="20"/>
                <w:color w:val="auto"/>
              </w:rPr>
            </w:pPr>
            <w:r>
              <w:rPr>
                <w:rFonts w:ascii="Arial" w:cs="Arial" w:eastAsia="Arial" w:hAnsi="Arial"/>
                <w:sz w:val="16"/>
                <w:szCs w:val="16"/>
                <w:color w:val="auto"/>
              </w:rPr>
              <w:t>150%</w:t>
            </w:r>
          </w:p>
        </w:tc>
        <w:tc>
          <w:tcPr>
            <w:tcW w:w="1920" w:type="dxa"/>
            <w:vAlign w:val="bottom"/>
            <w:tcBorders>
              <w:bottom w:val="single" w:sz="8" w:color="DBDBDB"/>
            </w:tcBorders>
          </w:tcPr>
          <w:p>
            <w:pPr>
              <w:jc w:val="center"/>
              <w:spacing w:after="0"/>
              <w:rPr>
                <w:sz w:val="20"/>
                <w:szCs w:val="20"/>
                <w:color w:val="auto"/>
              </w:rPr>
            </w:pPr>
            <w:r>
              <w:rPr>
                <w:rFonts w:ascii="Arial" w:cs="Arial" w:eastAsia="Arial" w:hAnsi="Arial"/>
                <w:sz w:val="16"/>
                <w:szCs w:val="16"/>
                <w:color w:val="auto"/>
              </w:rPr>
              <w:t>100.7%</w:t>
            </w:r>
          </w:p>
        </w:tc>
        <w:tc>
          <w:tcPr>
            <w:tcW w:w="2080" w:type="dxa"/>
            <w:vAlign w:val="bottom"/>
            <w:tcBorders>
              <w:bottom w:val="single" w:sz="8" w:color="DBDBDB"/>
            </w:tcBorders>
          </w:tcPr>
          <w:p>
            <w:pPr>
              <w:jc w:val="center"/>
              <w:spacing w:after="0"/>
              <w:rPr>
                <w:sz w:val="20"/>
                <w:szCs w:val="20"/>
                <w:color w:val="auto"/>
              </w:rPr>
            </w:pPr>
            <w:r>
              <w:rPr>
                <w:rFonts w:ascii="Arial" w:cs="Arial" w:eastAsia="Arial" w:hAnsi="Arial"/>
                <w:sz w:val="16"/>
                <w:szCs w:val="16"/>
                <w:color w:val="auto"/>
                <w:w w:val="97"/>
              </w:rPr>
              <w:t>115%</w:t>
            </w:r>
          </w:p>
        </w:tc>
        <w:tc>
          <w:tcPr>
            <w:tcW w:w="80" w:type="dxa"/>
            <w:vAlign w:val="bottom"/>
            <w:tcBorders>
              <w:bottom w:val="single" w:sz="8" w:color="DBDBDB"/>
            </w:tcBorders>
          </w:tcPr>
          <w:p>
            <w:pPr>
              <w:spacing w:after="0"/>
              <w:rPr>
                <w:sz w:val="18"/>
                <w:szCs w:val="18"/>
                <w:color w:val="auto"/>
              </w:rPr>
            </w:pPr>
          </w:p>
        </w:tc>
        <w:tc>
          <w:tcPr>
            <w:tcW w:w="1480" w:type="dxa"/>
            <w:vAlign w:val="bottom"/>
            <w:tcBorders>
              <w:bottom w:val="single" w:sz="8" w:color="DBDBDB"/>
            </w:tcBorders>
          </w:tcPr>
          <w:p>
            <w:pPr>
              <w:jc w:val="center"/>
              <w:spacing w:after="0"/>
              <w:rPr>
                <w:sz w:val="20"/>
                <w:szCs w:val="20"/>
                <w:color w:val="auto"/>
              </w:rPr>
            </w:pPr>
            <w:r>
              <w:rPr>
                <w:rFonts w:ascii="Arial" w:cs="Arial" w:eastAsia="Arial" w:hAnsi="Arial"/>
                <w:sz w:val="16"/>
                <w:szCs w:val="16"/>
                <w:color w:val="auto"/>
              </w:rPr>
              <w:t>104.3%</w:t>
            </w:r>
          </w:p>
        </w:tc>
        <w:tc>
          <w:tcPr>
            <w:tcW w:w="1460" w:type="dxa"/>
            <w:vAlign w:val="bottom"/>
            <w:tcBorders>
              <w:bottom w:val="single" w:sz="8" w:color="DBDBDB"/>
            </w:tcBorders>
          </w:tcPr>
          <w:p>
            <w:pPr>
              <w:jc w:val="center"/>
              <w:spacing w:after="0"/>
              <w:rPr>
                <w:sz w:val="20"/>
                <w:szCs w:val="20"/>
                <w:color w:val="auto"/>
              </w:rPr>
            </w:pPr>
            <w:r>
              <w:rPr>
                <w:rFonts w:ascii="Arial" w:cs="Arial" w:eastAsia="Arial" w:hAnsi="Arial"/>
                <w:sz w:val="16"/>
                <w:szCs w:val="16"/>
                <w:color w:val="auto"/>
              </w:rPr>
              <w:t>1,352,968</w:t>
            </w:r>
          </w:p>
        </w:tc>
        <w:tc>
          <w:tcPr>
            <w:tcW w:w="0" w:type="dxa"/>
            <w:vAlign w:val="bottom"/>
          </w:tcPr>
          <w:p>
            <w:pPr>
              <w:spacing w:after="0"/>
              <w:rPr>
                <w:sz w:val="1"/>
                <w:szCs w:val="1"/>
                <w:color w:val="auto"/>
              </w:rPr>
            </w:pPr>
          </w:p>
        </w:tc>
      </w:tr>
      <w:tr>
        <w:trPr>
          <w:trHeight w:val="210"/>
        </w:trPr>
        <w:tc>
          <w:tcPr>
            <w:tcW w:w="1760" w:type="dxa"/>
            <w:vAlign w:val="bottom"/>
            <w:tcBorders>
              <w:bottom w:val="single" w:sz="8" w:color="DBDBDB"/>
            </w:tcBorders>
            <w:shd w:val="clear" w:color="auto" w:fill="E7ECF0"/>
          </w:tcPr>
          <w:p>
            <w:pPr>
              <w:ind w:left="20"/>
              <w:spacing w:after="0"/>
              <w:rPr>
                <w:sz w:val="20"/>
                <w:szCs w:val="20"/>
                <w:color w:val="auto"/>
              </w:rPr>
            </w:pPr>
            <w:r>
              <w:rPr>
                <w:rFonts w:ascii="Arial" w:cs="Arial" w:eastAsia="Arial" w:hAnsi="Arial"/>
                <w:sz w:val="16"/>
                <w:szCs w:val="16"/>
                <w:color w:val="auto"/>
              </w:rPr>
              <w:t>Gregory R. Adelson</w:t>
            </w:r>
          </w:p>
        </w:tc>
        <w:tc>
          <w:tcPr>
            <w:tcW w:w="1580" w:type="dxa"/>
            <w:vAlign w:val="bottom"/>
            <w:tcBorders>
              <w:bottom w:val="single" w:sz="8" w:color="DBDBDB"/>
            </w:tcBorders>
            <w:shd w:val="clear" w:color="auto" w:fill="E7ECF0"/>
          </w:tcPr>
          <w:p>
            <w:pPr>
              <w:jc w:val="center"/>
              <w:ind w:left="159"/>
              <w:spacing w:after="0"/>
              <w:rPr>
                <w:sz w:val="20"/>
                <w:szCs w:val="20"/>
                <w:color w:val="auto"/>
              </w:rPr>
            </w:pPr>
            <w:r>
              <w:rPr>
                <w:rFonts w:ascii="Arial" w:cs="Arial" w:eastAsia="Arial" w:hAnsi="Arial"/>
                <w:sz w:val="16"/>
                <w:szCs w:val="16"/>
                <w:color w:val="auto"/>
              </w:rPr>
              <w:t>100%</w:t>
            </w:r>
          </w:p>
        </w:tc>
        <w:tc>
          <w:tcPr>
            <w:tcW w:w="1920" w:type="dxa"/>
            <w:vAlign w:val="bottom"/>
            <w:tcBorders>
              <w:bottom w:val="single" w:sz="8" w:color="DBDBDB"/>
            </w:tcBorders>
            <w:shd w:val="clear" w:color="auto" w:fill="E7ECF0"/>
          </w:tcPr>
          <w:p>
            <w:pPr>
              <w:jc w:val="center"/>
              <w:spacing w:after="0"/>
              <w:rPr>
                <w:sz w:val="20"/>
                <w:szCs w:val="20"/>
                <w:color w:val="auto"/>
              </w:rPr>
            </w:pPr>
            <w:r>
              <w:rPr>
                <w:rFonts w:ascii="Arial" w:cs="Arial" w:eastAsia="Arial" w:hAnsi="Arial"/>
                <w:sz w:val="16"/>
                <w:szCs w:val="16"/>
                <w:color w:val="auto"/>
              </w:rPr>
              <w:t>100.7%</w:t>
            </w:r>
          </w:p>
        </w:tc>
        <w:tc>
          <w:tcPr>
            <w:tcW w:w="2080" w:type="dxa"/>
            <w:vAlign w:val="bottom"/>
            <w:tcBorders>
              <w:bottom w:val="single" w:sz="8" w:color="DBDBDB"/>
            </w:tcBorders>
            <w:shd w:val="clear" w:color="auto" w:fill="E7ECF0"/>
          </w:tcPr>
          <w:p>
            <w:pPr>
              <w:jc w:val="center"/>
              <w:spacing w:after="0"/>
              <w:rPr>
                <w:sz w:val="20"/>
                <w:szCs w:val="20"/>
                <w:color w:val="auto"/>
              </w:rPr>
            </w:pPr>
            <w:r>
              <w:rPr>
                <w:rFonts w:ascii="Arial" w:cs="Arial" w:eastAsia="Arial" w:hAnsi="Arial"/>
                <w:sz w:val="16"/>
                <w:szCs w:val="16"/>
                <w:color w:val="auto"/>
                <w:w w:val="97"/>
              </w:rPr>
              <w:t>115%</w:t>
            </w:r>
          </w:p>
        </w:tc>
        <w:tc>
          <w:tcPr>
            <w:tcW w:w="80" w:type="dxa"/>
            <w:vAlign w:val="bottom"/>
            <w:tcBorders>
              <w:bottom w:val="single" w:sz="8" w:color="DBDBDB"/>
            </w:tcBorders>
            <w:shd w:val="clear" w:color="auto" w:fill="E7ECF0"/>
          </w:tcPr>
          <w:p>
            <w:pPr>
              <w:spacing w:after="0"/>
              <w:rPr>
                <w:sz w:val="18"/>
                <w:szCs w:val="18"/>
                <w:color w:val="auto"/>
              </w:rPr>
            </w:pPr>
          </w:p>
        </w:tc>
        <w:tc>
          <w:tcPr>
            <w:tcW w:w="1480" w:type="dxa"/>
            <w:vAlign w:val="bottom"/>
            <w:tcBorders>
              <w:bottom w:val="single" w:sz="8" w:color="DBDBDB"/>
            </w:tcBorders>
            <w:shd w:val="clear" w:color="auto" w:fill="E7ECF0"/>
          </w:tcPr>
          <w:p>
            <w:pPr>
              <w:jc w:val="center"/>
              <w:spacing w:after="0"/>
              <w:rPr>
                <w:sz w:val="20"/>
                <w:szCs w:val="20"/>
                <w:color w:val="auto"/>
              </w:rPr>
            </w:pPr>
            <w:r>
              <w:rPr>
                <w:rFonts w:ascii="Arial" w:cs="Arial" w:eastAsia="Arial" w:hAnsi="Arial"/>
                <w:sz w:val="16"/>
                <w:szCs w:val="16"/>
                <w:color w:val="auto"/>
              </w:rPr>
              <w:t>104.3%</w:t>
            </w:r>
          </w:p>
        </w:tc>
        <w:tc>
          <w:tcPr>
            <w:tcW w:w="1460" w:type="dxa"/>
            <w:vAlign w:val="bottom"/>
            <w:tcBorders>
              <w:bottom w:val="single" w:sz="8" w:color="DBDBDB"/>
            </w:tcBorders>
            <w:shd w:val="clear" w:color="auto" w:fill="E7ECF0"/>
          </w:tcPr>
          <w:p>
            <w:pPr>
              <w:jc w:val="center"/>
              <w:spacing w:after="0"/>
              <w:rPr>
                <w:sz w:val="20"/>
                <w:szCs w:val="20"/>
                <w:color w:val="auto"/>
              </w:rPr>
            </w:pPr>
            <w:r>
              <w:rPr>
                <w:rFonts w:ascii="Arial" w:cs="Arial" w:eastAsia="Arial" w:hAnsi="Arial"/>
                <w:sz w:val="16"/>
                <w:szCs w:val="16"/>
                <w:color w:val="auto"/>
              </w:rPr>
              <w:t>611,573</w:t>
            </w:r>
          </w:p>
        </w:tc>
        <w:tc>
          <w:tcPr>
            <w:tcW w:w="0" w:type="dxa"/>
            <w:vAlign w:val="bottom"/>
          </w:tcPr>
          <w:p>
            <w:pPr>
              <w:spacing w:after="0"/>
              <w:rPr>
                <w:sz w:val="1"/>
                <w:szCs w:val="1"/>
                <w:color w:val="auto"/>
              </w:rPr>
            </w:pPr>
          </w:p>
        </w:tc>
      </w:tr>
      <w:tr>
        <w:trPr>
          <w:trHeight w:val="210"/>
        </w:trPr>
        <w:tc>
          <w:tcPr>
            <w:tcW w:w="1760" w:type="dxa"/>
            <w:vAlign w:val="bottom"/>
            <w:tcBorders>
              <w:bottom w:val="single" w:sz="8" w:color="DBDBDB"/>
            </w:tcBorders>
          </w:tcPr>
          <w:p>
            <w:pPr>
              <w:ind w:left="20"/>
              <w:spacing w:after="0"/>
              <w:rPr>
                <w:sz w:val="20"/>
                <w:szCs w:val="20"/>
                <w:color w:val="auto"/>
              </w:rPr>
            </w:pPr>
            <w:r>
              <w:rPr>
                <w:rFonts w:ascii="Arial" w:cs="Arial" w:eastAsia="Arial" w:hAnsi="Arial"/>
                <w:sz w:val="16"/>
                <w:szCs w:val="16"/>
                <w:color w:val="auto"/>
              </w:rPr>
              <w:t>Mini L. Carsley</w:t>
            </w:r>
          </w:p>
        </w:tc>
        <w:tc>
          <w:tcPr>
            <w:tcW w:w="1580" w:type="dxa"/>
            <w:vAlign w:val="bottom"/>
            <w:tcBorders>
              <w:bottom w:val="single" w:sz="8" w:color="DBDBDB"/>
            </w:tcBorders>
          </w:tcPr>
          <w:p>
            <w:pPr>
              <w:jc w:val="center"/>
              <w:ind w:left="159"/>
              <w:spacing w:after="0"/>
              <w:rPr>
                <w:sz w:val="20"/>
                <w:szCs w:val="20"/>
                <w:color w:val="auto"/>
              </w:rPr>
            </w:pPr>
            <w:r>
              <w:rPr>
                <w:rFonts w:ascii="Arial" w:cs="Arial" w:eastAsia="Arial" w:hAnsi="Arial"/>
                <w:sz w:val="16"/>
                <w:szCs w:val="16"/>
                <w:color w:val="auto"/>
              </w:rPr>
              <w:t>100%</w:t>
            </w:r>
          </w:p>
        </w:tc>
        <w:tc>
          <w:tcPr>
            <w:tcW w:w="1920" w:type="dxa"/>
            <w:vAlign w:val="bottom"/>
            <w:tcBorders>
              <w:bottom w:val="single" w:sz="8" w:color="DBDBDB"/>
            </w:tcBorders>
          </w:tcPr>
          <w:p>
            <w:pPr>
              <w:jc w:val="center"/>
              <w:spacing w:after="0"/>
              <w:rPr>
                <w:sz w:val="20"/>
                <w:szCs w:val="20"/>
                <w:color w:val="auto"/>
              </w:rPr>
            </w:pPr>
            <w:r>
              <w:rPr>
                <w:rFonts w:ascii="Arial" w:cs="Arial" w:eastAsia="Arial" w:hAnsi="Arial"/>
                <w:sz w:val="16"/>
                <w:szCs w:val="16"/>
                <w:color w:val="auto"/>
              </w:rPr>
              <w:t>100.7%</w:t>
            </w:r>
          </w:p>
        </w:tc>
        <w:tc>
          <w:tcPr>
            <w:tcW w:w="2080" w:type="dxa"/>
            <w:vAlign w:val="bottom"/>
            <w:tcBorders>
              <w:bottom w:val="single" w:sz="8" w:color="DBDBDB"/>
            </w:tcBorders>
          </w:tcPr>
          <w:p>
            <w:pPr>
              <w:jc w:val="center"/>
              <w:spacing w:after="0"/>
              <w:rPr>
                <w:sz w:val="20"/>
                <w:szCs w:val="20"/>
                <w:color w:val="auto"/>
              </w:rPr>
            </w:pPr>
            <w:r>
              <w:rPr>
                <w:rFonts w:ascii="Arial" w:cs="Arial" w:eastAsia="Arial" w:hAnsi="Arial"/>
                <w:sz w:val="16"/>
                <w:szCs w:val="16"/>
                <w:color w:val="auto"/>
              </w:rPr>
              <w:t>143.8%</w:t>
            </w:r>
          </w:p>
        </w:tc>
        <w:tc>
          <w:tcPr>
            <w:tcW w:w="80" w:type="dxa"/>
            <w:vAlign w:val="bottom"/>
            <w:tcBorders>
              <w:bottom w:val="single" w:sz="8" w:color="DBDBDB"/>
            </w:tcBorders>
          </w:tcPr>
          <w:p>
            <w:pPr>
              <w:spacing w:after="0"/>
              <w:rPr>
                <w:sz w:val="18"/>
                <w:szCs w:val="18"/>
                <w:color w:val="auto"/>
              </w:rPr>
            </w:pPr>
          </w:p>
        </w:tc>
        <w:tc>
          <w:tcPr>
            <w:tcW w:w="1480" w:type="dxa"/>
            <w:vAlign w:val="bottom"/>
            <w:tcBorders>
              <w:bottom w:val="single" w:sz="8" w:color="DBDBDB"/>
            </w:tcBorders>
          </w:tcPr>
          <w:p>
            <w:pPr>
              <w:jc w:val="center"/>
              <w:spacing w:after="0"/>
              <w:rPr>
                <w:sz w:val="20"/>
                <w:szCs w:val="20"/>
                <w:color w:val="auto"/>
              </w:rPr>
            </w:pPr>
            <w:r>
              <w:rPr>
                <w:rFonts w:ascii="Arial" w:cs="Arial" w:eastAsia="Arial" w:hAnsi="Arial"/>
                <w:sz w:val="16"/>
                <w:szCs w:val="16"/>
                <w:color w:val="auto"/>
                <w:w w:val="95"/>
              </w:rPr>
              <w:t>111.5%</w:t>
            </w:r>
          </w:p>
        </w:tc>
        <w:tc>
          <w:tcPr>
            <w:tcW w:w="1460" w:type="dxa"/>
            <w:vAlign w:val="bottom"/>
            <w:tcBorders>
              <w:bottom w:val="single" w:sz="8" w:color="DBDBDB"/>
            </w:tcBorders>
          </w:tcPr>
          <w:p>
            <w:pPr>
              <w:jc w:val="center"/>
              <w:spacing w:after="0"/>
              <w:rPr>
                <w:sz w:val="20"/>
                <w:szCs w:val="20"/>
                <w:color w:val="auto"/>
              </w:rPr>
            </w:pPr>
            <w:r>
              <w:rPr>
                <w:rFonts w:ascii="Arial" w:cs="Arial" w:eastAsia="Arial" w:hAnsi="Arial"/>
                <w:sz w:val="16"/>
                <w:szCs w:val="16"/>
                <w:color w:val="auto"/>
              </w:rPr>
              <w:t>577,097</w:t>
            </w:r>
          </w:p>
        </w:tc>
        <w:tc>
          <w:tcPr>
            <w:tcW w:w="0" w:type="dxa"/>
            <w:vAlign w:val="bottom"/>
          </w:tcPr>
          <w:p>
            <w:pPr>
              <w:spacing w:after="0"/>
              <w:rPr>
                <w:sz w:val="1"/>
                <w:szCs w:val="1"/>
                <w:color w:val="auto"/>
              </w:rPr>
            </w:pPr>
          </w:p>
        </w:tc>
      </w:tr>
      <w:tr>
        <w:trPr>
          <w:trHeight w:val="209"/>
        </w:trPr>
        <w:tc>
          <w:tcPr>
            <w:tcW w:w="1760" w:type="dxa"/>
            <w:vAlign w:val="bottom"/>
            <w:tcBorders>
              <w:bottom w:val="single" w:sz="8" w:color="DBDBDB"/>
            </w:tcBorders>
            <w:shd w:val="clear" w:color="auto" w:fill="E7ECF0"/>
          </w:tcPr>
          <w:p>
            <w:pPr>
              <w:ind w:left="20"/>
              <w:spacing w:after="0"/>
              <w:rPr>
                <w:sz w:val="20"/>
                <w:szCs w:val="20"/>
                <w:color w:val="auto"/>
              </w:rPr>
            </w:pPr>
            <w:r>
              <w:rPr>
                <w:rFonts w:ascii="Arial" w:cs="Arial" w:eastAsia="Arial" w:hAnsi="Arial"/>
                <w:sz w:val="16"/>
                <w:szCs w:val="16"/>
                <w:color w:val="auto"/>
              </w:rPr>
              <w:t>Craig K. Morgan</w:t>
            </w:r>
          </w:p>
        </w:tc>
        <w:tc>
          <w:tcPr>
            <w:tcW w:w="1580" w:type="dxa"/>
            <w:vAlign w:val="bottom"/>
            <w:tcBorders>
              <w:bottom w:val="single" w:sz="8" w:color="DBDBDB"/>
            </w:tcBorders>
            <w:shd w:val="clear" w:color="auto" w:fill="E7ECF0"/>
          </w:tcPr>
          <w:p>
            <w:pPr>
              <w:jc w:val="center"/>
              <w:ind w:left="179"/>
              <w:spacing w:after="0"/>
              <w:rPr>
                <w:sz w:val="20"/>
                <w:szCs w:val="20"/>
                <w:color w:val="auto"/>
              </w:rPr>
            </w:pPr>
            <w:r>
              <w:rPr>
                <w:rFonts w:ascii="Arial" w:cs="Arial" w:eastAsia="Arial" w:hAnsi="Arial"/>
                <w:sz w:val="16"/>
                <w:szCs w:val="16"/>
                <w:color w:val="auto"/>
                <w:w w:val="99"/>
              </w:rPr>
              <w:t>90%</w:t>
            </w:r>
          </w:p>
        </w:tc>
        <w:tc>
          <w:tcPr>
            <w:tcW w:w="1920" w:type="dxa"/>
            <w:vAlign w:val="bottom"/>
            <w:tcBorders>
              <w:bottom w:val="single" w:sz="8" w:color="DBDBDB"/>
            </w:tcBorders>
            <w:shd w:val="clear" w:color="auto" w:fill="E7ECF0"/>
          </w:tcPr>
          <w:p>
            <w:pPr>
              <w:jc w:val="center"/>
              <w:spacing w:after="0"/>
              <w:rPr>
                <w:sz w:val="20"/>
                <w:szCs w:val="20"/>
                <w:color w:val="auto"/>
              </w:rPr>
            </w:pPr>
            <w:r>
              <w:rPr>
                <w:rFonts w:ascii="Arial" w:cs="Arial" w:eastAsia="Arial" w:hAnsi="Arial"/>
                <w:sz w:val="16"/>
                <w:szCs w:val="16"/>
                <w:color w:val="auto"/>
              </w:rPr>
              <w:t>100.7%</w:t>
            </w:r>
          </w:p>
        </w:tc>
        <w:tc>
          <w:tcPr>
            <w:tcW w:w="2080" w:type="dxa"/>
            <w:vAlign w:val="bottom"/>
            <w:tcBorders>
              <w:bottom w:val="single" w:sz="8" w:color="DBDBDB"/>
            </w:tcBorders>
            <w:shd w:val="clear" w:color="auto" w:fill="E7ECF0"/>
          </w:tcPr>
          <w:p>
            <w:pPr>
              <w:jc w:val="center"/>
              <w:spacing w:after="0"/>
              <w:rPr>
                <w:sz w:val="20"/>
                <w:szCs w:val="20"/>
                <w:color w:val="auto"/>
              </w:rPr>
            </w:pPr>
            <w:r>
              <w:rPr>
                <w:rFonts w:ascii="Arial" w:cs="Arial" w:eastAsia="Arial" w:hAnsi="Arial"/>
                <w:sz w:val="16"/>
                <w:szCs w:val="16"/>
                <w:color w:val="auto"/>
                <w:w w:val="97"/>
              </w:rPr>
              <w:t>115%</w:t>
            </w:r>
          </w:p>
        </w:tc>
        <w:tc>
          <w:tcPr>
            <w:tcW w:w="80" w:type="dxa"/>
            <w:vAlign w:val="bottom"/>
            <w:tcBorders>
              <w:bottom w:val="single" w:sz="8" w:color="DBDBDB"/>
            </w:tcBorders>
            <w:shd w:val="clear" w:color="auto" w:fill="E7ECF0"/>
          </w:tcPr>
          <w:p>
            <w:pPr>
              <w:spacing w:after="0"/>
              <w:rPr>
                <w:sz w:val="18"/>
                <w:szCs w:val="18"/>
                <w:color w:val="auto"/>
              </w:rPr>
            </w:pPr>
          </w:p>
        </w:tc>
        <w:tc>
          <w:tcPr>
            <w:tcW w:w="1480" w:type="dxa"/>
            <w:vAlign w:val="bottom"/>
            <w:tcBorders>
              <w:bottom w:val="single" w:sz="8" w:color="DBDBDB"/>
            </w:tcBorders>
            <w:shd w:val="clear" w:color="auto" w:fill="E7ECF0"/>
          </w:tcPr>
          <w:p>
            <w:pPr>
              <w:jc w:val="center"/>
              <w:spacing w:after="0"/>
              <w:rPr>
                <w:sz w:val="20"/>
                <w:szCs w:val="20"/>
                <w:color w:val="auto"/>
              </w:rPr>
            </w:pPr>
            <w:r>
              <w:rPr>
                <w:rFonts w:ascii="Arial" w:cs="Arial" w:eastAsia="Arial" w:hAnsi="Arial"/>
                <w:sz w:val="16"/>
                <w:szCs w:val="16"/>
                <w:color w:val="auto"/>
              </w:rPr>
              <w:t>104.3%</w:t>
            </w:r>
          </w:p>
        </w:tc>
        <w:tc>
          <w:tcPr>
            <w:tcW w:w="1460" w:type="dxa"/>
            <w:vAlign w:val="bottom"/>
            <w:tcBorders>
              <w:bottom w:val="single" w:sz="8" w:color="DBDBDB"/>
            </w:tcBorders>
            <w:shd w:val="clear" w:color="auto" w:fill="E7ECF0"/>
          </w:tcPr>
          <w:p>
            <w:pPr>
              <w:jc w:val="center"/>
              <w:spacing w:after="0"/>
              <w:rPr>
                <w:sz w:val="20"/>
                <w:szCs w:val="20"/>
                <w:color w:val="auto"/>
              </w:rPr>
            </w:pPr>
            <w:r>
              <w:rPr>
                <w:rFonts w:ascii="Arial" w:cs="Arial" w:eastAsia="Arial" w:hAnsi="Arial"/>
                <w:sz w:val="16"/>
                <w:szCs w:val="16"/>
                <w:color w:val="auto"/>
              </w:rPr>
              <w:t>411,615</w:t>
            </w:r>
          </w:p>
        </w:tc>
        <w:tc>
          <w:tcPr>
            <w:tcW w:w="0" w:type="dxa"/>
            <w:vAlign w:val="bottom"/>
          </w:tcPr>
          <w:p>
            <w:pPr>
              <w:spacing w:after="0"/>
              <w:rPr>
                <w:sz w:val="1"/>
                <w:szCs w:val="1"/>
                <w:color w:val="auto"/>
              </w:rPr>
            </w:pPr>
          </w:p>
        </w:tc>
      </w:tr>
      <w:tr>
        <w:trPr>
          <w:trHeight w:val="210"/>
        </w:trPr>
        <w:tc>
          <w:tcPr>
            <w:tcW w:w="1760" w:type="dxa"/>
            <w:vAlign w:val="bottom"/>
            <w:tcBorders>
              <w:bottom w:val="single" w:sz="8" w:color="DBDBDB"/>
            </w:tcBorders>
          </w:tcPr>
          <w:p>
            <w:pPr>
              <w:ind w:left="20"/>
              <w:spacing w:after="0"/>
              <w:rPr>
                <w:sz w:val="20"/>
                <w:szCs w:val="20"/>
                <w:color w:val="auto"/>
              </w:rPr>
            </w:pPr>
            <w:r>
              <w:rPr>
                <w:rFonts w:ascii="Arial" w:cs="Arial" w:eastAsia="Arial" w:hAnsi="Arial"/>
                <w:sz w:val="16"/>
                <w:szCs w:val="16"/>
                <w:color w:val="auto"/>
              </w:rPr>
              <w:t>Stacey E. Zengel</w:t>
            </w:r>
          </w:p>
        </w:tc>
        <w:tc>
          <w:tcPr>
            <w:tcW w:w="1580" w:type="dxa"/>
            <w:vAlign w:val="bottom"/>
            <w:tcBorders>
              <w:bottom w:val="single" w:sz="8" w:color="DBDBDB"/>
            </w:tcBorders>
          </w:tcPr>
          <w:p>
            <w:pPr>
              <w:jc w:val="center"/>
              <w:ind w:left="179"/>
              <w:spacing w:after="0"/>
              <w:rPr>
                <w:sz w:val="20"/>
                <w:szCs w:val="20"/>
                <w:color w:val="auto"/>
              </w:rPr>
            </w:pPr>
            <w:r>
              <w:rPr>
                <w:rFonts w:ascii="Arial" w:cs="Arial" w:eastAsia="Arial" w:hAnsi="Arial"/>
                <w:sz w:val="16"/>
                <w:szCs w:val="16"/>
                <w:color w:val="auto"/>
                <w:w w:val="99"/>
              </w:rPr>
              <w:t>50%</w:t>
            </w:r>
          </w:p>
        </w:tc>
        <w:tc>
          <w:tcPr>
            <w:tcW w:w="1920" w:type="dxa"/>
            <w:vAlign w:val="bottom"/>
            <w:tcBorders>
              <w:bottom w:val="single" w:sz="8" w:color="DBDBDB"/>
            </w:tcBorders>
          </w:tcPr>
          <w:p>
            <w:pPr>
              <w:jc w:val="center"/>
              <w:spacing w:after="0"/>
              <w:rPr>
                <w:sz w:val="20"/>
                <w:szCs w:val="20"/>
                <w:color w:val="auto"/>
              </w:rPr>
            </w:pPr>
            <w:r>
              <w:rPr>
                <w:rFonts w:ascii="Arial" w:cs="Arial" w:eastAsia="Arial" w:hAnsi="Arial"/>
                <w:sz w:val="16"/>
                <w:szCs w:val="16"/>
                <w:color w:val="auto"/>
              </w:rPr>
              <w:t>100.7%</w:t>
            </w:r>
          </w:p>
        </w:tc>
        <w:tc>
          <w:tcPr>
            <w:tcW w:w="2080" w:type="dxa"/>
            <w:vAlign w:val="bottom"/>
            <w:tcBorders>
              <w:bottom w:val="single" w:sz="8" w:color="DBDBDB"/>
            </w:tcBorders>
          </w:tcPr>
          <w:p>
            <w:pPr>
              <w:jc w:val="center"/>
              <w:spacing w:after="0"/>
              <w:rPr>
                <w:sz w:val="20"/>
                <w:szCs w:val="20"/>
                <w:color w:val="auto"/>
              </w:rPr>
            </w:pPr>
            <w:r>
              <w:rPr>
                <w:rFonts w:ascii="Arial" w:cs="Arial" w:eastAsia="Arial" w:hAnsi="Arial"/>
                <w:sz w:val="16"/>
                <w:szCs w:val="16"/>
                <w:color w:val="auto"/>
                <w:w w:val="97"/>
              </w:rPr>
              <w:t>115%</w:t>
            </w:r>
          </w:p>
        </w:tc>
        <w:tc>
          <w:tcPr>
            <w:tcW w:w="80" w:type="dxa"/>
            <w:vAlign w:val="bottom"/>
            <w:tcBorders>
              <w:bottom w:val="single" w:sz="8" w:color="DBDBDB"/>
            </w:tcBorders>
          </w:tcPr>
          <w:p>
            <w:pPr>
              <w:spacing w:after="0"/>
              <w:rPr>
                <w:sz w:val="18"/>
                <w:szCs w:val="18"/>
                <w:color w:val="auto"/>
              </w:rPr>
            </w:pPr>
          </w:p>
        </w:tc>
        <w:tc>
          <w:tcPr>
            <w:tcW w:w="1480" w:type="dxa"/>
            <w:vAlign w:val="bottom"/>
            <w:tcBorders>
              <w:bottom w:val="single" w:sz="8" w:color="DBDBDB"/>
            </w:tcBorders>
          </w:tcPr>
          <w:p>
            <w:pPr>
              <w:jc w:val="center"/>
              <w:spacing w:after="0"/>
              <w:rPr>
                <w:sz w:val="20"/>
                <w:szCs w:val="20"/>
                <w:color w:val="auto"/>
              </w:rPr>
            </w:pPr>
            <w:r>
              <w:rPr>
                <w:rFonts w:ascii="Arial" w:cs="Arial" w:eastAsia="Arial" w:hAnsi="Arial"/>
                <w:sz w:val="16"/>
                <w:szCs w:val="16"/>
                <w:color w:val="auto"/>
              </w:rPr>
              <w:t>104.3%</w:t>
            </w:r>
          </w:p>
        </w:tc>
        <w:tc>
          <w:tcPr>
            <w:tcW w:w="1460" w:type="dxa"/>
            <w:vAlign w:val="bottom"/>
            <w:tcBorders>
              <w:bottom w:val="single" w:sz="8" w:color="DBDBDB"/>
            </w:tcBorders>
          </w:tcPr>
          <w:p>
            <w:pPr>
              <w:jc w:val="center"/>
              <w:spacing w:after="0"/>
              <w:rPr>
                <w:sz w:val="20"/>
                <w:szCs w:val="20"/>
                <w:color w:val="auto"/>
              </w:rPr>
            </w:pPr>
            <w:r>
              <w:rPr>
                <w:rFonts w:ascii="Arial" w:cs="Arial" w:eastAsia="Arial" w:hAnsi="Arial"/>
                <w:sz w:val="16"/>
                <w:szCs w:val="16"/>
                <w:color w:val="auto"/>
              </w:rPr>
              <w:t>203,680</w:t>
            </w:r>
          </w:p>
        </w:tc>
        <w:tc>
          <w:tcPr>
            <w:tcW w:w="0" w:type="dxa"/>
            <w:vAlign w:val="bottom"/>
          </w:tcPr>
          <w:p>
            <w:pPr>
              <w:spacing w:after="0"/>
              <w:rPr>
                <w:sz w:val="1"/>
                <w:szCs w:val="1"/>
                <w:color w:val="auto"/>
              </w:rPr>
            </w:pPr>
          </w:p>
        </w:tc>
      </w:tr>
    </w:tbl>
    <w:p>
      <w:pPr>
        <w:spacing w:after="0" w:line="197" w:lineRule="exact"/>
        <w:rPr>
          <w:sz w:val="20"/>
          <w:szCs w:val="20"/>
          <w:color w:val="auto"/>
        </w:rPr>
      </w:pPr>
    </w:p>
    <w:p>
      <w:pPr>
        <w:ind w:left="1000" w:hanging="344"/>
        <w:spacing w:after="0"/>
        <w:tabs>
          <w:tab w:leader="none" w:pos="1000" w:val="left"/>
        </w:tabs>
        <w:numPr>
          <w:ilvl w:val="0"/>
          <w:numId w:val="13"/>
        </w:numPr>
        <w:rPr>
          <w:rFonts w:ascii="Arial" w:cs="Arial" w:eastAsia="Arial" w:hAnsi="Arial"/>
          <w:sz w:val="20"/>
          <w:szCs w:val="20"/>
          <w:color w:val="auto"/>
        </w:rPr>
      </w:pPr>
      <w:r>
        <w:rPr>
          <w:rFonts w:ascii="Arial" w:cs="Arial" w:eastAsia="Arial" w:hAnsi="Arial"/>
          <w:sz w:val="18"/>
          <w:szCs w:val="18"/>
          <w:color w:val="auto"/>
        </w:rPr>
        <w:t>The HC&amp;C Committee applied a 25% positive individual modifier to Ms. Carsley’s strategic executive goal payout factor.</w:t>
      </w:r>
    </w:p>
    <w:p>
      <w:pPr>
        <w:spacing w:after="0" w:line="253" w:lineRule="exact"/>
        <w:rPr>
          <w:sz w:val="20"/>
          <w:szCs w:val="20"/>
          <w:color w:val="auto"/>
        </w:rPr>
      </w:pPr>
    </w:p>
    <w:p>
      <w:pPr>
        <w:jc w:val="both"/>
        <w:spacing w:after="0" w:line="276" w:lineRule="auto"/>
        <w:rPr>
          <w:sz w:val="20"/>
          <w:szCs w:val="20"/>
          <w:color w:val="auto"/>
        </w:rPr>
      </w:pPr>
      <w:r>
        <w:rPr>
          <w:rFonts w:ascii="Arial" w:cs="Arial" w:eastAsia="Arial" w:hAnsi="Arial"/>
          <w:sz w:val="20"/>
          <w:szCs w:val="20"/>
          <w:color w:val="auto"/>
        </w:rPr>
        <w:t>The HC&amp;C Committee continues to believe that annual cash bonus opportunities are highly effective motivators for management employees and are instrumental in obtaining excellent performance in comparison with the Company’s competitors in both strong and weak economic environments.</w:t>
      </w:r>
    </w:p>
    <w:p>
      <w:pPr>
        <w:spacing w:after="0" w:line="192" w:lineRule="exact"/>
        <w:rPr>
          <w:sz w:val="20"/>
          <w:szCs w:val="20"/>
          <w:color w:val="auto"/>
        </w:rPr>
      </w:pPr>
    </w:p>
    <w:p>
      <w:pPr>
        <w:jc w:val="both"/>
        <w:spacing w:after="0" w:line="286" w:lineRule="auto"/>
        <w:rPr>
          <w:sz w:val="20"/>
          <w:szCs w:val="20"/>
          <w:color w:val="auto"/>
        </w:rPr>
      </w:pPr>
      <w:r>
        <w:rPr>
          <w:rFonts w:ascii="Arial" w:cs="Arial" w:eastAsia="Arial" w:hAnsi="Arial"/>
          <w:sz w:val="20"/>
          <w:szCs w:val="20"/>
          <w:color w:val="auto"/>
        </w:rPr>
        <w:t>The HC&amp;C Committee will in future years continue to thoroughly review the effects of the bonus plan on results achieved and will make any changes to the bonus plan deemed necessary.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7132320" cy="3511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32320" cy="351155"/>
                    </a:xfrm>
                    <a:prstGeom prst="rect">
                      <a:avLst/>
                    </a:prstGeom>
                    <a:noFill/>
                  </pic:spPr>
                </pic:pic>
              </a:graphicData>
            </a:graphic>
          </wp:anchor>
        </w:drawing>
      </w:r>
    </w:p>
    <w:p>
      <w:pPr>
        <w:spacing w:after="0" w:line="200" w:lineRule="exact"/>
        <w:rPr>
          <w:sz w:val="20"/>
          <w:szCs w:val="20"/>
          <w:color w:val="auto"/>
        </w:rPr>
      </w:pPr>
    </w:p>
    <w:p>
      <w:pPr>
        <w:spacing w:after="0" w:line="261" w:lineRule="exact"/>
        <w:rPr>
          <w:sz w:val="20"/>
          <w:szCs w:val="20"/>
          <w:color w:val="auto"/>
        </w:rPr>
      </w:pPr>
    </w:p>
    <w:p>
      <w:pPr>
        <w:ind w:left="20"/>
        <w:spacing w:after="0"/>
        <w:tabs>
          <w:tab w:leader="none" w:pos="440" w:val="left"/>
        </w:tabs>
        <w:rPr>
          <w:sz w:val="20"/>
          <w:szCs w:val="20"/>
          <w:color w:val="auto"/>
        </w:rPr>
      </w:pPr>
      <w:r>
        <w:rPr>
          <w:rFonts w:ascii="Arial" w:cs="Arial" w:eastAsia="Arial" w:hAnsi="Arial"/>
          <w:sz w:val="18"/>
          <w:szCs w:val="18"/>
          <w:color w:val="auto"/>
        </w:rPr>
        <w:t>40</w:t>
        <w:tab/>
        <w:t>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262255</wp:posOffset>
            </wp:positionV>
            <wp:extent cx="7157720" cy="425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01" w:right="339" w:bottom="1440" w:gutter="0" w:footer="0" w:header="0"/>
        </w:sectPr>
      </w:pPr>
    </w:p>
    <w:bookmarkStart w:id="43" w:name="page44"/>
    <w:bookmarkEnd w:id="43"/>
    <w:p>
      <w:pPr>
        <w:spacing w:after="0"/>
        <w:rPr>
          <w:sz w:val="20"/>
          <w:szCs w:val="20"/>
          <w:color w:val="auto"/>
        </w:rPr>
      </w:pPr>
      <w:r>
        <w:rPr>
          <w:rFonts w:ascii="Arial" w:cs="Arial" w:eastAsia="Arial" w:hAnsi="Arial"/>
          <w:sz w:val="20"/>
          <w:szCs w:val="20"/>
          <w:b w:val="1"/>
          <w:bCs w:val="1"/>
          <w:color w:val="auto"/>
        </w:rPr>
        <w:t>Long-Term Incentive Compensation</w:t>
      </w:r>
    </w:p>
    <w:p>
      <w:pPr>
        <w:spacing w:after="0" w:line="258" w:lineRule="exact"/>
        <w:rPr>
          <w:sz w:val="20"/>
          <w:szCs w:val="20"/>
          <w:color w:val="auto"/>
        </w:rPr>
      </w:pPr>
    </w:p>
    <w:p>
      <w:pPr>
        <w:jc w:val="both"/>
        <w:spacing w:after="0" w:line="262" w:lineRule="auto"/>
        <w:rPr>
          <w:sz w:val="20"/>
          <w:szCs w:val="20"/>
          <w:color w:val="auto"/>
        </w:rPr>
      </w:pPr>
      <w:r>
        <w:rPr>
          <w:rFonts w:ascii="Arial" w:cs="Arial" w:eastAsia="Arial" w:hAnsi="Arial"/>
          <w:sz w:val="20"/>
          <w:szCs w:val="20"/>
          <w:color w:val="auto"/>
        </w:rPr>
        <w:t>We believe that equity awards have been instrumental in building the Company, retaining talent, and encouraging management to take a long-term view with regard to strategic decisions they face. Equity awards also help focus executive and employee attention on managing the Company from the perspective of an owner with an equity stake in the business. The HC&amp;C Committee has the authority to grant restricted stock awards of various types and to determine the terms of the restrictions on granted shares. Starting in fiscal 2020, the long-term incentive awards have consisted of a mix of performance shares and time-based restricted stock units. In fiscal 2024, the HC&amp;C Committee allocated the long-term incentive award value at approximately 60% performance shares and 40% time-based restricted stock units. The HC&amp;C Committee determined this mix was appropriate to ensure our Named Executives are aligned with stockholders through stock ownership and also to encourage retention.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1205230</wp:posOffset>
            </wp:positionH>
            <wp:positionV relativeFrom="paragraph">
              <wp:posOffset>139065</wp:posOffset>
            </wp:positionV>
            <wp:extent cx="4732020" cy="329184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4732020" cy="32918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both"/>
        <w:spacing w:after="0" w:line="265" w:lineRule="auto"/>
        <w:rPr>
          <w:sz w:val="20"/>
          <w:szCs w:val="20"/>
          <w:color w:val="auto"/>
        </w:rPr>
      </w:pPr>
      <w:r>
        <w:rPr>
          <w:rFonts w:ascii="Arial" w:cs="Arial" w:eastAsia="Arial" w:hAnsi="Arial"/>
          <w:sz w:val="20"/>
          <w:szCs w:val="20"/>
          <w:color w:val="auto"/>
        </w:rPr>
        <w:t>The fiscal 2024 total grant amounts for long-term incentive compensation were determined with reference to comparable aggregate grants of long-term incentive compensation by other members of the Compensation Peer Group and published survey data and were roughly targeted at the 50th percentile of the Compensation Peer Group. The aggregate target value was then divided with approximately 60% applied to performance share awards and approximately 40% applied to time-based restricted stock unit awards.</w:t>
      </w:r>
    </w:p>
    <w:p>
      <w:pPr>
        <w:spacing w:after="0" w:line="215" w:lineRule="exact"/>
        <w:rPr>
          <w:sz w:val="20"/>
          <w:szCs w:val="20"/>
          <w:color w:val="auto"/>
        </w:rPr>
      </w:pPr>
    </w:p>
    <w:p>
      <w:pPr>
        <w:jc w:val="both"/>
        <w:spacing w:after="0" w:line="262" w:lineRule="auto"/>
        <w:rPr>
          <w:sz w:val="20"/>
          <w:szCs w:val="20"/>
          <w:color w:val="auto"/>
        </w:rPr>
      </w:pPr>
      <w:r>
        <w:rPr>
          <w:rFonts w:ascii="Arial" w:cs="Arial" w:eastAsia="Arial" w:hAnsi="Arial"/>
          <w:sz w:val="20"/>
          <w:szCs w:val="20"/>
          <w:color w:val="auto"/>
        </w:rPr>
        <w:t>In determining the level of award for a Named Executive, the HC&amp;C Committee also considers relevant factors such as achievement of previously identified objectives, the executive’s performance, the current equity ownership and equity awards held by the individual executive, and the internal equity of the level of award granted to the executive compared to awards granted to other executives. In reviewing the award levels for our Named Executives, the HC&amp;C Committee believes it is appropriate to consider the Company’s performance against key objectives under its corporate business plan for the preceding fiscal year, including objectives related to revenue and earnings targets, and whether the Company’s performance during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3511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32320" cy="351155"/>
                    </a:xfrm>
                    <a:prstGeom prst="rect">
                      <a:avLst/>
                    </a:prstGeom>
                    <a:noFill/>
                  </pic:spPr>
                </pic:pic>
              </a:graphicData>
            </a:graphic>
          </wp:anchor>
        </w:drawing>
      </w:r>
    </w:p>
    <w:p>
      <w:pPr>
        <w:spacing w:after="0" w:line="245" w:lineRule="exact"/>
        <w:rPr>
          <w:sz w:val="20"/>
          <w:szCs w:val="20"/>
          <w:color w:val="auto"/>
        </w:rPr>
      </w:pPr>
    </w:p>
    <w:p>
      <w:pPr>
        <w:ind w:left="9000"/>
        <w:spacing w:after="0"/>
        <w:tabs>
          <w:tab w:leader="none" w:pos="11000" w:val="left"/>
        </w:tabs>
        <w:rPr>
          <w:sz w:val="20"/>
          <w:szCs w:val="20"/>
          <w:color w:val="auto"/>
        </w:rPr>
      </w:pPr>
      <w:r>
        <w:rPr>
          <w:rFonts w:ascii="Arial" w:cs="Arial" w:eastAsia="Arial" w:hAnsi="Arial"/>
          <w:sz w:val="18"/>
          <w:szCs w:val="18"/>
          <w:color w:val="auto"/>
        </w:rPr>
        <w:t>2024 Proxy Statement</w:t>
      </w:r>
      <w:r>
        <w:rPr>
          <w:sz w:val="20"/>
          <w:szCs w:val="20"/>
          <w:color w:val="auto"/>
        </w:rPr>
        <w:tab/>
      </w:r>
      <w:r>
        <w:rPr>
          <w:rFonts w:ascii="Arial" w:cs="Arial" w:eastAsia="Arial" w:hAnsi="Arial"/>
          <w:sz w:val="17"/>
          <w:szCs w:val="17"/>
          <w:color w:val="1E3767"/>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262255</wp:posOffset>
            </wp:positionV>
            <wp:extent cx="7157720" cy="425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9" w:right="339" w:bottom="1440" w:gutter="0" w:footer="0" w:header="0"/>
        </w:sectPr>
      </w:pPr>
    </w:p>
    <w:bookmarkStart w:id="44" w:name="page45"/>
    <w:bookmarkEnd w:id="44"/>
    <w:p>
      <w:pPr>
        <w:jc w:val="both"/>
        <w:spacing w:after="0" w:line="276" w:lineRule="auto"/>
        <w:rPr>
          <w:sz w:val="20"/>
          <w:szCs w:val="20"/>
          <w:color w:val="auto"/>
        </w:rPr>
      </w:pPr>
      <w:r>
        <w:rPr>
          <w:rFonts w:ascii="Arial" w:cs="Arial" w:eastAsia="Arial" w:hAnsi="Arial"/>
          <w:sz w:val="20"/>
          <w:szCs w:val="20"/>
          <w:color w:val="auto"/>
        </w:rPr>
        <w:t>preceding fiscal year benefited stockholders as measured by the market price of the Company’s common stock. In administering the equity compensation programs, the HC&amp;C Committee considers the dilutive effect of the Company’s aggregate equity awards during any fiscal year.</w:t>
      </w:r>
    </w:p>
    <w:p>
      <w:pPr>
        <w:spacing w:after="0" w:line="192"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Performance Shares</w:t>
      </w:r>
    </w:p>
    <w:p>
      <w:pPr>
        <w:spacing w:after="0" w:line="256"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A portion of the grants to the Named Executives for fiscal 2024 were structured as performance shares that vest only on the achievement of Company performance goals and thus strongly reflect the principle of pay-for-performance. A grant of performance shares is a contractual right to receive stock and/or cash in the future if vesting conditions are met. In fiscal 2024, the HC&amp;C Committee decided to utilize three separate measures of comparative performance to determine the vesting amount of performance shares. These three specific grants of performance shares in fiscal 2024 to the Named Executives vest at the end of a three-year performance period based on the following: (1) the total shareholder return over the three-year period in comparison to the companies in the Compensation Peer Group plus the Reference Peers (“TSR Peer Group”) (comprising approximately 60% of the total performance shares grant value), (2) the Company’s compound organic annual revenue growth rate (“CAGR”) for revenue over the three-year period against a target Organic Revenue Growth CAGR, where Organic Revenue Growth removes the impact of deconversion fees, acquisitions and divestitures, and, as approved by the HC&amp;C Committee, any other one-time non-GAAP adjustments that management makes in the Company’s earnings releases for the relevant periods (comprising approximately 20% of the total performance shares grant value), and (3) the expansion of the Company’s non-GAAP adjusted operating margin over the three-year period against a target non-GAAP adjusted operating margin expansion, where non-GAAP operating margin removes the impact of deconversion fees, acquisitions and divestitures, sales of assets, and, as approved by the HC&amp;C Committee, any other one-time non-GAAP adjustments that management makes in the Company’s earnings releases for the relevant periods (comprising approximately 20% of the total performance shares grant value).</w:t>
      </w:r>
    </w:p>
    <w:p>
      <w:pPr>
        <w:spacing w:after="0" w:line="220" w:lineRule="exact"/>
        <w:rPr>
          <w:sz w:val="20"/>
          <w:szCs w:val="20"/>
          <w:color w:val="auto"/>
        </w:rPr>
      </w:pPr>
    </w:p>
    <w:p>
      <w:pPr>
        <w:jc w:val="both"/>
        <w:spacing w:after="0" w:line="265" w:lineRule="auto"/>
        <w:rPr>
          <w:sz w:val="20"/>
          <w:szCs w:val="20"/>
          <w:color w:val="auto"/>
        </w:rPr>
      </w:pPr>
      <w:r>
        <w:rPr>
          <w:rFonts w:ascii="Arial" w:cs="Arial" w:eastAsia="Arial" w:hAnsi="Arial"/>
          <w:sz w:val="20"/>
          <w:szCs w:val="20"/>
          <w:color w:val="auto"/>
        </w:rPr>
        <w:t>For the purpose of the TSR grants, TSR was defined as ending stock price minus beginning stock price (adjusted for splits and similar changes) plus dividends per share paid over the performance period, all divided by the beginning stock price. A target amount of stock was set for each Named Executive that may be earned if TSR at the end of the three-year period is at the 50th percentile in comparison to the TSR Peer Group. Vesting ranges from 25% of target performance shares at the 25th percentile to the maximum amount of the grant (200% of target) at or above the 80th percentile relative to the TSR Peer Group. No shares will vest if performance is below the 25th percentile threshold.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3511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32320" cy="351155"/>
                    </a:xfrm>
                    <a:prstGeom prst="rect">
                      <a:avLst/>
                    </a:prstGeom>
                    <a:noFill/>
                  </pic:spPr>
                </pic:pic>
              </a:graphicData>
            </a:graphic>
          </wp:anchor>
        </w:drawing>
      </w:r>
    </w:p>
    <w:p>
      <w:pPr>
        <w:spacing w:after="0" w:line="228" w:lineRule="exact"/>
        <w:rPr>
          <w:sz w:val="20"/>
          <w:szCs w:val="20"/>
          <w:color w:val="auto"/>
        </w:rPr>
      </w:pPr>
    </w:p>
    <w:p>
      <w:pPr>
        <w:ind w:left="20"/>
        <w:spacing w:after="0"/>
        <w:tabs>
          <w:tab w:leader="none" w:pos="440" w:val="left"/>
        </w:tabs>
        <w:rPr>
          <w:sz w:val="20"/>
          <w:szCs w:val="20"/>
          <w:color w:val="auto"/>
        </w:rPr>
      </w:pPr>
      <w:r>
        <w:rPr>
          <w:rFonts w:ascii="Arial" w:cs="Arial" w:eastAsia="Arial" w:hAnsi="Arial"/>
          <w:sz w:val="18"/>
          <w:szCs w:val="18"/>
          <w:color w:val="auto"/>
        </w:rPr>
        <w:t>42</w:t>
        <w:tab/>
        <w:t>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262255</wp:posOffset>
            </wp:positionV>
            <wp:extent cx="7157720" cy="425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01" w:right="339" w:bottom="1440" w:gutter="0" w:footer="0" w:header="0"/>
        </w:sectPr>
      </w:pPr>
    </w:p>
    <w:bookmarkStart w:id="45" w:name="page46"/>
    <w:bookmarkEnd w:id="4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2376805</wp:posOffset>
            </wp:positionH>
            <wp:positionV relativeFrom="page">
              <wp:posOffset>577850</wp:posOffset>
            </wp:positionV>
            <wp:extent cx="4140200" cy="345440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clrChange>
                        <a:clrFrom>
                          <a:srgbClr val="FFFFFF"/>
                        </a:clrFrom>
                        <a:clrTo>
                          <a:srgbClr val="FFFFFF">
                            <a:alpha val="0"/>
                          </a:srgbClr>
                        </a:clrTo>
                      </a:clrChange>
                      <a:extLst>
                        <a:ext uri="{28A0092B-C50C-407E-A947-70E740481C1C}"/>
                      </a:extLst>
                    </a:blip>
                    <a:srcRect/>
                    <a:stretch>
                      <a:fillRect/>
                    </a:stretch>
                  </pic:blipFill>
                  <pic:spPr bwMode="auto">
                    <a:xfrm>
                      <a:off x="0" y="0"/>
                      <a:ext cx="4140200" cy="34544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spacing w:after="0"/>
        <w:rPr>
          <w:sz w:val="20"/>
          <w:szCs w:val="20"/>
          <w:color w:val="auto"/>
        </w:rPr>
      </w:pPr>
      <w:r>
        <w:rPr>
          <w:rFonts w:ascii="Arial" w:cs="Arial" w:eastAsia="Arial" w:hAnsi="Arial"/>
          <w:sz w:val="20"/>
          <w:szCs w:val="20"/>
          <w:color w:val="auto"/>
        </w:rPr>
        <w:t>For purposes of the three-year Organic Revenue Growth CAGR grants, the following principles apply:</w:t>
      </w:r>
    </w:p>
    <w:p>
      <w:pPr>
        <w:spacing w:after="0" w:line="31" w:lineRule="exact"/>
        <w:rPr>
          <w:sz w:val="20"/>
          <w:szCs w:val="20"/>
          <w:color w:val="auto"/>
        </w:rPr>
      </w:pPr>
    </w:p>
    <w:p>
      <w:pPr>
        <w:jc w:val="both"/>
        <w:ind w:left="660" w:hanging="328"/>
        <w:spacing w:after="0" w:line="258" w:lineRule="auto"/>
        <w:tabs>
          <w:tab w:leader="none" w:pos="648" w:val="left"/>
        </w:tabs>
        <w:numPr>
          <w:ilvl w:val="0"/>
          <w:numId w:val="14"/>
        </w:numPr>
        <w:rPr>
          <w:rFonts w:ascii="Arial" w:cs="Arial" w:eastAsia="Arial" w:hAnsi="Arial"/>
          <w:sz w:val="20"/>
          <w:szCs w:val="20"/>
          <w:color w:val="auto"/>
        </w:rPr>
      </w:pPr>
      <w:r>
        <w:rPr>
          <w:rFonts w:ascii="Arial" w:cs="Arial" w:eastAsia="Arial" w:hAnsi="Arial"/>
          <w:sz w:val="20"/>
          <w:szCs w:val="20"/>
          <w:color w:val="auto"/>
        </w:rPr>
        <w:t>non-GAAP adjusted revenue is calculated by adjusting GAAP revenue for deconversion fee revenue, acquisitions and divestitures, and, as approved by the HC&amp;C Committee, any other one-time non-GAAP adjustments that management makes in the Company’s earning releases, for the relevant periods;</w:t>
      </w:r>
    </w:p>
    <w:p>
      <w:pPr>
        <w:jc w:val="both"/>
        <w:ind w:left="660" w:hanging="328"/>
        <w:spacing w:after="0" w:line="257" w:lineRule="auto"/>
        <w:tabs>
          <w:tab w:leader="none" w:pos="648" w:val="left"/>
        </w:tabs>
        <w:numPr>
          <w:ilvl w:val="0"/>
          <w:numId w:val="14"/>
        </w:numPr>
        <w:rPr>
          <w:rFonts w:ascii="Arial" w:cs="Arial" w:eastAsia="Arial" w:hAnsi="Arial"/>
          <w:sz w:val="20"/>
          <w:szCs w:val="20"/>
          <w:color w:val="auto"/>
        </w:rPr>
      </w:pPr>
      <w:r>
        <w:rPr>
          <w:rFonts w:ascii="Arial" w:cs="Arial" w:eastAsia="Arial" w:hAnsi="Arial"/>
          <w:sz w:val="20"/>
          <w:szCs w:val="20"/>
          <w:color w:val="auto"/>
        </w:rPr>
        <w:t>three-year Organic Revenue Growth is calculated by (a) the quotient equal to the Company’s non-GAAP adjusted revenue for the final fiscal year of the performance period and dividing it by the Company’s non-GAAP adjusted revenue for the fiscal year ending immediately prior to the beginning of the performance period, (b) raised to an exponent of one-third, and (c) subtracting one; and</w:t>
      </w:r>
    </w:p>
    <w:p>
      <w:pPr>
        <w:jc w:val="both"/>
        <w:ind w:left="660" w:hanging="328"/>
        <w:spacing w:after="0" w:line="267" w:lineRule="auto"/>
        <w:tabs>
          <w:tab w:leader="none" w:pos="648" w:val="left"/>
        </w:tabs>
        <w:numPr>
          <w:ilvl w:val="0"/>
          <w:numId w:val="14"/>
        </w:numPr>
        <w:rPr>
          <w:rFonts w:ascii="Arial" w:cs="Arial" w:eastAsia="Arial" w:hAnsi="Arial"/>
          <w:sz w:val="20"/>
          <w:szCs w:val="20"/>
          <w:color w:val="auto"/>
        </w:rPr>
      </w:pPr>
      <w:r>
        <w:rPr>
          <w:rFonts w:ascii="Arial" w:cs="Arial" w:eastAsia="Arial" w:hAnsi="Arial"/>
          <w:sz w:val="20"/>
          <w:szCs w:val="20"/>
          <w:color w:val="auto"/>
        </w:rPr>
        <w:t>an acquisition or divestiture by the Company during the performance period will result in an adjustment to the goal, base year results, and/or final year results, as appropriate, by the HC&amp;C Committee to ensure the grant results are not materially benefited nor penalized by the acquisition or divestiture.</w:t>
      </w:r>
    </w:p>
    <w:p>
      <w:pPr>
        <w:spacing w:after="0" w:line="200" w:lineRule="exact"/>
        <w:rPr>
          <w:sz w:val="20"/>
          <w:szCs w:val="20"/>
          <w:color w:val="auto"/>
        </w:rPr>
      </w:pPr>
    </w:p>
    <w:p>
      <w:pPr>
        <w:jc w:val="both"/>
        <w:spacing w:after="0" w:line="265" w:lineRule="auto"/>
        <w:rPr>
          <w:sz w:val="20"/>
          <w:szCs w:val="20"/>
          <w:color w:val="auto"/>
        </w:rPr>
      </w:pPr>
      <w:r>
        <w:rPr>
          <w:rFonts w:ascii="Arial" w:cs="Arial" w:eastAsia="Arial" w:hAnsi="Arial"/>
          <w:sz w:val="20"/>
          <w:szCs w:val="20"/>
          <w:color w:val="auto"/>
        </w:rPr>
        <w:t>The HC&amp;C Committee set a threshold, target, and maximum three-year Organic Revenue Growth CAGR percentage goal based on the annual budget of the Company and available forecasts and with the purpose of setting meaningful and challenging targets, with vesting for performance shares ranging from 50% of target at threshold performance, 100% of target at target performance, and 200% of target at maximum performance and above. For the fiscal 2024 three-year Organic Revenue Growth CAGR grants, threshold was set at 6.5%, target was set at 7.0%, and maximum was set at 8.5%. No performance shares vest for achievement below threshold.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32385</wp:posOffset>
            </wp:positionV>
            <wp:extent cx="7132320" cy="3511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32320" cy="351155"/>
                    </a:xfrm>
                    <a:prstGeom prst="rect">
                      <a:avLst/>
                    </a:prstGeom>
                    <a:noFill/>
                  </pic:spPr>
                </pic:pic>
              </a:graphicData>
            </a:graphic>
          </wp:anchor>
        </w:drawing>
      </w:r>
    </w:p>
    <w:p>
      <w:pPr>
        <w:spacing w:after="0" w:line="241" w:lineRule="exact"/>
        <w:rPr>
          <w:sz w:val="20"/>
          <w:szCs w:val="20"/>
          <w:color w:val="auto"/>
        </w:rPr>
      </w:pPr>
    </w:p>
    <w:p>
      <w:pPr>
        <w:ind w:left="9000"/>
        <w:spacing w:after="0"/>
        <w:tabs>
          <w:tab w:leader="none" w:pos="11000" w:val="left"/>
        </w:tabs>
        <w:rPr>
          <w:sz w:val="20"/>
          <w:szCs w:val="20"/>
          <w:color w:val="auto"/>
        </w:rPr>
      </w:pPr>
      <w:r>
        <w:rPr>
          <w:rFonts w:ascii="Arial" w:cs="Arial" w:eastAsia="Arial" w:hAnsi="Arial"/>
          <w:sz w:val="18"/>
          <w:szCs w:val="18"/>
          <w:color w:val="auto"/>
        </w:rPr>
        <w:t>2024 Proxy Statement</w:t>
      </w:r>
      <w:r>
        <w:rPr>
          <w:sz w:val="20"/>
          <w:szCs w:val="20"/>
          <w:color w:val="auto"/>
        </w:rPr>
        <w:tab/>
      </w:r>
      <w:r>
        <w:rPr>
          <w:rFonts w:ascii="Arial" w:cs="Arial" w:eastAsia="Arial" w:hAnsi="Arial"/>
          <w:sz w:val="17"/>
          <w:szCs w:val="17"/>
          <w:color w:val="1E3767"/>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253365</wp:posOffset>
            </wp:positionV>
            <wp:extent cx="7157720" cy="425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6" w:name="page47"/>
    <w:bookmarkEnd w:id="4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2445385</wp:posOffset>
            </wp:positionH>
            <wp:positionV relativeFrom="page">
              <wp:posOffset>577850</wp:posOffset>
            </wp:positionV>
            <wp:extent cx="4046220" cy="345440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clrChange>
                        <a:clrFrom>
                          <a:srgbClr val="FFFFFF"/>
                        </a:clrFrom>
                        <a:clrTo>
                          <a:srgbClr val="FFFFFF">
                            <a:alpha val="0"/>
                          </a:srgbClr>
                        </a:clrTo>
                      </a:clrChange>
                      <a:extLst>
                        <a:ext uri="{28A0092B-C50C-407E-A947-70E740481C1C}"/>
                      </a:extLst>
                    </a:blip>
                    <a:srcRect/>
                    <a:stretch>
                      <a:fillRect/>
                    </a:stretch>
                  </pic:blipFill>
                  <pic:spPr bwMode="auto">
                    <a:xfrm>
                      <a:off x="0" y="0"/>
                      <a:ext cx="4046220" cy="34544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spacing w:after="0"/>
        <w:rPr>
          <w:sz w:val="20"/>
          <w:szCs w:val="20"/>
          <w:color w:val="auto"/>
        </w:rPr>
      </w:pPr>
      <w:r>
        <w:rPr>
          <w:rFonts w:ascii="Arial" w:cs="Arial" w:eastAsia="Arial" w:hAnsi="Arial"/>
          <w:sz w:val="20"/>
          <w:szCs w:val="20"/>
          <w:color w:val="auto"/>
        </w:rPr>
        <w:t>For purposes of the three-year non-GAAP adjusted operating margin expansion grants, the following principles apply:</w:t>
      </w:r>
    </w:p>
    <w:p>
      <w:pPr>
        <w:spacing w:after="0" w:line="31" w:lineRule="exact"/>
        <w:rPr>
          <w:sz w:val="20"/>
          <w:szCs w:val="20"/>
          <w:color w:val="auto"/>
        </w:rPr>
      </w:pPr>
    </w:p>
    <w:p>
      <w:pPr>
        <w:jc w:val="both"/>
        <w:ind w:left="660" w:hanging="328"/>
        <w:spacing w:after="0" w:line="258" w:lineRule="auto"/>
        <w:tabs>
          <w:tab w:leader="none" w:pos="648" w:val="left"/>
        </w:tabs>
        <w:numPr>
          <w:ilvl w:val="0"/>
          <w:numId w:val="15"/>
        </w:numPr>
        <w:rPr>
          <w:rFonts w:ascii="Arial" w:cs="Arial" w:eastAsia="Arial" w:hAnsi="Arial"/>
          <w:sz w:val="20"/>
          <w:szCs w:val="20"/>
          <w:color w:val="auto"/>
        </w:rPr>
      </w:pPr>
      <w:r>
        <w:rPr>
          <w:rFonts w:ascii="Arial" w:cs="Arial" w:eastAsia="Arial" w:hAnsi="Arial"/>
          <w:sz w:val="20"/>
          <w:szCs w:val="20"/>
          <w:color w:val="auto"/>
        </w:rPr>
        <w:t>non-GAAP adjusted revenue is calculated by adjusting GAAP revenue for deconversion fee revenue, acquisitions and divestitures, and, as approved by the HC&amp;C Committee, any other one-time non-GAAP adjustments that management makes in the Company's earnings releases, for the relevant periods;</w:t>
      </w:r>
    </w:p>
    <w:p>
      <w:pPr>
        <w:jc w:val="both"/>
        <w:ind w:left="660" w:hanging="328"/>
        <w:spacing w:after="0" w:line="257" w:lineRule="auto"/>
        <w:tabs>
          <w:tab w:leader="none" w:pos="648" w:val="left"/>
        </w:tabs>
        <w:numPr>
          <w:ilvl w:val="0"/>
          <w:numId w:val="15"/>
        </w:numPr>
        <w:rPr>
          <w:rFonts w:ascii="Arial" w:cs="Arial" w:eastAsia="Arial" w:hAnsi="Arial"/>
          <w:sz w:val="20"/>
          <w:szCs w:val="20"/>
          <w:color w:val="auto"/>
        </w:rPr>
      </w:pPr>
      <w:r>
        <w:rPr>
          <w:rFonts w:ascii="Arial" w:cs="Arial" w:eastAsia="Arial" w:hAnsi="Arial"/>
          <w:sz w:val="20"/>
          <w:szCs w:val="20"/>
          <w:color w:val="auto"/>
        </w:rPr>
        <w:t>non-GAAP adjusted operating income is calculated by adjusting GAAP operating income for operating income from deconversion fees and operating income/loss from acquisitions, divestitures, sales of assets, and, as approved by the HC&amp;C Committee, any other one-time non-GAAP adjustments that management makes in the Company's earnings releases, for the relevant periods;</w:t>
      </w:r>
    </w:p>
    <w:p>
      <w:pPr>
        <w:jc w:val="both"/>
        <w:ind w:left="660" w:hanging="328"/>
        <w:spacing w:after="0" w:line="259" w:lineRule="auto"/>
        <w:tabs>
          <w:tab w:leader="none" w:pos="648" w:val="left"/>
        </w:tabs>
        <w:numPr>
          <w:ilvl w:val="0"/>
          <w:numId w:val="15"/>
        </w:numPr>
        <w:rPr>
          <w:rFonts w:ascii="Arial" w:cs="Arial" w:eastAsia="Arial" w:hAnsi="Arial"/>
          <w:sz w:val="20"/>
          <w:szCs w:val="20"/>
          <w:color w:val="auto"/>
        </w:rPr>
      </w:pPr>
      <w:r>
        <w:rPr>
          <w:rFonts w:ascii="Arial" w:cs="Arial" w:eastAsia="Arial" w:hAnsi="Arial"/>
          <w:sz w:val="20"/>
          <w:szCs w:val="20"/>
          <w:color w:val="auto"/>
        </w:rPr>
        <w:t xml:space="preserve">three-year non-GAAP adjusted operating margin expansion is calculated by (a) an amount equal to non-GAAP adjusted operating income for the final fiscal year of the performance period divided by non-GAAP adjusted revenue for the final fiscal year of the performance period, </w:t>
      </w:r>
      <w:r>
        <w:rPr>
          <w:rFonts w:ascii="Arial" w:cs="Arial" w:eastAsia="Arial" w:hAnsi="Arial"/>
          <w:sz w:val="20"/>
          <w:szCs w:val="20"/>
          <w:i w:val="1"/>
          <w:iCs w:val="1"/>
          <w:color w:val="auto"/>
        </w:rPr>
        <w:t>less</w:t>
      </w:r>
      <w:r>
        <w:rPr>
          <w:rFonts w:ascii="Arial" w:cs="Arial" w:eastAsia="Arial" w:hAnsi="Arial"/>
          <w:sz w:val="20"/>
          <w:szCs w:val="20"/>
          <w:color w:val="auto"/>
        </w:rPr>
        <w:t xml:space="preserve"> (b) an amount equal to non-GAAP adjusted operating income for the fiscal year ending immediately prior to the beginning of the performance period divided by non-GAAP adjusted revenue for the fiscal year ending immediately prior to the beginning of the performance period; and</w:t>
      </w:r>
    </w:p>
    <w:p>
      <w:pPr>
        <w:spacing w:after="0" w:line="1" w:lineRule="exact"/>
        <w:rPr>
          <w:rFonts w:ascii="Arial" w:cs="Arial" w:eastAsia="Arial" w:hAnsi="Arial"/>
          <w:sz w:val="20"/>
          <w:szCs w:val="20"/>
          <w:color w:val="auto"/>
        </w:rPr>
      </w:pPr>
    </w:p>
    <w:p>
      <w:pPr>
        <w:jc w:val="both"/>
        <w:ind w:left="660" w:hanging="328"/>
        <w:spacing w:after="0" w:line="267" w:lineRule="auto"/>
        <w:tabs>
          <w:tab w:leader="none" w:pos="648" w:val="left"/>
        </w:tabs>
        <w:numPr>
          <w:ilvl w:val="0"/>
          <w:numId w:val="15"/>
        </w:numPr>
        <w:rPr>
          <w:rFonts w:ascii="Arial" w:cs="Arial" w:eastAsia="Arial" w:hAnsi="Arial"/>
          <w:sz w:val="20"/>
          <w:szCs w:val="20"/>
          <w:color w:val="auto"/>
        </w:rPr>
      </w:pPr>
      <w:r>
        <w:rPr>
          <w:rFonts w:ascii="Arial" w:cs="Arial" w:eastAsia="Arial" w:hAnsi="Arial"/>
          <w:sz w:val="20"/>
          <w:szCs w:val="20"/>
          <w:color w:val="auto"/>
        </w:rPr>
        <w:t>an acquisition or divestiture by the Company during the performance period will result in an adjustment to the goal, base year results, and/or final year results, as appropriate, by the HC&amp;C Committee to ensure the grant results are not materially benefited nor penalized by the acquisition or divestiture.</w:t>
      </w:r>
    </w:p>
    <w:p>
      <w:pPr>
        <w:spacing w:after="0" w:line="200" w:lineRule="exact"/>
        <w:rPr>
          <w:sz w:val="20"/>
          <w:szCs w:val="20"/>
          <w:color w:val="auto"/>
        </w:rPr>
      </w:pPr>
    </w:p>
    <w:p>
      <w:pPr>
        <w:jc w:val="both"/>
        <w:spacing w:after="0" w:line="269" w:lineRule="auto"/>
        <w:rPr>
          <w:sz w:val="20"/>
          <w:szCs w:val="20"/>
          <w:color w:val="auto"/>
        </w:rPr>
      </w:pPr>
      <w:r>
        <w:rPr>
          <w:rFonts w:ascii="Arial" w:cs="Arial" w:eastAsia="Arial" w:hAnsi="Arial"/>
          <w:sz w:val="20"/>
          <w:szCs w:val="20"/>
          <w:color w:val="auto"/>
        </w:rPr>
        <w:t>The HC&amp;C Committee set a threshold, target, and maximum three-year non-GAAP adjusted operating margin expansion percentage goal based on the annual budget of the Company and available forecasts and with the purpose of setting meaningful and challenging targets, with vesting for performance shares ranging from 50% of target at threshold performance, 100% of target at target performance, and 200% of target at maximum performance and above. For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27940</wp:posOffset>
            </wp:positionV>
            <wp:extent cx="7132320" cy="3511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32320" cy="351155"/>
                    </a:xfrm>
                    <a:prstGeom prst="rect">
                      <a:avLst/>
                    </a:prstGeom>
                    <a:noFill/>
                  </pic:spPr>
                </pic:pic>
              </a:graphicData>
            </a:graphic>
          </wp:anchor>
        </w:drawing>
      </w:r>
    </w:p>
    <w:p>
      <w:pPr>
        <w:spacing w:after="0" w:line="234" w:lineRule="exact"/>
        <w:rPr>
          <w:sz w:val="20"/>
          <w:szCs w:val="20"/>
          <w:color w:val="auto"/>
        </w:rPr>
      </w:pPr>
    </w:p>
    <w:p>
      <w:pPr>
        <w:ind w:left="20"/>
        <w:spacing w:after="0"/>
        <w:tabs>
          <w:tab w:leader="none" w:pos="440" w:val="left"/>
        </w:tabs>
        <w:rPr>
          <w:sz w:val="20"/>
          <w:szCs w:val="20"/>
          <w:color w:val="auto"/>
        </w:rPr>
      </w:pPr>
      <w:r>
        <w:rPr>
          <w:rFonts w:ascii="Arial" w:cs="Arial" w:eastAsia="Arial" w:hAnsi="Arial"/>
          <w:sz w:val="18"/>
          <w:szCs w:val="18"/>
          <w:color w:val="auto"/>
        </w:rPr>
        <w:t>44</w:t>
        <w:tab/>
        <w:t>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253365</wp:posOffset>
            </wp:positionV>
            <wp:extent cx="7157720" cy="425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7" w:name="page48"/>
    <w:bookmarkEnd w:id="47"/>
    <w:p>
      <w:pPr>
        <w:jc w:val="both"/>
        <w:spacing w:after="0" w:line="286" w:lineRule="auto"/>
        <w:rPr>
          <w:sz w:val="20"/>
          <w:szCs w:val="20"/>
          <w:color w:val="auto"/>
        </w:rPr>
      </w:pPr>
      <w:r>
        <w:rPr>
          <w:rFonts w:ascii="Arial" w:cs="Arial" w:eastAsia="Arial" w:hAnsi="Arial"/>
          <w:sz w:val="20"/>
          <w:szCs w:val="20"/>
          <w:color w:val="auto"/>
        </w:rPr>
        <w:t>fiscal 2024 three-year non-GAAP adjusted operating margin expansion grants, threshold was set at 0.3%, target was set at 0.7%, and maximum was set at 1.0%. No performance shares vest for achievement below threshold.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2148205</wp:posOffset>
            </wp:positionH>
            <wp:positionV relativeFrom="paragraph">
              <wp:posOffset>-25400</wp:posOffset>
            </wp:positionV>
            <wp:extent cx="4234815" cy="345440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4234815" cy="34544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both"/>
        <w:spacing w:after="0" w:line="269" w:lineRule="auto"/>
        <w:rPr>
          <w:sz w:val="20"/>
          <w:szCs w:val="20"/>
          <w:color w:val="auto"/>
        </w:rPr>
      </w:pPr>
      <w:r>
        <w:rPr>
          <w:rFonts w:ascii="Arial" w:cs="Arial" w:eastAsia="Arial" w:hAnsi="Arial"/>
          <w:sz w:val="20"/>
          <w:szCs w:val="20"/>
          <w:color w:val="auto"/>
        </w:rPr>
        <w:t>The fiscal 2024 awards were structured to provide incentives for long-term performance and retention. Retention is encouraged by grant terms which immediately forfeit all awards that have not vested in the event that the grantee’s employment with the Company is terminated for any reason other than in the event of death, incapacity, retirement, or in connection with any change in control.</w:t>
      </w:r>
    </w:p>
    <w:p>
      <w:pPr>
        <w:spacing w:after="0" w:line="211"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The use of performance shares allows for flexibility in addressing the orderly retirement of grantees. The fiscal 2024 performance share awards contain terms which allow for the pro-rata vesting of awards upon retirement based on full months of service following the date of grant. For this purpose, retirement is defined as termination with the stated purpose of retirement, for which the grantee has provided the Company at least six months’ prior notice and occurs (1) on or after the age of 55 and following a minimum number of years of employment with the Company such that the grantee’s age plus the number of full years of employment with the Company equals or exceeds 72, or (2) on or after age 65. With respect to a retirement during the term, at the end of the three-year term of the grant, the award will be calculated, and a pro-rata portion will be settled to the grantee based on completed full months of service. For example, if an eligible grantee retires 18 months after the grant date, he or she would be credited with 18 months of service and would be entitled to one-half of any amount that vests on performance measured at the end of the three-year grant. Death or incapacity of a grantee is addressed in the same manner, with pro-rata vesting based on completed months of service. Upon a change in control of the Company and a qualified termination of the grantee, the target number of performance shares (or, with respect to TSR grants, if higher, the number of shares that would have vested based on actual TSR achievement if the change in control date were the measuring date for TSR measurement) vest and will be settled, regardless of the performance measures achieved.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190500</wp:posOffset>
            </wp:positionV>
            <wp:extent cx="7132320" cy="3511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32320" cy="351155"/>
                    </a:xfrm>
                    <a:prstGeom prst="rect">
                      <a:avLst/>
                    </a:prstGeom>
                    <a:noFill/>
                  </pic:spPr>
                </pic:pic>
              </a:graphicData>
            </a:graphic>
          </wp:anchor>
        </w:drawing>
      </w:r>
    </w:p>
    <w:p>
      <w:pPr>
        <w:spacing w:after="0" w:line="200" w:lineRule="exact"/>
        <w:rPr>
          <w:sz w:val="20"/>
          <w:szCs w:val="20"/>
          <w:color w:val="auto"/>
        </w:rPr>
      </w:pPr>
    </w:p>
    <w:p>
      <w:pPr>
        <w:spacing w:after="0" w:line="291" w:lineRule="exact"/>
        <w:rPr>
          <w:sz w:val="20"/>
          <w:szCs w:val="20"/>
          <w:color w:val="auto"/>
        </w:rPr>
      </w:pPr>
    </w:p>
    <w:p>
      <w:pPr>
        <w:ind w:left="9000"/>
        <w:spacing w:after="0"/>
        <w:tabs>
          <w:tab w:leader="none" w:pos="11000" w:val="left"/>
        </w:tabs>
        <w:rPr>
          <w:sz w:val="20"/>
          <w:szCs w:val="20"/>
          <w:color w:val="auto"/>
        </w:rPr>
      </w:pPr>
      <w:r>
        <w:rPr>
          <w:rFonts w:ascii="Arial" w:cs="Arial" w:eastAsia="Arial" w:hAnsi="Arial"/>
          <w:sz w:val="18"/>
          <w:szCs w:val="18"/>
          <w:color w:val="auto"/>
        </w:rPr>
        <w:t>2024 Proxy Statement</w:t>
      </w:r>
      <w:r>
        <w:rPr>
          <w:sz w:val="20"/>
          <w:szCs w:val="20"/>
          <w:color w:val="auto"/>
        </w:rPr>
        <w:tab/>
      </w:r>
      <w:r>
        <w:rPr>
          <w:rFonts w:ascii="Arial" w:cs="Arial" w:eastAsia="Arial" w:hAnsi="Arial"/>
          <w:sz w:val="17"/>
          <w:szCs w:val="17"/>
          <w:color w:val="1E3767"/>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253365</wp:posOffset>
            </wp:positionV>
            <wp:extent cx="7157720" cy="425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01" w:right="339" w:bottom="1440" w:gutter="0" w:footer="0" w:header="0"/>
        </w:sectPr>
      </w:pPr>
    </w:p>
    <w:bookmarkStart w:id="48" w:name="page49"/>
    <w:bookmarkEnd w:id="48"/>
    <w:p>
      <w:pPr>
        <w:spacing w:after="0"/>
        <w:rPr>
          <w:sz w:val="20"/>
          <w:szCs w:val="20"/>
          <w:color w:val="auto"/>
        </w:rPr>
      </w:pPr>
      <w:r>
        <w:rPr>
          <w:rFonts w:ascii="Arial" w:cs="Arial" w:eastAsia="Arial" w:hAnsi="Arial"/>
          <w:sz w:val="20"/>
          <w:szCs w:val="20"/>
          <w:i w:val="1"/>
          <w:iCs w:val="1"/>
          <w:color w:val="auto"/>
        </w:rPr>
        <w:t>Restricted Stock Units</w:t>
      </w:r>
    </w:p>
    <w:p>
      <w:pPr>
        <w:spacing w:after="0" w:line="256" w:lineRule="exact"/>
        <w:rPr>
          <w:sz w:val="20"/>
          <w:szCs w:val="20"/>
          <w:color w:val="auto"/>
        </w:rPr>
      </w:pPr>
    </w:p>
    <w:p>
      <w:pPr>
        <w:jc w:val="both"/>
        <w:spacing w:after="0" w:line="268" w:lineRule="auto"/>
        <w:rPr>
          <w:sz w:val="20"/>
          <w:szCs w:val="20"/>
          <w:color w:val="auto"/>
        </w:rPr>
      </w:pPr>
      <w:r>
        <w:rPr>
          <w:rFonts w:ascii="Arial" w:cs="Arial" w:eastAsia="Arial" w:hAnsi="Arial"/>
          <w:sz w:val="20"/>
          <w:szCs w:val="20"/>
          <w:color w:val="auto"/>
        </w:rPr>
        <w:t>In fiscal 2024, the long-term incentive compensation included restricted stock unit grants to the Named Executives. The fiscal 2024 restricted stock unit awards were structured to provide incentives for long-term performance and retention. The shares vest one-third on each of the three subsequent anniversaries. Retention is encouraged by grant terms which immediately forfeit all awards that have not vested in the event that the grantee’s employment with the Company is terminated for any reason, other than in the event of retirement or in connection with a change in control.</w:t>
      </w:r>
    </w:p>
    <w:p>
      <w:pPr>
        <w:spacing w:after="0" w:line="201" w:lineRule="exact"/>
        <w:rPr>
          <w:sz w:val="20"/>
          <w:szCs w:val="20"/>
          <w:color w:val="auto"/>
        </w:rPr>
      </w:pPr>
    </w:p>
    <w:p>
      <w:pPr>
        <w:jc w:val="both"/>
        <w:spacing w:after="0" w:line="261" w:lineRule="auto"/>
        <w:rPr>
          <w:sz w:val="20"/>
          <w:szCs w:val="20"/>
          <w:color w:val="auto"/>
        </w:rPr>
      </w:pPr>
      <w:r>
        <w:rPr>
          <w:rFonts w:ascii="Arial" w:cs="Arial" w:eastAsia="Arial" w:hAnsi="Arial"/>
          <w:sz w:val="20"/>
          <w:szCs w:val="20"/>
          <w:color w:val="auto"/>
        </w:rPr>
        <w:t>The fiscal 2024 restricted stock unit awards contain terms which allow for continued vesting in accordance with the vesting schedule of all unvested awards upon retirement. For this purpose, retirement is defined as termination with the express reason of retirement, for which the grantee has provided the Company at least six months’ prior notice and occurs (1) on or after the age of 55 and following a minimum number of years of employment with the Company such that the grantee’s age plus the number of full years of employment with the Company equals or exceeds 72, or (2) on or after age 65. The grantee must also remain actively employed as a full-time employee for six months following the date of the award to qualify for such continued vesting. Further, the grantee must abide by certain restrictive covenants, including non-competition, non-solicit, and non-disparagement covenants. Any breach of such restrictive covenants will result in a forfeiture of all remaining non-settled awards. Upon a change in control of the Company and a qualified termination of the grantee, all unvested restricted stock units vest in full and will be settled.</w:t>
      </w:r>
    </w:p>
    <w:p>
      <w:pPr>
        <w:spacing w:after="0" w:line="21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Broad-Based Benefits Programs</w:t>
      </w:r>
    </w:p>
    <w:p>
      <w:pPr>
        <w:spacing w:after="0" w:line="272" w:lineRule="exact"/>
        <w:rPr>
          <w:sz w:val="20"/>
          <w:szCs w:val="20"/>
          <w:color w:val="auto"/>
        </w:rPr>
      </w:pPr>
    </w:p>
    <w:p>
      <w:pPr>
        <w:jc w:val="both"/>
        <w:spacing w:after="0" w:line="265" w:lineRule="auto"/>
        <w:rPr>
          <w:sz w:val="20"/>
          <w:szCs w:val="20"/>
          <w:color w:val="auto"/>
        </w:rPr>
      </w:pPr>
      <w:r>
        <w:rPr>
          <w:rFonts w:ascii="Arial" w:cs="Arial" w:eastAsia="Arial" w:hAnsi="Arial"/>
          <w:sz w:val="20"/>
          <w:szCs w:val="20"/>
          <w:color w:val="auto"/>
        </w:rPr>
        <w:t>The Company offers certain broad-based benefits programs including benefits such as health, dental, disability and life insurance, health care savings accounts, employee stock purchase plan, paid vacation time, and Company matching contributions to a 401(k) Retirement Savings Plan. Benefits are provided to all employees in accordance with practices within the marketplace and are a necessary element of compensation in attracting and retaining employees. We do not offer pensions or supplemental executive retirements plans for our Named Executives.</w:t>
      </w:r>
    </w:p>
    <w:p>
      <w:pPr>
        <w:spacing w:after="0" w:line="20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Termination Benefits Agreements and Executive Severance Plan</w:t>
      </w:r>
    </w:p>
    <w:p>
      <w:pPr>
        <w:spacing w:after="0" w:line="272" w:lineRule="exact"/>
        <w:rPr>
          <w:sz w:val="20"/>
          <w:szCs w:val="20"/>
          <w:color w:val="auto"/>
        </w:rPr>
      </w:pPr>
    </w:p>
    <w:p>
      <w:pPr>
        <w:jc w:val="both"/>
        <w:spacing w:after="0" w:line="259" w:lineRule="auto"/>
        <w:rPr>
          <w:sz w:val="20"/>
          <w:szCs w:val="20"/>
          <w:color w:val="auto"/>
        </w:rPr>
      </w:pPr>
      <w:r>
        <w:rPr>
          <w:rFonts w:ascii="Arial" w:cs="Arial" w:eastAsia="Arial" w:hAnsi="Arial"/>
          <w:sz w:val="20"/>
          <w:szCs w:val="20"/>
          <w:color w:val="auto"/>
        </w:rPr>
        <w:t>On June 30, 2024, each of the Named Executives was a participant in the Executive Severance Plan (the “Severance Plan”) that is discussed in this Proxy Statement under the caption “Agreements with Executive Officers and Potential Payments upon Termination or Change in Control” on page 57. The Severance Plan provides that each Named Executive who experiences a qualifying termination not in connection with a change in control receives severance payments. The amount of such severance payments for the Chief Executive Officer is equal to two times the Chief Executive Officer’s annual base salary, paid ratably over two years, and, for the other Named Executives, one and a half times the Named Executive’s annual base salary, paid ratably over one and a half years. The Named Executives also receive a prorated amount of the annual bonus the Named Executive would have received for the current performance year had the Named Executive remained employed through the end of such performance year, paid in a single lump sum at the same time as annual bonus payments are made to active annual bonus participants for such performance year. The Named Executives would also receive an amount equal to the cost of health benefit continuation premiums for 18 months, paid in a lump sum. The treatment of equity awards held by the terminated Named Executive would not be impacted by the Severance Plan, but would be controlled by the terms set out in those individual awards.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39370</wp:posOffset>
            </wp:positionV>
            <wp:extent cx="7132320" cy="3511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32320" cy="351155"/>
                    </a:xfrm>
                    <a:prstGeom prst="rect">
                      <a:avLst/>
                    </a:prstGeom>
                    <a:noFill/>
                  </pic:spPr>
                </pic:pic>
              </a:graphicData>
            </a:graphic>
          </wp:anchor>
        </w:drawing>
      </w:r>
    </w:p>
    <w:p>
      <w:pPr>
        <w:spacing w:after="0" w:line="253" w:lineRule="exact"/>
        <w:rPr>
          <w:sz w:val="20"/>
          <w:szCs w:val="20"/>
          <w:color w:val="auto"/>
        </w:rPr>
      </w:pPr>
    </w:p>
    <w:p>
      <w:pPr>
        <w:ind w:left="20"/>
        <w:spacing w:after="0"/>
        <w:tabs>
          <w:tab w:leader="none" w:pos="440" w:val="left"/>
        </w:tabs>
        <w:rPr>
          <w:sz w:val="20"/>
          <w:szCs w:val="20"/>
          <w:color w:val="auto"/>
        </w:rPr>
      </w:pPr>
      <w:r>
        <w:rPr>
          <w:rFonts w:ascii="Arial" w:cs="Arial" w:eastAsia="Arial" w:hAnsi="Arial"/>
          <w:sz w:val="18"/>
          <w:szCs w:val="18"/>
          <w:color w:val="auto"/>
        </w:rPr>
        <w:t>46</w:t>
        <w:tab/>
        <w:t>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262255</wp:posOffset>
            </wp:positionV>
            <wp:extent cx="7157720" cy="425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01" w:right="339" w:bottom="1440" w:gutter="0" w:footer="0" w:header="0"/>
        </w:sectPr>
      </w:pPr>
    </w:p>
    <w:bookmarkStart w:id="49" w:name="page50"/>
    <w:bookmarkEnd w:id="49"/>
    <w:p>
      <w:pPr>
        <w:jc w:val="both"/>
        <w:spacing w:after="0" w:line="261" w:lineRule="auto"/>
        <w:rPr>
          <w:sz w:val="20"/>
          <w:szCs w:val="20"/>
          <w:color w:val="auto"/>
        </w:rPr>
      </w:pPr>
      <w:r>
        <w:rPr>
          <w:rFonts w:ascii="Arial" w:cs="Arial" w:eastAsia="Arial" w:hAnsi="Arial"/>
          <w:sz w:val="20"/>
          <w:szCs w:val="20"/>
          <w:color w:val="auto"/>
        </w:rPr>
        <w:t>The Severance Plan also provides that each Named Executive who experiences a qualifying termination in connection with a change in control receives severance payments. The amount of such severance payments for the Chief Executive Officer is equal to two times the annual base salary and two times the target annual bonus, and, for other Named Executives, one and a half times the annual base salary and one and a half the target annual bonus, also paid in a lump sum. The Named Executives will also receive a lump sum prorated amount of target annual bonus for the year in which the termination occurs and an amount equal to the cost of health benefit continuation premiums for 18 months. Equity awards held by the terminated Named Executive, other than those awards that already contain provisions governing the treatment of the awards in the event of a change in control termination (which will be controlled by the terms of such awards), will fully vest upon a qualifying termination in connection with a change in control, with any performance-based awards vesting as if target-level achievement were met. All Severance Plan payments are conditional upon the terminated executive’s execution and nonrevocation of a release of claims against the Company and adherence to certain restrictive covenants set forth in the Severance Plan.</w:t>
      </w:r>
    </w:p>
    <w:p>
      <w:pPr>
        <w:spacing w:after="0" w:line="219" w:lineRule="exact"/>
        <w:rPr>
          <w:sz w:val="20"/>
          <w:szCs w:val="20"/>
          <w:color w:val="auto"/>
        </w:rPr>
      </w:pPr>
    </w:p>
    <w:p>
      <w:pPr>
        <w:jc w:val="both"/>
        <w:spacing w:after="0" w:line="262" w:lineRule="auto"/>
        <w:rPr>
          <w:sz w:val="20"/>
          <w:szCs w:val="20"/>
          <w:color w:val="auto"/>
        </w:rPr>
      </w:pPr>
      <w:r>
        <w:rPr>
          <w:rFonts w:ascii="Arial" w:cs="Arial" w:eastAsia="Arial" w:hAnsi="Arial"/>
          <w:sz w:val="20"/>
          <w:szCs w:val="20"/>
          <w:color w:val="auto"/>
        </w:rPr>
        <w:t>The benefits provided were determined primarily by reference to comparative data provided to the HC&amp;C Committee by its independent advisor. The benefits are believed by the HC&amp;C Committee to be sufficient to provide the desired incentive and security to retain crucial personnel in a time of disruption and to help attract and retain top executive talent. The change in control benefits provided in the Severance Plan reflect the concern of the Board that any future threatened or actual change in control, such as an acquisition or merger, could cause disruption and harm to the Company in the event of the resulting loss of any of its key executives.</w:t>
      </w:r>
    </w:p>
    <w:p>
      <w:pPr>
        <w:spacing w:after="0" w:line="222" w:lineRule="exact"/>
        <w:rPr>
          <w:sz w:val="20"/>
          <w:szCs w:val="20"/>
          <w:color w:val="auto"/>
        </w:rPr>
      </w:pPr>
    </w:p>
    <w:p>
      <w:pPr>
        <w:jc w:val="both"/>
        <w:spacing w:after="0" w:line="261" w:lineRule="auto"/>
        <w:rPr>
          <w:sz w:val="20"/>
          <w:szCs w:val="20"/>
          <w:color w:val="auto"/>
        </w:rPr>
      </w:pPr>
      <w:r>
        <w:rPr>
          <w:rFonts w:ascii="Arial" w:cs="Arial" w:eastAsia="Arial" w:hAnsi="Arial"/>
          <w:sz w:val="20"/>
          <w:szCs w:val="20"/>
          <w:color w:val="auto"/>
        </w:rPr>
        <w:t>No severance payments are eligible to be paid under the Severance Plan unless a Named Executive’s employment is terminated by the Company without “Cause” or by the Named Executive for “Good Reason” (both as defined in the Severance Plan). The HC&amp;C Committee believes that agreements such as the Severance Plan should not include provisions that would obligate an acquirer of the Company to make large cash payouts to our Named Executives simply because a change in control has occurred. Because of this concern, the occurrence of a change in control event alone will not trigger any cash payment obligations to our Named Executives under the Severance Plan. Change in control severance payment obligations only arise if the Named Executive’s employment is terminated by the Company without “Cause” or by the Named Executive for “Good Reason” within the period commencing 90 days prior to and for two years following a change in control (i.e., “double trigger”). The Company does not provide, nor has it ever provided, excise tax gross-up payments to any employee in the event of a change in control and termination.</w:t>
      </w:r>
    </w:p>
    <w:p>
      <w:pPr>
        <w:spacing w:after="0" w:line="212" w:lineRule="exact"/>
        <w:rPr>
          <w:sz w:val="20"/>
          <w:szCs w:val="20"/>
          <w:color w:val="auto"/>
        </w:rPr>
      </w:pPr>
    </w:p>
    <w:p>
      <w:pPr>
        <w:jc w:val="both"/>
        <w:spacing w:after="0" w:line="265" w:lineRule="auto"/>
        <w:rPr>
          <w:sz w:val="20"/>
          <w:szCs w:val="20"/>
          <w:color w:val="auto"/>
        </w:rPr>
      </w:pPr>
      <w:r>
        <w:rPr>
          <w:rFonts w:ascii="Arial" w:cs="Arial" w:eastAsia="Arial" w:hAnsi="Arial"/>
          <w:sz w:val="20"/>
          <w:szCs w:val="20"/>
          <w:color w:val="auto"/>
        </w:rPr>
        <w:t>The Severance Plan has no set term and will continue until terminated by the HC&amp;C Committee. However, unless a Severance Plan participant consents, generally, the Severance Plan may not be terminated or amended in a manner that is materially adverse to a participant without 12-months’ notice to each participant. As set forth in the Severance Plan, certain exceptions apply where an amendment or termination is in connection with a change in control. The Severance Plan specifies that it does not confer on the executives any right to continued employment and shall not interfere with the right of the Company to terminate the executives at any time.</w:t>
      </w: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Deferred Compensation Plan</w:t>
      </w:r>
    </w:p>
    <w:p>
      <w:pPr>
        <w:spacing w:after="0" w:line="258" w:lineRule="exact"/>
        <w:rPr>
          <w:sz w:val="20"/>
          <w:szCs w:val="20"/>
          <w:color w:val="auto"/>
        </w:rPr>
      </w:pPr>
    </w:p>
    <w:p>
      <w:pPr>
        <w:jc w:val="both"/>
        <w:spacing w:after="0" w:line="286" w:lineRule="auto"/>
        <w:rPr>
          <w:sz w:val="20"/>
          <w:szCs w:val="20"/>
          <w:color w:val="auto"/>
        </w:rPr>
      </w:pPr>
      <w:r>
        <w:rPr>
          <w:rFonts w:ascii="Arial" w:cs="Arial" w:eastAsia="Arial" w:hAnsi="Arial"/>
          <w:sz w:val="20"/>
          <w:szCs w:val="20"/>
          <w:color w:val="auto"/>
        </w:rPr>
        <w:t>Under the Company’s non-qualified Deferred Compensation Plan, our Named Executives may voluntarily defer a portion of their compensation to one or more future years. While the plan allows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3511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32320" cy="351155"/>
                    </a:xfrm>
                    <a:prstGeom prst="rect">
                      <a:avLst/>
                    </a:prstGeom>
                    <a:noFill/>
                  </pic:spPr>
                </pic:pic>
              </a:graphicData>
            </a:graphic>
          </wp:anchor>
        </w:drawing>
      </w:r>
    </w:p>
    <w:p>
      <w:pPr>
        <w:spacing w:after="0" w:line="218" w:lineRule="exact"/>
        <w:rPr>
          <w:sz w:val="20"/>
          <w:szCs w:val="20"/>
          <w:color w:val="auto"/>
        </w:rPr>
      </w:pPr>
    </w:p>
    <w:p>
      <w:pPr>
        <w:ind w:left="9000"/>
        <w:spacing w:after="0"/>
        <w:tabs>
          <w:tab w:leader="none" w:pos="11000" w:val="left"/>
        </w:tabs>
        <w:rPr>
          <w:sz w:val="20"/>
          <w:szCs w:val="20"/>
          <w:color w:val="auto"/>
        </w:rPr>
      </w:pPr>
      <w:r>
        <w:rPr>
          <w:rFonts w:ascii="Arial" w:cs="Arial" w:eastAsia="Arial" w:hAnsi="Arial"/>
          <w:sz w:val="18"/>
          <w:szCs w:val="18"/>
          <w:color w:val="auto"/>
        </w:rPr>
        <w:t>2024 Proxy Statement</w:t>
      </w:r>
      <w:r>
        <w:rPr>
          <w:sz w:val="20"/>
          <w:szCs w:val="20"/>
          <w:color w:val="auto"/>
        </w:rPr>
        <w:tab/>
      </w:r>
      <w:r>
        <w:rPr>
          <w:rFonts w:ascii="Arial" w:cs="Arial" w:eastAsia="Arial" w:hAnsi="Arial"/>
          <w:sz w:val="17"/>
          <w:szCs w:val="17"/>
          <w:color w:val="1E3767"/>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262255</wp:posOffset>
            </wp:positionV>
            <wp:extent cx="7157720" cy="425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4" w:right="339" w:bottom="1440" w:gutter="0" w:footer="0" w:header="0"/>
        </w:sectPr>
      </w:pPr>
    </w:p>
    <w:bookmarkStart w:id="50" w:name="page51"/>
    <w:bookmarkEnd w:id="50"/>
    <w:p>
      <w:pPr>
        <w:jc w:val="both"/>
        <w:spacing w:after="0" w:line="263" w:lineRule="auto"/>
        <w:rPr>
          <w:sz w:val="20"/>
          <w:szCs w:val="20"/>
          <w:color w:val="auto"/>
        </w:rPr>
      </w:pPr>
      <w:r>
        <w:rPr>
          <w:rFonts w:ascii="Arial" w:cs="Arial" w:eastAsia="Arial" w:hAnsi="Arial"/>
          <w:sz w:val="20"/>
          <w:szCs w:val="20"/>
          <w:color w:val="auto"/>
        </w:rPr>
        <w:t>the Company to offer deferral of all types of compensation, including salary, bonus, and equity grants, to date the Company has only offered a program to defer receipt of equity compensation upon vesting of performance shares and restricted stock units. Amounts deferred are deemed invested in investments selected by the participant from a limited number of choices. The Deferred Compensation Plan is intended to promote retention by providing a long-term savings opportunity on a tax-efficient basis. Performance shares or restricted stock units that are deferred under the Company’s Deferred Compensation Plan may be settled in stock or, at the option of the HC&amp;C Committee, in cash. Ms. Carsley participated in the Deferred Compensation Plan in fiscal 2024.</w:t>
      </w:r>
    </w:p>
    <w:p>
      <w:pPr>
        <w:spacing w:after="0" w:line="20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Perquisites</w:t>
      </w:r>
    </w:p>
    <w:p>
      <w:pPr>
        <w:spacing w:after="0" w:line="272" w:lineRule="exact"/>
        <w:rPr>
          <w:sz w:val="20"/>
          <w:szCs w:val="20"/>
          <w:color w:val="auto"/>
        </w:rPr>
      </w:pPr>
    </w:p>
    <w:p>
      <w:pPr>
        <w:jc w:val="both"/>
        <w:spacing w:after="0" w:line="262" w:lineRule="auto"/>
        <w:rPr>
          <w:sz w:val="20"/>
          <w:szCs w:val="20"/>
          <w:color w:val="auto"/>
        </w:rPr>
      </w:pPr>
      <w:r>
        <w:rPr>
          <w:rFonts w:ascii="Arial" w:cs="Arial" w:eastAsia="Arial" w:hAnsi="Arial"/>
          <w:sz w:val="20"/>
          <w:szCs w:val="20"/>
          <w:color w:val="auto"/>
        </w:rPr>
        <w:t>Perquisites represent a minor component of executive compensation. When appropriate, we provide perquisites that we believe are reasonable and competitive. The Company has entered into an aircraft time-sharing agreement with each Named Executive, which permits the Named Executives to lease the Company’s corporate-owned aircraft for personal use on a non-exclusive, time-sharing basis. Pursuant to the time-sharing agreement, the Named Executive would reimburse the Company an amount not more than (a) twice the cost of fuel plus (b) other actual expenses for his or her personal use of the Company’s corporate-owned aircraft, which amount approximates the Company’s incremental costs for the flight. Any difference between the Company's incremental costs for the flight and the amount reimbursed for the flight is considered a perquisite. No time-sharing arrangements were used in fiscal 2024 and there were no amounts reimbursed.</w:t>
      </w:r>
    </w:p>
    <w:p>
      <w:pPr>
        <w:spacing w:after="0" w:line="20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Stock Ownership Guidelines</w:t>
      </w:r>
    </w:p>
    <w:p>
      <w:pPr>
        <w:spacing w:after="0" w:line="272" w:lineRule="exact"/>
        <w:rPr>
          <w:sz w:val="20"/>
          <w:szCs w:val="20"/>
          <w:color w:val="auto"/>
        </w:rPr>
      </w:pPr>
    </w:p>
    <w:p>
      <w:pPr>
        <w:jc w:val="both"/>
        <w:spacing w:after="0" w:line="287" w:lineRule="auto"/>
        <w:rPr>
          <w:sz w:val="20"/>
          <w:szCs w:val="20"/>
          <w:color w:val="auto"/>
        </w:rPr>
      </w:pPr>
      <w:r>
        <w:rPr>
          <w:rFonts w:ascii="Arial" w:cs="Arial" w:eastAsia="Arial" w:hAnsi="Arial"/>
          <w:sz w:val="19"/>
          <w:szCs w:val="19"/>
          <w:color w:val="auto"/>
        </w:rPr>
        <w:t>The Board established stock ownership guidelines for the Named Executives, other members of management, and the non-employee directors of the Company. These guidelines require each covered individual to hold a number of shares of the Company’s common stock with an aggregate market value that equates to a specified multiple of the employee’s base salary or, in the case of directors, of their annual base retainer. The stock ownership guidelines for the Named Executives are as follows:</w:t>
      </w:r>
    </w:p>
    <w:p>
      <w:pPr>
        <w:spacing w:after="0" w:line="187" w:lineRule="exact"/>
        <w:rPr>
          <w:sz w:val="20"/>
          <w:szCs w:val="20"/>
          <w:color w:val="auto"/>
        </w:rPr>
      </w:pPr>
    </w:p>
    <w:tbl>
      <w:tblPr>
        <w:tblLayout w:type="fixed"/>
        <w:tblInd w:w="220" w:type="dxa"/>
        <w:tblCellMar>
          <w:top w:w="0" w:type="dxa"/>
          <w:left w:w="0" w:type="dxa"/>
          <w:bottom w:w="0" w:type="dxa"/>
          <w:right w:w="0" w:type="dxa"/>
        </w:tblCellMar>
      </w:tblPr>
      <w:tr>
        <w:trPr>
          <w:trHeight w:val="207"/>
        </w:trPr>
        <w:tc>
          <w:tcPr>
            <w:tcW w:w="2000" w:type="dxa"/>
            <w:vAlign w:val="bottom"/>
            <w:vMerge w:val="restart"/>
            <w:shd w:val="clear" w:color="auto" w:fill="E8F7F7"/>
          </w:tcPr>
          <w:p>
            <w:pPr>
              <w:ind w:left="20"/>
              <w:spacing w:after="0"/>
              <w:rPr>
                <w:sz w:val="20"/>
                <w:szCs w:val="20"/>
                <w:color w:val="auto"/>
              </w:rPr>
            </w:pPr>
            <w:r>
              <w:rPr>
                <w:rFonts w:ascii="Arial" w:cs="Arial" w:eastAsia="Arial" w:hAnsi="Arial"/>
                <w:sz w:val="18"/>
                <w:szCs w:val="18"/>
                <w:b w:val="1"/>
                <w:bCs w:val="1"/>
                <w:color w:val="auto"/>
              </w:rPr>
              <w:t>Named Executive</w:t>
            </w:r>
          </w:p>
        </w:tc>
        <w:tc>
          <w:tcPr>
            <w:tcW w:w="5620" w:type="dxa"/>
            <w:vAlign w:val="bottom"/>
            <w:vMerge w:val="restart"/>
            <w:shd w:val="clear" w:color="auto" w:fill="E8F7F7"/>
          </w:tcPr>
          <w:p>
            <w:pPr>
              <w:ind w:left="420"/>
              <w:spacing w:after="0"/>
              <w:rPr>
                <w:sz w:val="20"/>
                <w:szCs w:val="20"/>
                <w:color w:val="auto"/>
              </w:rPr>
            </w:pPr>
            <w:r>
              <w:rPr>
                <w:rFonts w:ascii="Arial" w:cs="Arial" w:eastAsia="Arial" w:hAnsi="Arial"/>
                <w:sz w:val="18"/>
                <w:szCs w:val="18"/>
                <w:b w:val="1"/>
                <w:bCs w:val="1"/>
                <w:color w:val="auto"/>
              </w:rPr>
              <w:t>Title</w:t>
            </w:r>
          </w:p>
        </w:tc>
        <w:tc>
          <w:tcPr>
            <w:tcW w:w="3180" w:type="dxa"/>
            <w:vAlign w:val="bottom"/>
            <w:shd w:val="clear" w:color="auto" w:fill="E8F7F7"/>
          </w:tcPr>
          <w:p>
            <w:pPr>
              <w:jc w:val="center"/>
              <w:ind w:left="130"/>
              <w:spacing w:after="0"/>
              <w:rPr>
                <w:sz w:val="20"/>
                <w:szCs w:val="20"/>
                <w:color w:val="auto"/>
              </w:rPr>
            </w:pPr>
            <w:r>
              <w:rPr>
                <w:rFonts w:ascii="Arial" w:cs="Arial" w:eastAsia="Arial" w:hAnsi="Arial"/>
                <w:sz w:val="18"/>
                <w:szCs w:val="18"/>
                <w:b w:val="1"/>
                <w:bCs w:val="1"/>
                <w:color w:val="auto"/>
                <w:w w:val="99"/>
              </w:rPr>
              <w:t>Ownership Requirement as a</w:t>
            </w:r>
          </w:p>
        </w:tc>
        <w:tc>
          <w:tcPr>
            <w:tcW w:w="0" w:type="dxa"/>
            <w:vAlign w:val="bottom"/>
          </w:tcPr>
          <w:p>
            <w:pPr>
              <w:spacing w:after="0"/>
              <w:rPr>
                <w:sz w:val="1"/>
                <w:szCs w:val="1"/>
                <w:color w:val="auto"/>
              </w:rPr>
            </w:pPr>
          </w:p>
        </w:tc>
      </w:tr>
      <w:tr>
        <w:trPr>
          <w:trHeight w:val="243"/>
        </w:trPr>
        <w:tc>
          <w:tcPr>
            <w:tcW w:w="2000" w:type="dxa"/>
            <w:vAlign w:val="bottom"/>
            <w:tcBorders>
              <w:bottom w:val="single" w:sz="8" w:color="auto"/>
            </w:tcBorders>
            <w:vMerge w:val="continue"/>
            <w:shd w:val="clear" w:color="auto" w:fill="E8F7F7"/>
          </w:tcPr>
          <w:p>
            <w:pPr>
              <w:spacing w:after="0"/>
              <w:rPr>
                <w:sz w:val="21"/>
                <w:szCs w:val="21"/>
                <w:color w:val="auto"/>
              </w:rPr>
            </w:pPr>
          </w:p>
        </w:tc>
        <w:tc>
          <w:tcPr>
            <w:tcW w:w="5620" w:type="dxa"/>
            <w:vAlign w:val="bottom"/>
            <w:tcBorders>
              <w:bottom w:val="single" w:sz="8" w:color="auto"/>
            </w:tcBorders>
            <w:vMerge w:val="continue"/>
            <w:shd w:val="clear" w:color="auto" w:fill="E8F7F7"/>
          </w:tcPr>
          <w:p>
            <w:pPr>
              <w:spacing w:after="0"/>
              <w:rPr>
                <w:sz w:val="21"/>
                <w:szCs w:val="21"/>
                <w:color w:val="auto"/>
              </w:rPr>
            </w:pPr>
          </w:p>
        </w:tc>
        <w:tc>
          <w:tcPr>
            <w:tcW w:w="3180" w:type="dxa"/>
            <w:vAlign w:val="bottom"/>
            <w:tcBorders>
              <w:bottom w:val="single" w:sz="8" w:color="auto"/>
            </w:tcBorders>
            <w:shd w:val="clear" w:color="auto" w:fill="E8F7F7"/>
          </w:tcPr>
          <w:p>
            <w:pPr>
              <w:jc w:val="center"/>
              <w:ind w:left="110"/>
              <w:spacing w:after="0"/>
              <w:rPr>
                <w:sz w:val="20"/>
                <w:szCs w:val="20"/>
                <w:color w:val="auto"/>
              </w:rPr>
            </w:pPr>
            <w:r>
              <w:rPr>
                <w:rFonts w:ascii="Arial" w:cs="Arial" w:eastAsia="Arial" w:hAnsi="Arial"/>
                <w:sz w:val="18"/>
                <w:szCs w:val="18"/>
                <w:b w:val="1"/>
                <w:bCs w:val="1"/>
                <w:color w:val="auto"/>
              </w:rPr>
              <w:t>Multiplier of Base Salary</w:t>
            </w:r>
          </w:p>
        </w:tc>
        <w:tc>
          <w:tcPr>
            <w:tcW w:w="0" w:type="dxa"/>
            <w:vAlign w:val="bottom"/>
          </w:tcPr>
          <w:p>
            <w:pPr>
              <w:spacing w:after="0"/>
              <w:rPr>
                <w:sz w:val="1"/>
                <w:szCs w:val="1"/>
                <w:color w:val="auto"/>
              </w:rPr>
            </w:pPr>
          </w:p>
        </w:tc>
      </w:tr>
      <w:tr>
        <w:trPr>
          <w:trHeight w:val="223"/>
        </w:trPr>
        <w:tc>
          <w:tcPr>
            <w:tcW w:w="2000" w:type="dxa"/>
            <w:vAlign w:val="bottom"/>
            <w:tcBorders>
              <w:bottom w:val="single" w:sz="8" w:color="DBDBDB"/>
            </w:tcBorders>
          </w:tcPr>
          <w:p>
            <w:pPr>
              <w:ind w:left="20"/>
              <w:spacing w:after="0"/>
              <w:rPr>
                <w:sz w:val="20"/>
                <w:szCs w:val="20"/>
                <w:color w:val="auto"/>
              </w:rPr>
            </w:pPr>
            <w:r>
              <w:rPr>
                <w:rFonts w:ascii="Arial" w:cs="Arial" w:eastAsia="Arial" w:hAnsi="Arial"/>
                <w:sz w:val="18"/>
                <w:szCs w:val="18"/>
                <w:color w:val="auto"/>
              </w:rPr>
              <w:t>David B. Foss</w:t>
            </w:r>
          </w:p>
        </w:tc>
        <w:tc>
          <w:tcPr>
            <w:tcW w:w="5620" w:type="dxa"/>
            <w:vAlign w:val="bottom"/>
            <w:tcBorders>
              <w:bottom w:val="single" w:sz="8" w:color="DBDBDB"/>
            </w:tcBorders>
          </w:tcPr>
          <w:p>
            <w:pPr>
              <w:ind w:left="420"/>
              <w:spacing w:after="0"/>
              <w:rPr>
                <w:sz w:val="20"/>
                <w:szCs w:val="20"/>
                <w:color w:val="auto"/>
              </w:rPr>
            </w:pPr>
            <w:r>
              <w:rPr>
                <w:rFonts w:ascii="Arial" w:cs="Arial" w:eastAsia="Arial" w:hAnsi="Arial"/>
                <w:sz w:val="18"/>
                <w:szCs w:val="18"/>
                <w:color w:val="auto"/>
              </w:rPr>
              <w:t>Board Chair and Chief Executive Officer</w:t>
            </w:r>
          </w:p>
        </w:tc>
        <w:tc>
          <w:tcPr>
            <w:tcW w:w="3180" w:type="dxa"/>
            <w:vAlign w:val="bottom"/>
            <w:tcBorders>
              <w:bottom w:val="single" w:sz="8" w:color="DBDBDB"/>
            </w:tcBorders>
          </w:tcPr>
          <w:p>
            <w:pPr>
              <w:jc w:val="center"/>
              <w:ind w:left="110"/>
              <w:spacing w:after="0"/>
              <w:rPr>
                <w:sz w:val="20"/>
                <w:szCs w:val="20"/>
                <w:color w:val="auto"/>
              </w:rPr>
            </w:pPr>
            <w:r>
              <w:rPr>
                <w:rFonts w:ascii="Arial" w:cs="Arial" w:eastAsia="Arial" w:hAnsi="Arial"/>
                <w:sz w:val="18"/>
                <w:szCs w:val="18"/>
                <w:color w:val="auto"/>
                <w:w w:val="94"/>
              </w:rPr>
              <w:t>6x</w:t>
            </w:r>
          </w:p>
        </w:tc>
        <w:tc>
          <w:tcPr>
            <w:tcW w:w="0" w:type="dxa"/>
            <w:vAlign w:val="bottom"/>
          </w:tcPr>
          <w:p>
            <w:pPr>
              <w:spacing w:after="0"/>
              <w:rPr>
                <w:sz w:val="1"/>
                <w:szCs w:val="1"/>
                <w:color w:val="auto"/>
              </w:rPr>
            </w:pPr>
          </w:p>
        </w:tc>
      </w:tr>
      <w:tr>
        <w:trPr>
          <w:trHeight w:val="223"/>
        </w:trPr>
        <w:tc>
          <w:tcPr>
            <w:tcW w:w="2000" w:type="dxa"/>
            <w:vAlign w:val="bottom"/>
            <w:tcBorders>
              <w:bottom w:val="single" w:sz="8" w:color="DBDBDB"/>
            </w:tcBorders>
            <w:shd w:val="clear" w:color="auto" w:fill="E7ECF0"/>
          </w:tcPr>
          <w:p>
            <w:pPr>
              <w:ind w:left="20"/>
              <w:spacing w:after="0"/>
              <w:rPr>
                <w:sz w:val="20"/>
                <w:szCs w:val="20"/>
                <w:color w:val="auto"/>
              </w:rPr>
            </w:pPr>
            <w:r>
              <w:rPr>
                <w:rFonts w:ascii="Arial" w:cs="Arial" w:eastAsia="Arial" w:hAnsi="Arial"/>
                <w:sz w:val="18"/>
                <w:szCs w:val="18"/>
                <w:color w:val="auto"/>
              </w:rPr>
              <w:t>Gregory R. Adelson</w:t>
            </w:r>
          </w:p>
        </w:tc>
        <w:tc>
          <w:tcPr>
            <w:tcW w:w="5620" w:type="dxa"/>
            <w:vAlign w:val="bottom"/>
            <w:tcBorders>
              <w:bottom w:val="single" w:sz="8" w:color="DBDBDB"/>
            </w:tcBorders>
            <w:shd w:val="clear" w:color="auto" w:fill="E7ECF0"/>
          </w:tcPr>
          <w:p>
            <w:pPr>
              <w:ind w:left="420"/>
              <w:spacing w:after="0"/>
              <w:rPr>
                <w:sz w:val="20"/>
                <w:szCs w:val="20"/>
                <w:color w:val="auto"/>
              </w:rPr>
            </w:pPr>
            <w:r>
              <w:rPr>
                <w:rFonts w:ascii="Arial" w:cs="Arial" w:eastAsia="Arial" w:hAnsi="Arial"/>
                <w:sz w:val="18"/>
                <w:szCs w:val="18"/>
                <w:color w:val="auto"/>
              </w:rPr>
              <w:t>President and Chief Operating Officer</w:t>
            </w:r>
          </w:p>
        </w:tc>
        <w:tc>
          <w:tcPr>
            <w:tcW w:w="3180" w:type="dxa"/>
            <w:vAlign w:val="bottom"/>
            <w:tcBorders>
              <w:bottom w:val="single" w:sz="8" w:color="DBDBDB"/>
            </w:tcBorders>
            <w:shd w:val="clear" w:color="auto" w:fill="E7ECF0"/>
          </w:tcPr>
          <w:p>
            <w:pPr>
              <w:jc w:val="center"/>
              <w:ind w:left="110"/>
              <w:spacing w:after="0"/>
              <w:rPr>
                <w:sz w:val="20"/>
                <w:szCs w:val="20"/>
                <w:color w:val="auto"/>
              </w:rPr>
            </w:pPr>
            <w:r>
              <w:rPr>
                <w:rFonts w:ascii="Arial" w:cs="Arial" w:eastAsia="Arial" w:hAnsi="Arial"/>
                <w:sz w:val="18"/>
                <w:szCs w:val="18"/>
                <w:color w:val="auto"/>
                <w:w w:val="94"/>
              </w:rPr>
              <w:t>3x</w:t>
            </w:r>
          </w:p>
        </w:tc>
        <w:tc>
          <w:tcPr>
            <w:tcW w:w="0" w:type="dxa"/>
            <w:vAlign w:val="bottom"/>
          </w:tcPr>
          <w:p>
            <w:pPr>
              <w:spacing w:after="0"/>
              <w:rPr>
                <w:sz w:val="1"/>
                <w:szCs w:val="1"/>
                <w:color w:val="auto"/>
              </w:rPr>
            </w:pPr>
          </w:p>
        </w:tc>
      </w:tr>
      <w:tr>
        <w:trPr>
          <w:trHeight w:val="223"/>
        </w:trPr>
        <w:tc>
          <w:tcPr>
            <w:tcW w:w="2000" w:type="dxa"/>
            <w:vAlign w:val="bottom"/>
            <w:tcBorders>
              <w:bottom w:val="single" w:sz="8" w:color="DBDBDB"/>
            </w:tcBorders>
          </w:tcPr>
          <w:p>
            <w:pPr>
              <w:ind w:left="20"/>
              <w:spacing w:after="0"/>
              <w:rPr>
                <w:sz w:val="20"/>
                <w:szCs w:val="20"/>
                <w:color w:val="auto"/>
              </w:rPr>
            </w:pPr>
            <w:r>
              <w:rPr>
                <w:rFonts w:ascii="Arial" w:cs="Arial" w:eastAsia="Arial" w:hAnsi="Arial"/>
                <w:sz w:val="18"/>
                <w:szCs w:val="18"/>
                <w:color w:val="auto"/>
              </w:rPr>
              <w:t>Mimi L. Carsley</w:t>
            </w:r>
          </w:p>
        </w:tc>
        <w:tc>
          <w:tcPr>
            <w:tcW w:w="5620" w:type="dxa"/>
            <w:vAlign w:val="bottom"/>
            <w:tcBorders>
              <w:bottom w:val="single" w:sz="8" w:color="DBDBDB"/>
            </w:tcBorders>
          </w:tcPr>
          <w:p>
            <w:pPr>
              <w:ind w:left="420"/>
              <w:spacing w:after="0"/>
              <w:rPr>
                <w:sz w:val="20"/>
                <w:szCs w:val="20"/>
                <w:color w:val="auto"/>
              </w:rPr>
            </w:pPr>
            <w:r>
              <w:rPr>
                <w:rFonts w:ascii="Arial" w:cs="Arial" w:eastAsia="Arial" w:hAnsi="Arial"/>
                <w:sz w:val="18"/>
                <w:szCs w:val="18"/>
                <w:color w:val="auto"/>
              </w:rPr>
              <w:t>Chief Financial Officer and Treasurer</w:t>
            </w:r>
          </w:p>
        </w:tc>
        <w:tc>
          <w:tcPr>
            <w:tcW w:w="3180" w:type="dxa"/>
            <w:vAlign w:val="bottom"/>
            <w:tcBorders>
              <w:bottom w:val="single" w:sz="8" w:color="DBDBDB"/>
            </w:tcBorders>
          </w:tcPr>
          <w:p>
            <w:pPr>
              <w:jc w:val="center"/>
              <w:ind w:left="110"/>
              <w:spacing w:after="0"/>
              <w:rPr>
                <w:sz w:val="20"/>
                <w:szCs w:val="20"/>
                <w:color w:val="auto"/>
              </w:rPr>
            </w:pPr>
            <w:r>
              <w:rPr>
                <w:rFonts w:ascii="Arial" w:cs="Arial" w:eastAsia="Arial" w:hAnsi="Arial"/>
                <w:sz w:val="18"/>
                <w:szCs w:val="18"/>
                <w:color w:val="auto"/>
                <w:w w:val="94"/>
              </w:rPr>
              <w:t>3x</w:t>
            </w:r>
          </w:p>
        </w:tc>
        <w:tc>
          <w:tcPr>
            <w:tcW w:w="0" w:type="dxa"/>
            <w:vAlign w:val="bottom"/>
          </w:tcPr>
          <w:p>
            <w:pPr>
              <w:spacing w:after="0"/>
              <w:rPr>
                <w:sz w:val="1"/>
                <w:szCs w:val="1"/>
                <w:color w:val="auto"/>
              </w:rPr>
            </w:pPr>
          </w:p>
        </w:tc>
      </w:tr>
      <w:tr>
        <w:trPr>
          <w:trHeight w:val="223"/>
        </w:trPr>
        <w:tc>
          <w:tcPr>
            <w:tcW w:w="2000" w:type="dxa"/>
            <w:vAlign w:val="bottom"/>
            <w:tcBorders>
              <w:bottom w:val="single" w:sz="8" w:color="DBDBDB"/>
            </w:tcBorders>
            <w:shd w:val="clear" w:color="auto" w:fill="E7ECF0"/>
          </w:tcPr>
          <w:p>
            <w:pPr>
              <w:ind w:left="20"/>
              <w:spacing w:after="0"/>
              <w:rPr>
                <w:sz w:val="20"/>
                <w:szCs w:val="20"/>
                <w:color w:val="auto"/>
              </w:rPr>
            </w:pPr>
            <w:r>
              <w:rPr>
                <w:rFonts w:ascii="Arial" w:cs="Arial" w:eastAsia="Arial" w:hAnsi="Arial"/>
                <w:sz w:val="18"/>
                <w:szCs w:val="18"/>
                <w:color w:val="auto"/>
              </w:rPr>
              <w:t>Craig K. Morgan</w:t>
            </w:r>
          </w:p>
        </w:tc>
        <w:tc>
          <w:tcPr>
            <w:tcW w:w="5620" w:type="dxa"/>
            <w:vAlign w:val="bottom"/>
            <w:tcBorders>
              <w:bottom w:val="single" w:sz="8" w:color="DBDBDB"/>
            </w:tcBorders>
            <w:shd w:val="clear" w:color="auto" w:fill="E7ECF0"/>
          </w:tcPr>
          <w:p>
            <w:pPr>
              <w:ind w:left="420"/>
              <w:spacing w:after="0"/>
              <w:rPr>
                <w:sz w:val="20"/>
                <w:szCs w:val="20"/>
                <w:color w:val="auto"/>
              </w:rPr>
            </w:pPr>
            <w:r>
              <w:rPr>
                <w:rFonts w:ascii="Arial" w:cs="Arial" w:eastAsia="Arial" w:hAnsi="Arial"/>
                <w:sz w:val="18"/>
                <w:szCs w:val="18"/>
                <w:color w:val="auto"/>
              </w:rPr>
              <w:t>General Counsel and Secretary</w:t>
            </w:r>
          </w:p>
        </w:tc>
        <w:tc>
          <w:tcPr>
            <w:tcW w:w="3180" w:type="dxa"/>
            <w:vAlign w:val="bottom"/>
            <w:tcBorders>
              <w:bottom w:val="single" w:sz="8" w:color="DBDBDB"/>
            </w:tcBorders>
            <w:shd w:val="clear" w:color="auto" w:fill="E7ECF0"/>
          </w:tcPr>
          <w:p>
            <w:pPr>
              <w:jc w:val="center"/>
              <w:ind w:left="110"/>
              <w:spacing w:after="0"/>
              <w:rPr>
                <w:sz w:val="20"/>
                <w:szCs w:val="20"/>
                <w:color w:val="auto"/>
              </w:rPr>
            </w:pPr>
            <w:r>
              <w:rPr>
                <w:rFonts w:ascii="Arial" w:cs="Arial" w:eastAsia="Arial" w:hAnsi="Arial"/>
                <w:sz w:val="18"/>
                <w:szCs w:val="18"/>
                <w:color w:val="auto"/>
                <w:w w:val="94"/>
              </w:rPr>
              <w:t>1x</w:t>
            </w:r>
          </w:p>
        </w:tc>
        <w:tc>
          <w:tcPr>
            <w:tcW w:w="0" w:type="dxa"/>
            <w:vAlign w:val="bottom"/>
          </w:tcPr>
          <w:p>
            <w:pPr>
              <w:spacing w:after="0"/>
              <w:rPr>
                <w:sz w:val="1"/>
                <w:szCs w:val="1"/>
                <w:color w:val="auto"/>
              </w:rPr>
            </w:pPr>
          </w:p>
        </w:tc>
      </w:tr>
      <w:tr>
        <w:trPr>
          <w:trHeight w:val="169"/>
        </w:trPr>
        <w:tc>
          <w:tcPr>
            <w:tcW w:w="2000" w:type="dxa"/>
            <w:vAlign w:val="bottom"/>
            <w:vMerge w:val="restart"/>
          </w:tcPr>
          <w:p>
            <w:pPr>
              <w:ind w:left="20"/>
              <w:spacing w:after="0"/>
              <w:rPr>
                <w:sz w:val="20"/>
                <w:szCs w:val="20"/>
                <w:color w:val="auto"/>
              </w:rPr>
            </w:pPr>
            <w:r>
              <w:rPr>
                <w:rFonts w:ascii="Arial" w:cs="Arial" w:eastAsia="Arial" w:hAnsi="Arial"/>
                <w:sz w:val="18"/>
                <w:szCs w:val="18"/>
                <w:color w:val="auto"/>
              </w:rPr>
              <w:t>Stacey E. Zengel</w:t>
            </w:r>
          </w:p>
        </w:tc>
        <w:tc>
          <w:tcPr>
            <w:tcW w:w="5620" w:type="dxa"/>
            <w:vAlign w:val="bottom"/>
          </w:tcPr>
          <w:p>
            <w:pPr>
              <w:ind w:left="420"/>
              <w:spacing w:after="0" w:line="169" w:lineRule="exact"/>
              <w:rPr>
                <w:sz w:val="20"/>
                <w:szCs w:val="20"/>
                <w:color w:val="auto"/>
              </w:rPr>
            </w:pPr>
            <w:r>
              <w:rPr>
                <w:rFonts w:ascii="Arial" w:cs="Arial" w:eastAsia="Arial" w:hAnsi="Arial"/>
                <w:sz w:val="18"/>
                <w:szCs w:val="18"/>
                <w:color w:val="auto"/>
              </w:rPr>
              <w:t>Senior Vice President and President of Jack Henry Banking</w:t>
            </w:r>
          </w:p>
        </w:tc>
        <w:tc>
          <w:tcPr>
            <w:tcW w:w="3180" w:type="dxa"/>
            <w:vAlign w:val="bottom"/>
            <w:vMerge w:val="restart"/>
          </w:tcPr>
          <w:p>
            <w:pPr>
              <w:jc w:val="center"/>
              <w:ind w:left="110"/>
              <w:spacing w:after="0"/>
              <w:rPr>
                <w:sz w:val="20"/>
                <w:szCs w:val="20"/>
                <w:color w:val="auto"/>
              </w:rPr>
            </w:pPr>
            <w:r>
              <w:rPr>
                <w:rFonts w:ascii="Arial" w:cs="Arial" w:eastAsia="Arial" w:hAnsi="Arial"/>
                <w:sz w:val="18"/>
                <w:szCs w:val="18"/>
                <w:color w:val="auto"/>
                <w:w w:val="94"/>
              </w:rPr>
              <w:t>1x</w:t>
            </w:r>
          </w:p>
        </w:tc>
        <w:tc>
          <w:tcPr>
            <w:tcW w:w="0" w:type="dxa"/>
            <w:vAlign w:val="bottom"/>
          </w:tcPr>
          <w:p>
            <w:pPr>
              <w:spacing w:after="0"/>
              <w:rPr>
                <w:sz w:val="1"/>
                <w:szCs w:val="1"/>
                <w:color w:val="auto"/>
              </w:rPr>
            </w:pPr>
          </w:p>
        </w:tc>
      </w:tr>
      <w:tr>
        <w:trPr>
          <w:trHeight w:val="243"/>
        </w:trPr>
        <w:tc>
          <w:tcPr>
            <w:tcW w:w="2000" w:type="dxa"/>
            <w:vAlign w:val="bottom"/>
            <w:tcBorders>
              <w:bottom w:val="single" w:sz="8" w:color="DBDBDB"/>
            </w:tcBorders>
            <w:vMerge w:val="continue"/>
          </w:tcPr>
          <w:p>
            <w:pPr>
              <w:spacing w:after="0"/>
              <w:rPr>
                <w:sz w:val="21"/>
                <w:szCs w:val="21"/>
                <w:color w:val="auto"/>
              </w:rPr>
            </w:pPr>
          </w:p>
        </w:tc>
        <w:tc>
          <w:tcPr>
            <w:tcW w:w="5620" w:type="dxa"/>
            <w:vAlign w:val="bottom"/>
            <w:tcBorders>
              <w:bottom w:val="single" w:sz="8" w:color="DBDBDB"/>
            </w:tcBorders>
          </w:tcPr>
          <w:p>
            <w:pPr>
              <w:ind w:left="420"/>
              <w:spacing w:after="0"/>
              <w:rPr>
                <w:sz w:val="20"/>
                <w:szCs w:val="20"/>
                <w:color w:val="auto"/>
              </w:rPr>
            </w:pPr>
            <w:r>
              <w:rPr>
                <w:rFonts w:ascii="Arial" w:cs="Arial" w:eastAsia="Arial" w:hAnsi="Arial"/>
                <w:sz w:val="18"/>
                <w:szCs w:val="18"/>
                <w:color w:val="auto"/>
              </w:rPr>
              <w:t>Solutions</w:t>
            </w:r>
          </w:p>
        </w:tc>
        <w:tc>
          <w:tcPr>
            <w:tcW w:w="3180" w:type="dxa"/>
            <w:vAlign w:val="bottom"/>
            <w:tcBorders>
              <w:bottom w:val="single" w:sz="8" w:color="DBDBDB"/>
            </w:tcBorders>
            <w:vMerge w:val="continue"/>
          </w:tcPr>
          <w:p>
            <w:pPr>
              <w:spacing w:after="0"/>
              <w:rPr>
                <w:sz w:val="21"/>
                <w:szCs w:val="21"/>
                <w:color w:val="auto"/>
              </w:rPr>
            </w:pPr>
          </w:p>
        </w:tc>
        <w:tc>
          <w:tcPr>
            <w:tcW w:w="0" w:type="dxa"/>
            <w:vAlign w:val="bottom"/>
          </w:tcPr>
          <w:p>
            <w:pPr>
              <w:spacing w:after="0"/>
              <w:rPr>
                <w:sz w:val="1"/>
                <w:szCs w:val="1"/>
                <w:color w:val="auto"/>
              </w:rPr>
            </w:pPr>
          </w:p>
        </w:tc>
      </w:tr>
    </w:tbl>
    <w:p>
      <w:pPr>
        <w:spacing w:after="0" w:line="329" w:lineRule="exact"/>
        <w:rPr>
          <w:sz w:val="20"/>
          <w:szCs w:val="20"/>
          <w:color w:val="auto"/>
        </w:rPr>
      </w:pPr>
    </w:p>
    <w:p>
      <w:pPr>
        <w:jc w:val="both"/>
        <w:spacing w:after="0" w:line="265" w:lineRule="auto"/>
        <w:rPr>
          <w:sz w:val="20"/>
          <w:szCs w:val="20"/>
          <w:color w:val="auto"/>
        </w:rPr>
      </w:pPr>
      <w:r>
        <w:rPr>
          <w:rFonts w:ascii="Arial" w:cs="Arial" w:eastAsia="Arial" w:hAnsi="Arial"/>
          <w:sz w:val="20"/>
          <w:szCs w:val="20"/>
          <w:color w:val="auto"/>
        </w:rPr>
        <w:t>The value of each person’s share holdings for purposes of the guidelines includes Company shares owned outright, as well as all shares held in the person’s retirement accounts and deferral accounts, all shares held in trust for the person’s immediate family members, and all restricted stock units. Stock options and performance shares are not counted for purposes of measuring compliance with the stock ownership guidelines. The HC&amp;C Committee recognizes that executive officers or employees who were recently promoted to executive officer positions and newly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30480</wp:posOffset>
            </wp:positionV>
            <wp:extent cx="7132320" cy="3511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32320" cy="351155"/>
                    </a:xfrm>
                    <a:prstGeom prst="rect">
                      <a:avLst/>
                    </a:prstGeom>
                    <a:noFill/>
                  </pic:spPr>
                </pic:pic>
              </a:graphicData>
            </a:graphic>
          </wp:anchor>
        </w:drawing>
      </w:r>
    </w:p>
    <w:p>
      <w:pPr>
        <w:spacing w:after="0" w:line="239" w:lineRule="exact"/>
        <w:rPr>
          <w:sz w:val="20"/>
          <w:szCs w:val="20"/>
          <w:color w:val="auto"/>
        </w:rPr>
      </w:pPr>
    </w:p>
    <w:p>
      <w:pPr>
        <w:ind w:left="20"/>
        <w:spacing w:after="0"/>
        <w:tabs>
          <w:tab w:leader="none" w:pos="440" w:val="left"/>
        </w:tabs>
        <w:rPr>
          <w:sz w:val="20"/>
          <w:szCs w:val="20"/>
          <w:color w:val="auto"/>
        </w:rPr>
      </w:pPr>
      <w:r>
        <w:rPr>
          <w:rFonts w:ascii="Arial" w:cs="Arial" w:eastAsia="Arial" w:hAnsi="Arial"/>
          <w:sz w:val="18"/>
          <w:szCs w:val="18"/>
          <w:color w:val="auto"/>
        </w:rPr>
        <w:t>48</w:t>
        <w:tab/>
        <w:t>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253365</wp:posOffset>
            </wp:positionV>
            <wp:extent cx="7157720" cy="425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01" w:right="339" w:bottom="1440" w:gutter="0" w:footer="0" w:header="0"/>
        </w:sectPr>
      </w:pPr>
    </w:p>
    <w:bookmarkStart w:id="51" w:name="page52"/>
    <w:bookmarkEnd w:id="51"/>
    <w:p>
      <w:pPr>
        <w:jc w:val="both"/>
        <w:spacing w:after="0" w:line="265" w:lineRule="auto"/>
        <w:rPr>
          <w:sz w:val="20"/>
          <w:szCs w:val="20"/>
          <w:color w:val="auto"/>
        </w:rPr>
      </w:pPr>
      <w:r>
        <w:rPr>
          <w:rFonts w:ascii="Arial" w:cs="Arial" w:eastAsia="Arial" w:hAnsi="Arial"/>
          <w:sz w:val="20"/>
          <w:szCs w:val="20"/>
          <w:color w:val="auto"/>
        </w:rPr>
        <w:t>elected directors may require some period of time to achieve the guideline amounts. The guidelines, therefore, contemplate a five-year transition period for acquiring a number of shares with the specified market value. The guidelines also require that until the applicable ownership level is achieved, the individual should retain and hold 75% of all shares received from vesting of restricted stock units and performance shares or exercise of options, net of shares sold to pay taxes. The HC&amp;C Committee will continue to monitor the compliance of each executive and director with the guidelines. As measured on June 30, 2024, all covered individuals on such date were in compliance with these these guidelines or within the five-year compliance window.</w:t>
      </w: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Trading in Company Securities Policy</w:t>
      </w:r>
    </w:p>
    <w:p>
      <w:pPr>
        <w:spacing w:after="0" w:line="258" w:lineRule="exact"/>
        <w:rPr>
          <w:sz w:val="20"/>
          <w:szCs w:val="20"/>
          <w:color w:val="auto"/>
        </w:rPr>
      </w:pPr>
    </w:p>
    <w:p>
      <w:pPr>
        <w:jc w:val="both"/>
        <w:spacing w:after="0" w:line="262" w:lineRule="auto"/>
        <w:rPr>
          <w:sz w:val="20"/>
          <w:szCs w:val="20"/>
          <w:color w:val="auto"/>
        </w:rPr>
      </w:pPr>
      <w:r>
        <w:rPr>
          <w:rFonts w:ascii="Arial" w:cs="Arial" w:eastAsia="Arial" w:hAnsi="Arial"/>
          <w:sz w:val="20"/>
          <w:szCs w:val="20"/>
          <w:color w:val="auto"/>
        </w:rPr>
        <w:t>The Company has adopted the Trading in Company Securities Policy that is designed to promote compliance with relevant SEC regulations, including insider trading, and applicable Nasdaq listing standards. This policy applies to our directors, officers, and employees, family members of our directors, officers, and employees, contractors and consultants who have access to material nonpublic information about the Company, and entities controlled by such individuals. In addition to prohibiting transactions in Company securities while in possession of material nonpublic information, these insiders are also prohibited from transactions involving short-term or speculative transactions in the Company’s securities, including engaging in short sales, buying or selling of Company options, puts, calls, or other derivative securities, hedging transactions, holding Company securities in margin accounts, pledging Company securities as collateral, or placing standing or limit orders to buy or sell Company securities with a duration in excess of three business days (except under approved Rule 10b5-1 plans).</w:t>
      </w:r>
    </w:p>
    <w:p>
      <w:pPr>
        <w:spacing w:after="0" w:line="20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Executive Compensation Clawback Policy</w:t>
      </w:r>
    </w:p>
    <w:p>
      <w:pPr>
        <w:spacing w:after="0" w:line="272" w:lineRule="exact"/>
        <w:rPr>
          <w:sz w:val="20"/>
          <w:szCs w:val="20"/>
          <w:color w:val="auto"/>
        </w:rPr>
      </w:pPr>
    </w:p>
    <w:p>
      <w:pPr>
        <w:jc w:val="both"/>
        <w:spacing w:after="0" w:line="263" w:lineRule="auto"/>
        <w:rPr>
          <w:sz w:val="20"/>
          <w:szCs w:val="20"/>
          <w:color w:val="auto"/>
        </w:rPr>
      </w:pPr>
      <w:r>
        <w:rPr>
          <w:rFonts w:ascii="Arial" w:cs="Arial" w:eastAsia="Arial" w:hAnsi="Arial"/>
          <w:sz w:val="20"/>
          <w:szCs w:val="20"/>
          <w:color w:val="auto"/>
        </w:rPr>
        <w:t>In November 2023, the Company adopted, in accordance with Nasdaq listing standards, the Executive Compensation Clawback Policy. This policy requires that the Company seek to recover erroneously awarded incentive-based compensation received by any current or former executive officer on or after October 2, 2023, and during the three-year period preceding the date on which the Company is required to prepare an accounting restatement due to material noncompliance of the Company with any financial reporting requirement under securities laws. The prior recoupment policy continues to apply to incentive-based compensation received by executive officers before October 2, 2023. Both recoupment policies are administered by the HC&amp;C Committee.</w:t>
      </w:r>
    </w:p>
    <w:p>
      <w:pPr>
        <w:spacing w:after="0" w:line="205" w:lineRule="exact"/>
        <w:rPr>
          <w:sz w:val="20"/>
          <w:szCs w:val="20"/>
          <w:color w:val="auto"/>
        </w:rPr>
      </w:pPr>
    </w:p>
    <w:p>
      <w:pPr>
        <w:jc w:val="both"/>
        <w:spacing w:after="0" w:line="298" w:lineRule="auto"/>
        <w:rPr>
          <w:sz w:val="20"/>
          <w:szCs w:val="20"/>
          <w:color w:val="auto"/>
        </w:rPr>
      </w:pPr>
      <w:r>
        <w:rPr>
          <w:rFonts w:ascii="Arial" w:cs="Arial" w:eastAsia="Arial" w:hAnsi="Arial"/>
          <w:sz w:val="20"/>
          <w:szCs w:val="20"/>
          <w:b w:val="1"/>
          <w:bCs w:val="1"/>
          <w:color w:val="auto"/>
        </w:rPr>
        <w:t>Polices and Practices Related to the Grant of Certain Equity Awards Close in Time to the Release of Material Nonpublic Information</w:t>
      </w:r>
    </w:p>
    <w:p>
      <w:pPr>
        <w:spacing w:after="0" w:line="173" w:lineRule="exact"/>
        <w:rPr>
          <w:sz w:val="20"/>
          <w:szCs w:val="20"/>
          <w:color w:val="auto"/>
        </w:rPr>
      </w:pPr>
    </w:p>
    <w:p>
      <w:pPr>
        <w:jc w:val="both"/>
        <w:spacing w:after="0" w:line="265" w:lineRule="auto"/>
        <w:rPr>
          <w:sz w:val="20"/>
          <w:szCs w:val="20"/>
          <w:color w:val="auto"/>
        </w:rPr>
      </w:pPr>
      <w:r>
        <w:rPr>
          <w:rFonts w:ascii="Arial" w:cs="Arial" w:eastAsia="Arial" w:hAnsi="Arial"/>
          <w:sz w:val="20"/>
          <w:szCs w:val="20"/>
          <w:color w:val="auto"/>
        </w:rPr>
        <w:t>At regularly scheduled meetings during June, July, and August of each year, the HC&amp;C Committee approves the upcoming fiscal year target total compensation for Named Executives, including base salary, annual incentive cash bonus amounts, and long-term incentive compensation awards. In addition, the HC&amp;C Committee approves the prior fiscal year incentive cash bonus achievement level and payout amounts as well as results and settlement of any performance-based long-term incentive compensation awards.</w:t>
      </w:r>
    </w:p>
    <w:p>
      <w:pPr>
        <w:spacing w:after="0" w:line="202" w:lineRule="exact"/>
        <w:rPr>
          <w:sz w:val="20"/>
          <w:szCs w:val="20"/>
          <w:color w:val="auto"/>
        </w:rPr>
      </w:pPr>
    </w:p>
    <w:p>
      <w:pPr>
        <w:jc w:val="both"/>
        <w:spacing w:after="0" w:line="269" w:lineRule="auto"/>
        <w:rPr>
          <w:sz w:val="20"/>
          <w:szCs w:val="20"/>
          <w:color w:val="auto"/>
        </w:rPr>
      </w:pPr>
      <w:r>
        <w:rPr>
          <w:rFonts w:ascii="Arial" w:cs="Arial" w:eastAsia="Arial" w:hAnsi="Arial"/>
          <w:sz w:val="20"/>
          <w:szCs w:val="20"/>
          <w:color w:val="auto"/>
        </w:rPr>
        <w:t>By established practice, the grant date for the long-term incentive compensation equity awards for Named Executives occurs in early August of each year, prior to the Company’s release of fiscal year-end financial results. It is the Board’s and the HC&amp;C Committee’s belief that maintaining a consistent grant practice is in the best interests of the Company and minimizes the risk that annual awards are granted opportunistically for the benefit of executive officers. For fiscal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27940</wp:posOffset>
            </wp:positionV>
            <wp:extent cx="7132320" cy="3511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32320" cy="351155"/>
                    </a:xfrm>
                    <a:prstGeom prst="rect">
                      <a:avLst/>
                    </a:prstGeom>
                    <a:noFill/>
                  </pic:spPr>
                </pic:pic>
              </a:graphicData>
            </a:graphic>
          </wp:anchor>
        </w:drawing>
      </w:r>
    </w:p>
    <w:p>
      <w:pPr>
        <w:spacing w:after="0" w:line="234" w:lineRule="exact"/>
        <w:rPr>
          <w:sz w:val="20"/>
          <w:szCs w:val="20"/>
          <w:color w:val="auto"/>
        </w:rPr>
      </w:pPr>
    </w:p>
    <w:p>
      <w:pPr>
        <w:ind w:left="9000"/>
        <w:spacing w:after="0"/>
        <w:tabs>
          <w:tab w:leader="none" w:pos="11000" w:val="left"/>
        </w:tabs>
        <w:rPr>
          <w:sz w:val="20"/>
          <w:szCs w:val="20"/>
          <w:color w:val="auto"/>
        </w:rPr>
      </w:pPr>
      <w:r>
        <w:rPr>
          <w:rFonts w:ascii="Arial" w:cs="Arial" w:eastAsia="Arial" w:hAnsi="Arial"/>
          <w:sz w:val="18"/>
          <w:szCs w:val="18"/>
          <w:color w:val="auto"/>
        </w:rPr>
        <w:t>2024 Proxy Statement</w:t>
      </w:r>
      <w:r>
        <w:rPr>
          <w:sz w:val="20"/>
          <w:szCs w:val="20"/>
          <w:color w:val="auto"/>
        </w:rPr>
        <w:tab/>
      </w:r>
      <w:r>
        <w:rPr>
          <w:rFonts w:ascii="Arial" w:cs="Arial" w:eastAsia="Arial" w:hAnsi="Arial"/>
          <w:sz w:val="17"/>
          <w:szCs w:val="17"/>
          <w:color w:val="1E3767"/>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253365</wp:posOffset>
            </wp:positionV>
            <wp:extent cx="7157720" cy="425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01" w:right="339" w:bottom="1440" w:gutter="0" w:footer="0" w:header="0"/>
        </w:sectPr>
      </w:pPr>
    </w:p>
    <w:bookmarkStart w:id="52" w:name="page53"/>
    <w:bookmarkEnd w:id="52"/>
    <w:p>
      <w:pPr>
        <w:jc w:val="both"/>
        <w:spacing w:after="0" w:line="269" w:lineRule="auto"/>
        <w:rPr>
          <w:sz w:val="20"/>
          <w:szCs w:val="20"/>
          <w:color w:val="auto"/>
        </w:rPr>
      </w:pPr>
      <w:r>
        <w:rPr>
          <w:rFonts w:ascii="Arial" w:cs="Arial" w:eastAsia="Arial" w:hAnsi="Arial"/>
          <w:sz w:val="20"/>
          <w:szCs w:val="20"/>
          <w:color w:val="auto"/>
        </w:rPr>
        <w:t>Named Executives were granted performance shares and restricted stock units in August 2023. The Company has in the past granted stock option awards to Named Executives, with the last such awards being granted in 2016. Stock option awards are not currently a component of executive compensation design, but it is possible that in the future the HC&amp;C Committee may choose to grant stock option awards to Named Executives.</w:t>
      </w:r>
    </w:p>
    <w:p>
      <w:pPr>
        <w:spacing w:after="0" w:line="197" w:lineRule="exact"/>
        <w:rPr>
          <w:sz w:val="20"/>
          <w:szCs w:val="20"/>
          <w:color w:val="auto"/>
        </w:rPr>
      </w:pPr>
    </w:p>
    <w:p>
      <w:pPr>
        <w:jc w:val="both"/>
        <w:spacing w:after="0" w:line="276" w:lineRule="auto"/>
        <w:rPr>
          <w:sz w:val="20"/>
          <w:szCs w:val="20"/>
          <w:color w:val="auto"/>
        </w:rPr>
      </w:pPr>
      <w:r>
        <w:rPr>
          <w:rFonts w:ascii="Arial" w:cs="Arial" w:eastAsia="Arial" w:hAnsi="Arial"/>
          <w:sz w:val="20"/>
          <w:szCs w:val="20"/>
          <w:color w:val="auto"/>
        </w:rPr>
        <w:t>The HC&amp;C Committee does not take material nonpublic information into account when determining the timing and terms of annual equity award grants. In addition, the Company does not time the disclosure of material nonpublic information for the purpose of affecting the value of executive compensation.</w:t>
      </w:r>
    </w:p>
    <w:p>
      <w:pPr>
        <w:spacing w:after="0" w:line="19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Fiscal 2024 Grants of Certain Equity Awards Close in Time to the Release of Material Nonpublic Information</w:t>
      </w:r>
    </w:p>
    <w:p>
      <w:pPr>
        <w:spacing w:after="0" w:line="272" w:lineRule="exact"/>
        <w:rPr>
          <w:sz w:val="20"/>
          <w:szCs w:val="20"/>
          <w:color w:val="auto"/>
        </w:rPr>
      </w:pPr>
    </w:p>
    <w:p>
      <w:pPr>
        <w:spacing w:after="0"/>
        <w:rPr>
          <w:sz w:val="20"/>
          <w:szCs w:val="20"/>
          <w:color w:val="auto"/>
        </w:rPr>
      </w:pPr>
      <w:r>
        <w:rPr>
          <w:rFonts w:ascii="Arial" w:cs="Arial" w:eastAsia="Arial" w:hAnsi="Arial"/>
          <w:sz w:val="20"/>
          <w:szCs w:val="20"/>
          <w:color w:val="auto"/>
        </w:rPr>
        <w:t>During fiscal 2024, none of our Named Executives were granted stock option awards.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210820</wp:posOffset>
            </wp:positionV>
            <wp:extent cx="7132320" cy="3511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32320" cy="351155"/>
                    </a:xfrm>
                    <a:prstGeom prst="rect">
                      <a:avLst/>
                    </a:prstGeom>
                    <a:noFill/>
                  </pic:spPr>
                </pic:pic>
              </a:graphicData>
            </a:graphic>
          </wp:anchor>
        </w:drawing>
      </w:r>
    </w:p>
    <w:p>
      <w:pPr>
        <w:spacing w:after="0" w:line="200" w:lineRule="exact"/>
        <w:rPr>
          <w:sz w:val="20"/>
          <w:szCs w:val="20"/>
          <w:color w:val="auto"/>
        </w:rPr>
      </w:pPr>
    </w:p>
    <w:p>
      <w:pPr>
        <w:spacing w:after="0" w:line="322" w:lineRule="exact"/>
        <w:rPr>
          <w:sz w:val="20"/>
          <w:szCs w:val="20"/>
          <w:color w:val="auto"/>
        </w:rPr>
      </w:pPr>
    </w:p>
    <w:p>
      <w:pPr>
        <w:ind w:left="20"/>
        <w:spacing w:after="0"/>
        <w:tabs>
          <w:tab w:leader="none" w:pos="440" w:val="left"/>
        </w:tabs>
        <w:rPr>
          <w:sz w:val="20"/>
          <w:szCs w:val="20"/>
          <w:color w:val="auto"/>
        </w:rPr>
      </w:pPr>
      <w:r>
        <w:rPr>
          <w:rFonts w:ascii="Arial" w:cs="Arial" w:eastAsia="Arial" w:hAnsi="Arial"/>
          <w:sz w:val="18"/>
          <w:szCs w:val="18"/>
          <w:color w:val="auto"/>
        </w:rPr>
        <w:t>50</w:t>
        <w:tab/>
        <w:t>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262255</wp:posOffset>
            </wp:positionV>
            <wp:extent cx="7157720" cy="425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01" w:right="339" w:bottom="1440" w:gutter="0" w:footer="0" w:header="0"/>
        </w:sectPr>
      </w:pPr>
    </w:p>
    <w:bookmarkStart w:id="53" w:name="page54"/>
    <w:bookmarkEnd w:id="53"/>
    <w:p>
      <w:pPr>
        <w:jc w:val="center"/>
        <w:spacing w:after="0"/>
        <w:rPr>
          <w:sz w:val="20"/>
          <w:szCs w:val="20"/>
          <w:color w:val="auto"/>
        </w:rPr>
      </w:pPr>
      <w:r>
        <w:rPr>
          <w:rFonts w:ascii="Arial" w:cs="Arial" w:eastAsia="Arial" w:hAnsi="Arial"/>
          <w:sz w:val="22"/>
          <w:szCs w:val="22"/>
          <w:b w:val="1"/>
          <w:bCs w:val="1"/>
          <w:color w:val="auto"/>
        </w:rPr>
        <w:t>COMPENSATION AND RISK</w:t>
      </w:r>
    </w:p>
    <w:p>
      <w:pPr>
        <w:spacing w:after="0" w:line="253" w:lineRule="exact"/>
        <w:rPr>
          <w:sz w:val="20"/>
          <w:szCs w:val="20"/>
          <w:color w:val="auto"/>
        </w:rPr>
      </w:pPr>
    </w:p>
    <w:p>
      <w:pPr>
        <w:jc w:val="both"/>
        <w:spacing w:after="0" w:line="264" w:lineRule="auto"/>
        <w:rPr>
          <w:sz w:val="20"/>
          <w:szCs w:val="20"/>
          <w:color w:val="auto"/>
        </w:rPr>
      </w:pPr>
      <w:r>
        <w:rPr>
          <w:rFonts w:ascii="Arial" w:cs="Arial" w:eastAsia="Arial" w:hAnsi="Arial"/>
          <w:sz w:val="20"/>
          <w:szCs w:val="20"/>
          <w:color w:val="auto"/>
        </w:rPr>
        <w:t>Under its charter, the HC&amp;C Committee is charged with review of risks related to the Company’s compensation policies and practices. In fiscal 2024, the HC&amp;C Committee directed the Company’s Human Resources Department to conduct a compensation risk assessment and to report the results to the HC&amp;C Committee. The assessment reviewed design features, characteristics, and performance metrics used in compensating all employees of the Company, including salaries, sales incentives, incentive bonus plans, and long-term equity incentive compensation awards. The HC&amp;C Committee reviewed and discussed the report and concluded that the Company’s compensation programs, policies, and practices do not create risks that are reasonably likely to have a material adverse effect on the Company. This conclusion was based on a number of factors, including:</w:t>
      </w:r>
    </w:p>
    <w:p>
      <w:pPr>
        <w:spacing w:after="0" w:line="204" w:lineRule="exact"/>
        <w:rPr>
          <w:sz w:val="20"/>
          <w:szCs w:val="20"/>
          <w:color w:val="auto"/>
        </w:rPr>
      </w:pPr>
    </w:p>
    <w:p>
      <w:pPr>
        <w:ind w:left="640" w:hanging="308"/>
        <w:spacing w:after="0"/>
        <w:tabs>
          <w:tab w:leader="none" w:pos="640" w:val="left"/>
        </w:tabs>
        <w:numPr>
          <w:ilvl w:val="0"/>
          <w:numId w:val="16"/>
        </w:numPr>
        <w:rPr>
          <w:rFonts w:ascii="Arial" w:cs="Arial" w:eastAsia="Arial" w:hAnsi="Arial"/>
          <w:sz w:val="20"/>
          <w:szCs w:val="20"/>
          <w:color w:val="auto"/>
        </w:rPr>
      </w:pPr>
      <w:r>
        <w:rPr>
          <w:rFonts w:ascii="Arial" w:cs="Arial" w:eastAsia="Arial" w:hAnsi="Arial"/>
          <w:sz w:val="20"/>
          <w:szCs w:val="20"/>
          <w:color w:val="auto"/>
        </w:rPr>
        <w:t>Compensation of our employees is generally competitive with relevant labor markets.</w:t>
      </w:r>
    </w:p>
    <w:p>
      <w:pPr>
        <w:spacing w:after="0" w:line="31" w:lineRule="exact"/>
        <w:rPr>
          <w:rFonts w:ascii="Arial" w:cs="Arial" w:eastAsia="Arial" w:hAnsi="Arial"/>
          <w:sz w:val="20"/>
          <w:szCs w:val="20"/>
          <w:color w:val="auto"/>
        </w:rPr>
      </w:pPr>
    </w:p>
    <w:p>
      <w:pPr>
        <w:ind w:left="660" w:hanging="328"/>
        <w:spacing w:after="0" w:line="260" w:lineRule="auto"/>
        <w:tabs>
          <w:tab w:leader="none" w:pos="648" w:val="left"/>
        </w:tabs>
        <w:numPr>
          <w:ilvl w:val="0"/>
          <w:numId w:val="16"/>
        </w:numPr>
        <w:rPr>
          <w:rFonts w:ascii="Arial" w:cs="Arial" w:eastAsia="Arial" w:hAnsi="Arial"/>
          <w:sz w:val="20"/>
          <w:szCs w:val="20"/>
          <w:color w:val="auto"/>
        </w:rPr>
      </w:pPr>
      <w:r>
        <w:rPr>
          <w:rFonts w:ascii="Arial" w:cs="Arial" w:eastAsia="Arial" w:hAnsi="Arial"/>
          <w:sz w:val="20"/>
          <w:szCs w:val="20"/>
          <w:color w:val="auto"/>
        </w:rPr>
        <w:t>Benefits are offered to all eligible employees on a non-discriminatory basis and no material perquisites are offered solely to executives or management.</w:t>
      </w:r>
    </w:p>
    <w:p>
      <w:pPr>
        <w:spacing w:after="0" w:line="1" w:lineRule="exact"/>
        <w:rPr>
          <w:rFonts w:ascii="Arial" w:cs="Arial" w:eastAsia="Arial" w:hAnsi="Arial"/>
          <w:sz w:val="20"/>
          <w:szCs w:val="20"/>
          <w:color w:val="auto"/>
        </w:rPr>
      </w:pPr>
    </w:p>
    <w:p>
      <w:pPr>
        <w:ind w:left="640" w:hanging="308"/>
        <w:spacing w:after="0"/>
        <w:tabs>
          <w:tab w:leader="none" w:pos="640" w:val="left"/>
        </w:tabs>
        <w:numPr>
          <w:ilvl w:val="0"/>
          <w:numId w:val="16"/>
        </w:numPr>
        <w:rPr>
          <w:rFonts w:ascii="Arial" w:cs="Arial" w:eastAsia="Arial" w:hAnsi="Arial"/>
          <w:sz w:val="20"/>
          <w:szCs w:val="20"/>
          <w:color w:val="auto"/>
        </w:rPr>
      </w:pPr>
      <w:r>
        <w:rPr>
          <w:rFonts w:ascii="Arial" w:cs="Arial" w:eastAsia="Arial" w:hAnsi="Arial"/>
          <w:sz w:val="20"/>
          <w:szCs w:val="20"/>
          <w:color w:val="auto"/>
        </w:rPr>
        <w:t>Incentive bonuses are determined largely on total Company financial performance and are capped at reasonable levels.</w:t>
      </w:r>
    </w:p>
    <w:p>
      <w:pPr>
        <w:spacing w:after="0" w:line="13" w:lineRule="exact"/>
        <w:rPr>
          <w:rFonts w:ascii="Arial" w:cs="Arial" w:eastAsia="Arial" w:hAnsi="Arial"/>
          <w:sz w:val="20"/>
          <w:szCs w:val="20"/>
          <w:color w:val="auto"/>
        </w:rPr>
      </w:pPr>
    </w:p>
    <w:p>
      <w:pPr>
        <w:ind w:left="660" w:hanging="328"/>
        <w:spacing w:after="0" w:line="260" w:lineRule="auto"/>
        <w:tabs>
          <w:tab w:leader="none" w:pos="648" w:val="left"/>
        </w:tabs>
        <w:numPr>
          <w:ilvl w:val="0"/>
          <w:numId w:val="16"/>
        </w:numPr>
        <w:rPr>
          <w:rFonts w:ascii="Arial" w:cs="Arial" w:eastAsia="Arial" w:hAnsi="Arial"/>
          <w:sz w:val="20"/>
          <w:szCs w:val="20"/>
          <w:color w:val="auto"/>
        </w:rPr>
      </w:pPr>
      <w:r>
        <w:rPr>
          <w:rFonts w:ascii="Arial" w:cs="Arial" w:eastAsia="Arial" w:hAnsi="Arial"/>
          <w:sz w:val="20"/>
          <w:szCs w:val="20"/>
          <w:color w:val="auto"/>
        </w:rPr>
        <w:t>Long-term equity incentive awards to executives generally vest upon achievement of objective performance standards over a number of years, and thus do not encourage taking excessive risk for short-term gains.</w:t>
      </w:r>
    </w:p>
    <w:p>
      <w:pPr>
        <w:spacing w:after="0" w:line="1" w:lineRule="exact"/>
        <w:rPr>
          <w:rFonts w:ascii="Arial" w:cs="Arial" w:eastAsia="Arial" w:hAnsi="Arial"/>
          <w:sz w:val="20"/>
          <w:szCs w:val="20"/>
          <w:color w:val="auto"/>
        </w:rPr>
      </w:pPr>
    </w:p>
    <w:p>
      <w:pPr>
        <w:ind w:left="660" w:right="20" w:hanging="328"/>
        <w:spacing w:after="0" w:line="253" w:lineRule="auto"/>
        <w:tabs>
          <w:tab w:leader="none" w:pos="648" w:val="left"/>
        </w:tabs>
        <w:numPr>
          <w:ilvl w:val="0"/>
          <w:numId w:val="16"/>
        </w:numPr>
        <w:rPr>
          <w:rFonts w:ascii="Arial" w:cs="Arial" w:eastAsia="Arial" w:hAnsi="Arial"/>
          <w:sz w:val="20"/>
          <w:szCs w:val="20"/>
          <w:color w:val="auto"/>
        </w:rPr>
      </w:pPr>
      <w:r>
        <w:rPr>
          <w:rFonts w:ascii="Arial" w:cs="Arial" w:eastAsia="Arial" w:hAnsi="Arial"/>
          <w:sz w:val="20"/>
          <w:szCs w:val="20"/>
          <w:color w:val="auto"/>
        </w:rPr>
        <w:t>Compensation of executive and senior managers is a combination of salary, benefits, annual cash incentive bonuses, and long-term equity incentive awards, resulting in appropriate balancing of short and long-term interests and goals.</w:t>
      </w:r>
    </w:p>
    <w:p>
      <w:pPr>
        <w:spacing w:after="0" w:line="1" w:lineRule="exact"/>
        <w:rPr>
          <w:rFonts w:ascii="Arial" w:cs="Arial" w:eastAsia="Arial" w:hAnsi="Arial"/>
          <w:sz w:val="20"/>
          <w:szCs w:val="20"/>
          <w:color w:val="auto"/>
        </w:rPr>
      </w:pPr>
    </w:p>
    <w:p>
      <w:pPr>
        <w:ind w:left="640" w:hanging="308"/>
        <w:spacing w:after="0"/>
        <w:tabs>
          <w:tab w:leader="none" w:pos="640" w:val="left"/>
        </w:tabs>
        <w:numPr>
          <w:ilvl w:val="0"/>
          <w:numId w:val="16"/>
        </w:numPr>
        <w:rPr>
          <w:rFonts w:ascii="Arial" w:cs="Arial" w:eastAsia="Arial" w:hAnsi="Arial"/>
          <w:sz w:val="20"/>
          <w:szCs w:val="20"/>
          <w:color w:val="auto"/>
        </w:rPr>
      </w:pPr>
      <w:r>
        <w:rPr>
          <w:rFonts w:ascii="Arial" w:cs="Arial" w:eastAsia="Arial" w:hAnsi="Arial"/>
          <w:sz w:val="20"/>
          <w:szCs w:val="20"/>
          <w:color w:val="auto"/>
        </w:rPr>
        <w:t>Executives are subject to stock ownership guidelines, which align their interests with those of the stockholders.</w:t>
      </w:r>
    </w:p>
    <w:p>
      <w:pPr>
        <w:spacing w:after="0" w:line="26" w:lineRule="exact"/>
        <w:rPr>
          <w:rFonts w:ascii="Arial" w:cs="Arial" w:eastAsia="Arial" w:hAnsi="Arial"/>
          <w:sz w:val="20"/>
          <w:szCs w:val="20"/>
          <w:color w:val="auto"/>
        </w:rPr>
      </w:pPr>
    </w:p>
    <w:p>
      <w:pPr>
        <w:ind w:left="660" w:hanging="328"/>
        <w:spacing w:after="0" w:line="267" w:lineRule="auto"/>
        <w:tabs>
          <w:tab w:leader="none" w:pos="648" w:val="left"/>
        </w:tabs>
        <w:numPr>
          <w:ilvl w:val="0"/>
          <w:numId w:val="16"/>
        </w:numPr>
        <w:rPr>
          <w:rFonts w:ascii="Arial" w:cs="Arial" w:eastAsia="Arial" w:hAnsi="Arial"/>
          <w:sz w:val="20"/>
          <w:szCs w:val="20"/>
          <w:color w:val="auto"/>
        </w:rPr>
      </w:pPr>
      <w:r>
        <w:rPr>
          <w:rFonts w:ascii="Arial" w:cs="Arial" w:eastAsia="Arial" w:hAnsi="Arial"/>
          <w:sz w:val="20"/>
          <w:szCs w:val="20"/>
          <w:color w:val="auto"/>
        </w:rPr>
        <w:t>The Company has adopted a recoupment policy providing for the clawback of executive compensation in the event of financial restatements.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182880</wp:posOffset>
            </wp:positionV>
            <wp:extent cx="7132320" cy="3511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32320" cy="35115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9000"/>
        <w:spacing w:after="0"/>
        <w:tabs>
          <w:tab w:leader="none" w:pos="11000" w:val="left"/>
        </w:tabs>
        <w:rPr>
          <w:sz w:val="20"/>
          <w:szCs w:val="20"/>
          <w:color w:val="auto"/>
        </w:rPr>
      </w:pPr>
      <w:r>
        <w:rPr>
          <w:rFonts w:ascii="Arial" w:cs="Arial" w:eastAsia="Arial" w:hAnsi="Arial"/>
          <w:sz w:val="18"/>
          <w:szCs w:val="18"/>
          <w:color w:val="auto"/>
        </w:rPr>
        <w:t>2024 Proxy Statement</w:t>
      </w:r>
      <w:r>
        <w:rPr>
          <w:sz w:val="20"/>
          <w:szCs w:val="20"/>
          <w:color w:val="auto"/>
        </w:rPr>
        <w:tab/>
      </w:r>
      <w:r>
        <w:rPr>
          <w:rFonts w:ascii="Arial" w:cs="Arial" w:eastAsia="Arial" w:hAnsi="Arial"/>
          <w:sz w:val="17"/>
          <w:szCs w:val="17"/>
          <w:color w:val="1E3767"/>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262255</wp:posOffset>
            </wp:positionV>
            <wp:extent cx="7157720" cy="425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4" w:right="339" w:bottom="1440" w:gutter="0" w:footer="0" w:header="0"/>
        </w:sectPr>
      </w:pPr>
    </w:p>
    <w:bookmarkStart w:id="54" w:name="page55"/>
    <w:bookmarkEnd w:id="54"/>
    <w:p>
      <w:pPr>
        <w:jc w:val="center"/>
        <w:spacing w:after="0"/>
        <w:rPr>
          <w:sz w:val="20"/>
          <w:szCs w:val="20"/>
          <w:color w:val="auto"/>
        </w:rPr>
      </w:pPr>
      <w:r>
        <w:rPr>
          <w:rFonts w:ascii="Arial" w:cs="Arial" w:eastAsia="Arial" w:hAnsi="Arial"/>
          <w:sz w:val="22"/>
          <w:szCs w:val="22"/>
          <w:b w:val="1"/>
          <w:bCs w:val="1"/>
          <w:color w:val="auto"/>
        </w:rPr>
        <w:t>EXECUTIVE COMPENSATION</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Summary Compensation Table</w:t>
      </w:r>
    </w:p>
    <w:p>
      <w:pPr>
        <w:spacing w:after="0" w:line="267" w:lineRule="exact"/>
        <w:rPr>
          <w:sz w:val="20"/>
          <w:szCs w:val="20"/>
          <w:color w:val="auto"/>
        </w:rPr>
      </w:pPr>
    </w:p>
    <w:p>
      <w:pPr>
        <w:jc w:val="both"/>
        <w:spacing w:after="0" w:line="269" w:lineRule="auto"/>
        <w:rPr>
          <w:sz w:val="20"/>
          <w:szCs w:val="20"/>
          <w:color w:val="auto"/>
        </w:rPr>
      </w:pPr>
      <w:r>
        <w:rPr>
          <w:rFonts w:ascii="Arial" w:cs="Arial" w:eastAsia="Arial" w:hAnsi="Arial"/>
          <w:sz w:val="20"/>
          <w:szCs w:val="20"/>
          <w:color w:val="auto"/>
        </w:rPr>
        <w:t>The following table sets forth certain information with regard to the compensation paid to (1) Mr. Foss (our Chief Executive Officer during fiscal 2024), (2) Ms. Carsley (our Chief Financial Officer), and (3) Messrs. Adelson, Morgan, and Zengel (the Company’s three other most highly compensated executive officers that were serving as executive officers as of the end of fiscal 2024) (collectively, our “Named Executives”) during the fiscal years ended June 30, 2024, 2023, and 2022.</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2460" w:type="dxa"/>
            <w:vAlign w:val="bottom"/>
            <w:vMerge w:val="restart"/>
            <w:shd w:val="clear" w:color="auto" w:fill="E8F7F7"/>
          </w:tcPr>
          <w:p>
            <w:pPr>
              <w:ind w:left="20"/>
              <w:spacing w:after="0"/>
              <w:rPr>
                <w:sz w:val="20"/>
                <w:szCs w:val="20"/>
                <w:color w:val="auto"/>
              </w:rPr>
            </w:pPr>
            <w:r>
              <w:rPr>
                <w:rFonts w:ascii="Arial" w:cs="Arial" w:eastAsia="Arial" w:hAnsi="Arial"/>
                <w:sz w:val="16"/>
                <w:szCs w:val="16"/>
                <w:b w:val="1"/>
                <w:bCs w:val="1"/>
                <w:color w:val="auto"/>
              </w:rPr>
              <w:t>Name and Principal Position</w:t>
            </w:r>
          </w:p>
        </w:tc>
        <w:tc>
          <w:tcPr>
            <w:tcW w:w="760" w:type="dxa"/>
            <w:vAlign w:val="bottom"/>
            <w:vMerge w:val="restart"/>
            <w:shd w:val="clear" w:color="auto" w:fill="E8F7F7"/>
          </w:tcPr>
          <w:p>
            <w:pPr>
              <w:jc w:val="right"/>
              <w:ind w:right="127"/>
              <w:spacing w:after="0"/>
              <w:rPr>
                <w:sz w:val="20"/>
                <w:szCs w:val="20"/>
                <w:color w:val="auto"/>
              </w:rPr>
            </w:pPr>
            <w:r>
              <w:rPr>
                <w:rFonts w:ascii="Arial" w:cs="Arial" w:eastAsia="Arial" w:hAnsi="Arial"/>
                <w:sz w:val="16"/>
                <w:szCs w:val="16"/>
                <w:b w:val="1"/>
                <w:bCs w:val="1"/>
                <w:color w:val="auto"/>
              </w:rPr>
              <w:t>Year</w:t>
            </w:r>
          </w:p>
        </w:tc>
        <w:tc>
          <w:tcPr>
            <w:tcW w:w="940" w:type="dxa"/>
            <w:vAlign w:val="bottom"/>
            <w:shd w:val="clear" w:color="auto" w:fill="E8F7F7"/>
          </w:tcPr>
          <w:p>
            <w:pPr>
              <w:spacing w:after="0"/>
              <w:rPr>
                <w:sz w:val="17"/>
                <w:szCs w:val="17"/>
                <w:color w:val="auto"/>
              </w:rPr>
            </w:pPr>
          </w:p>
        </w:tc>
        <w:tc>
          <w:tcPr>
            <w:tcW w:w="880" w:type="dxa"/>
            <w:vAlign w:val="bottom"/>
            <w:shd w:val="clear" w:color="auto" w:fill="E8F7F7"/>
          </w:tcPr>
          <w:p>
            <w:pPr>
              <w:spacing w:after="0"/>
              <w:rPr>
                <w:sz w:val="17"/>
                <w:szCs w:val="17"/>
                <w:color w:val="auto"/>
              </w:rPr>
            </w:pPr>
          </w:p>
        </w:tc>
        <w:tc>
          <w:tcPr>
            <w:tcW w:w="1080" w:type="dxa"/>
            <w:vAlign w:val="bottom"/>
            <w:vMerge w:val="restart"/>
            <w:shd w:val="clear" w:color="auto" w:fill="E8F7F7"/>
          </w:tcPr>
          <w:p>
            <w:pPr>
              <w:jc w:val="right"/>
              <w:ind w:right="226"/>
              <w:spacing w:after="0"/>
              <w:rPr>
                <w:sz w:val="20"/>
                <w:szCs w:val="20"/>
                <w:color w:val="auto"/>
              </w:rPr>
            </w:pPr>
            <w:r>
              <w:rPr>
                <w:rFonts w:ascii="Arial" w:cs="Arial" w:eastAsia="Arial" w:hAnsi="Arial"/>
                <w:sz w:val="16"/>
                <w:szCs w:val="16"/>
                <w:b w:val="1"/>
                <w:bCs w:val="1"/>
                <w:color w:val="auto"/>
              </w:rPr>
              <w:t>Stock</w:t>
            </w:r>
          </w:p>
        </w:tc>
        <w:tc>
          <w:tcPr>
            <w:tcW w:w="840" w:type="dxa"/>
            <w:vAlign w:val="bottom"/>
            <w:vMerge w:val="restart"/>
            <w:shd w:val="clear" w:color="auto" w:fill="E8F7F7"/>
          </w:tcPr>
          <w:p>
            <w:pPr>
              <w:jc w:val="center"/>
              <w:ind w:right="46"/>
              <w:spacing w:after="0"/>
              <w:rPr>
                <w:sz w:val="20"/>
                <w:szCs w:val="20"/>
                <w:color w:val="auto"/>
              </w:rPr>
            </w:pPr>
            <w:r>
              <w:rPr>
                <w:rFonts w:ascii="Arial" w:cs="Arial" w:eastAsia="Arial" w:hAnsi="Arial"/>
                <w:sz w:val="16"/>
                <w:szCs w:val="16"/>
                <w:b w:val="1"/>
                <w:bCs w:val="1"/>
                <w:color w:val="auto"/>
              </w:rPr>
              <w:t>Option</w:t>
            </w:r>
          </w:p>
        </w:tc>
        <w:tc>
          <w:tcPr>
            <w:tcW w:w="1680" w:type="dxa"/>
            <w:vAlign w:val="bottom"/>
            <w:shd w:val="clear" w:color="auto" w:fill="E8F7F7"/>
          </w:tcPr>
          <w:p>
            <w:pPr>
              <w:jc w:val="right"/>
              <w:ind w:right="346"/>
              <w:spacing w:after="0"/>
              <w:rPr>
                <w:sz w:val="20"/>
                <w:szCs w:val="20"/>
                <w:color w:val="auto"/>
              </w:rPr>
            </w:pPr>
            <w:r>
              <w:rPr>
                <w:rFonts w:ascii="Arial" w:cs="Arial" w:eastAsia="Arial" w:hAnsi="Arial"/>
                <w:sz w:val="16"/>
                <w:szCs w:val="16"/>
                <w:b w:val="1"/>
                <w:bCs w:val="1"/>
                <w:color w:val="auto"/>
              </w:rPr>
              <w:t>Non-Equity</w:t>
            </w:r>
          </w:p>
        </w:tc>
        <w:tc>
          <w:tcPr>
            <w:tcW w:w="1660" w:type="dxa"/>
            <w:vAlign w:val="bottom"/>
            <w:vMerge w:val="restart"/>
            <w:shd w:val="clear" w:color="auto" w:fill="E8F7F7"/>
          </w:tcPr>
          <w:p>
            <w:pPr>
              <w:jc w:val="center"/>
              <w:ind w:right="226"/>
              <w:spacing w:after="0"/>
              <w:rPr>
                <w:sz w:val="20"/>
                <w:szCs w:val="20"/>
                <w:color w:val="auto"/>
              </w:rPr>
            </w:pPr>
            <w:r>
              <w:rPr>
                <w:rFonts w:ascii="Arial" w:cs="Arial" w:eastAsia="Arial" w:hAnsi="Arial"/>
                <w:sz w:val="16"/>
                <w:szCs w:val="16"/>
                <w:b w:val="1"/>
                <w:bCs w:val="1"/>
                <w:color w:val="auto"/>
              </w:rPr>
              <w:t>All Other</w:t>
            </w:r>
          </w:p>
        </w:tc>
        <w:tc>
          <w:tcPr>
            <w:tcW w:w="940" w:type="dxa"/>
            <w:vAlign w:val="bottom"/>
            <w:shd w:val="clear" w:color="auto" w:fill="E8F7F7"/>
          </w:tcPr>
          <w:p>
            <w:pPr>
              <w:spacing w:after="0"/>
              <w:rPr>
                <w:sz w:val="17"/>
                <w:szCs w:val="17"/>
                <w:color w:val="auto"/>
              </w:rPr>
            </w:pPr>
          </w:p>
        </w:tc>
        <w:tc>
          <w:tcPr>
            <w:tcW w:w="0" w:type="dxa"/>
            <w:vAlign w:val="bottom"/>
          </w:tcPr>
          <w:p>
            <w:pPr>
              <w:spacing w:after="0"/>
              <w:rPr>
                <w:sz w:val="1"/>
                <w:szCs w:val="1"/>
                <w:color w:val="auto"/>
              </w:rPr>
            </w:pPr>
          </w:p>
        </w:tc>
      </w:tr>
      <w:tr>
        <w:trPr>
          <w:trHeight w:val="94"/>
        </w:trPr>
        <w:tc>
          <w:tcPr>
            <w:tcW w:w="2460" w:type="dxa"/>
            <w:vAlign w:val="bottom"/>
            <w:vMerge w:val="continue"/>
            <w:shd w:val="clear" w:color="auto" w:fill="E8F7F7"/>
          </w:tcPr>
          <w:p>
            <w:pPr>
              <w:spacing w:after="0"/>
              <w:rPr>
                <w:sz w:val="8"/>
                <w:szCs w:val="8"/>
                <w:color w:val="auto"/>
              </w:rPr>
            </w:pPr>
          </w:p>
        </w:tc>
        <w:tc>
          <w:tcPr>
            <w:tcW w:w="760" w:type="dxa"/>
            <w:vAlign w:val="bottom"/>
            <w:vMerge w:val="continue"/>
            <w:shd w:val="clear" w:color="auto" w:fill="E8F7F7"/>
          </w:tcPr>
          <w:p>
            <w:pPr>
              <w:spacing w:after="0"/>
              <w:rPr>
                <w:sz w:val="8"/>
                <w:szCs w:val="8"/>
                <w:color w:val="auto"/>
              </w:rPr>
            </w:pPr>
          </w:p>
        </w:tc>
        <w:tc>
          <w:tcPr>
            <w:tcW w:w="940" w:type="dxa"/>
            <w:vAlign w:val="bottom"/>
            <w:vMerge w:val="restart"/>
            <w:shd w:val="clear" w:color="auto" w:fill="E8F7F7"/>
          </w:tcPr>
          <w:p>
            <w:pPr>
              <w:jc w:val="right"/>
              <w:ind w:right="67"/>
              <w:spacing w:after="0"/>
              <w:rPr>
                <w:sz w:val="20"/>
                <w:szCs w:val="20"/>
                <w:color w:val="auto"/>
              </w:rPr>
            </w:pPr>
            <w:r>
              <w:rPr>
                <w:rFonts w:ascii="Arial" w:cs="Arial" w:eastAsia="Arial" w:hAnsi="Arial"/>
                <w:sz w:val="16"/>
                <w:szCs w:val="16"/>
                <w:b w:val="1"/>
                <w:bCs w:val="1"/>
                <w:color w:val="auto"/>
              </w:rPr>
              <w:t>Salary</w:t>
            </w:r>
          </w:p>
        </w:tc>
        <w:tc>
          <w:tcPr>
            <w:tcW w:w="880" w:type="dxa"/>
            <w:vAlign w:val="bottom"/>
            <w:vMerge w:val="restart"/>
            <w:shd w:val="clear" w:color="auto" w:fill="E8F7F7"/>
          </w:tcPr>
          <w:p>
            <w:pPr>
              <w:ind w:left="180"/>
              <w:spacing w:after="0"/>
              <w:rPr>
                <w:sz w:val="20"/>
                <w:szCs w:val="20"/>
                <w:color w:val="auto"/>
              </w:rPr>
            </w:pPr>
            <w:r>
              <w:rPr>
                <w:rFonts w:ascii="Arial" w:cs="Arial" w:eastAsia="Arial" w:hAnsi="Arial"/>
                <w:sz w:val="16"/>
                <w:szCs w:val="16"/>
                <w:b w:val="1"/>
                <w:bCs w:val="1"/>
                <w:color w:val="auto"/>
              </w:rPr>
              <w:t>Bonus</w:t>
            </w:r>
          </w:p>
        </w:tc>
        <w:tc>
          <w:tcPr>
            <w:tcW w:w="1080" w:type="dxa"/>
            <w:vAlign w:val="bottom"/>
            <w:vMerge w:val="continue"/>
            <w:shd w:val="clear" w:color="auto" w:fill="E8F7F7"/>
          </w:tcPr>
          <w:p>
            <w:pPr>
              <w:spacing w:after="0"/>
              <w:rPr>
                <w:sz w:val="8"/>
                <w:szCs w:val="8"/>
                <w:color w:val="auto"/>
              </w:rPr>
            </w:pPr>
          </w:p>
        </w:tc>
        <w:tc>
          <w:tcPr>
            <w:tcW w:w="840" w:type="dxa"/>
            <w:vAlign w:val="bottom"/>
            <w:vMerge w:val="continue"/>
            <w:shd w:val="clear" w:color="auto" w:fill="E8F7F7"/>
          </w:tcPr>
          <w:p>
            <w:pPr>
              <w:spacing w:after="0"/>
              <w:rPr>
                <w:sz w:val="8"/>
                <w:szCs w:val="8"/>
                <w:color w:val="auto"/>
              </w:rPr>
            </w:pPr>
          </w:p>
        </w:tc>
        <w:tc>
          <w:tcPr>
            <w:tcW w:w="1680" w:type="dxa"/>
            <w:vAlign w:val="bottom"/>
            <w:vMerge w:val="restart"/>
            <w:shd w:val="clear" w:color="auto" w:fill="E8F7F7"/>
          </w:tcPr>
          <w:p>
            <w:pPr>
              <w:jc w:val="center"/>
              <w:ind w:right="86"/>
              <w:spacing w:after="0"/>
              <w:rPr>
                <w:sz w:val="20"/>
                <w:szCs w:val="20"/>
                <w:color w:val="auto"/>
              </w:rPr>
            </w:pPr>
            <w:r>
              <w:rPr>
                <w:rFonts w:ascii="Arial" w:cs="Arial" w:eastAsia="Arial" w:hAnsi="Arial"/>
                <w:sz w:val="16"/>
                <w:szCs w:val="16"/>
                <w:b w:val="1"/>
                <w:bCs w:val="1"/>
                <w:color w:val="auto"/>
              </w:rPr>
              <w:t>Incentive Plan</w:t>
            </w:r>
          </w:p>
        </w:tc>
        <w:tc>
          <w:tcPr>
            <w:tcW w:w="1660" w:type="dxa"/>
            <w:vAlign w:val="bottom"/>
            <w:vMerge w:val="continue"/>
            <w:shd w:val="clear" w:color="auto" w:fill="E8F7F7"/>
          </w:tcPr>
          <w:p>
            <w:pPr>
              <w:spacing w:after="0"/>
              <w:rPr>
                <w:sz w:val="8"/>
                <w:szCs w:val="8"/>
                <w:color w:val="auto"/>
              </w:rPr>
            </w:pPr>
          </w:p>
        </w:tc>
        <w:tc>
          <w:tcPr>
            <w:tcW w:w="940" w:type="dxa"/>
            <w:vAlign w:val="bottom"/>
            <w:vMerge w:val="restart"/>
            <w:shd w:val="clear" w:color="auto" w:fill="E8F7F7"/>
          </w:tcPr>
          <w:p>
            <w:pPr>
              <w:jc w:val="right"/>
              <w:ind w:right="187"/>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108"/>
        </w:trPr>
        <w:tc>
          <w:tcPr>
            <w:tcW w:w="2460" w:type="dxa"/>
            <w:vAlign w:val="bottom"/>
            <w:vMerge w:val="continue"/>
            <w:shd w:val="clear" w:color="auto" w:fill="E8F7F7"/>
          </w:tcPr>
          <w:p>
            <w:pPr>
              <w:spacing w:after="0"/>
              <w:rPr>
                <w:sz w:val="9"/>
                <w:szCs w:val="9"/>
                <w:color w:val="auto"/>
              </w:rPr>
            </w:pPr>
          </w:p>
        </w:tc>
        <w:tc>
          <w:tcPr>
            <w:tcW w:w="760" w:type="dxa"/>
            <w:vAlign w:val="bottom"/>
            <w:vMerge w:val="continue"/>
            <w:shd w:val="clear" w:color="auto" w:fill="E8F7F7"/>
          </w:tcPr>
          <w:p>
            <w:pPr>
              <w:spacing w:after="0"/>
              <w:rPr>
                <w:sz w:val="9"/>
                <w:szCs w:val="9"/>
                <w:color w:val="auto"/>
              </w:rPr>
            </w:pPr>
          </w:p>
        </w:tc>
        <w:tc>
          <w:tcPr>
            <w:tcW w:w="940" w:type="dxa"/>
            <w:vAlign w:val="bottom"/>
            <w:vMerge w:val="continue"/>
            <w:shd w:val="clear" w:color="auto" w:fill="E8F7F7"/>
          </w:tcPr>
          <w:p>
            <w:pPr>
              <w:spacing w:after="0"/>
              <w:rPr>
                <w:sz w:val="9"/>
                <w:szCs w:val="9"/>
                <w:color w:val="auto"/>
              </w:rPr>
            </w:pPr>
          </w:p>
        </w:tc>
        <w:tc>
          <w:tcPr>
            <w:tcW w:w="880" w:type="dxa"/>
            <w:vAlign w:val="bottom"/>
            <w:vMerge w:val="continue"/>
            <w:shd w:val="clear" w:color="auto" w:fill="E8F7F7"/>
          </w:tcPr>
          <w:p>
            <w:pPr>
              <w:spacing w:after="0"/>
              <w:rPr>
                <w:sz w:val="9"/>
                <w:szCs w:val="9"/>
                <w:color w:val="auto"/>
              </w:rPr>
            </w:pPr>
          </w:p>
        </w:tc>
        <w:tc>
          <w:tcPr>
            <w:tcW w:w="1080" w:type="dxa"/>
            <w:vAlign w:val="bottom"/>
            <w:vMerge w:val="restart"/>
            <w:shd w:val="clear" w:color="auto" w:fill="E8F7F7"/>
          </w:tcPr>
          <w:p>
            <w:pPr>
              <w:jc w:val="right"/>
              <w:ind w:right="246"/>
              <w:spacing w:after="0"/>
              <w:rPr>
                <w:sz w:val="20"/>
                <w:szCs w:val="20"/>
                <w:color w:val="auto"/>
              </w:rPr>
            </w:pPr>
            <w:r>
              <w:rPr>
                <w:rFonts w:ascii="Arial" w:cs="Arial" w:eastAsia="Arial" w:hAnsi="Arial"/>
                <w:sz w:val="16"/>
                <w:szCs w:val="16"/>
                <w:b w:val="1"/>
                <w:bCs w:val="1"/>
                <w:color w:val="auto"/>
              </w:rPr>
              <w:t>Awards</w:t>
            </w:r>
          </w:p>
        </w:tc>
        <w:tc>
          <w:tcPr>
            <w:tcW w:w="840" w:type="dxa"/>
            <w:vAlign w:val="bottom"/>
            <w:vMerge w:val="restart"/>
            <w:shd w:val="clear" w:color="auto" w:fill="E8F7F7"/>
          </w:tcPr>
          <w:p>
            <w:pPr>
              <w:jc w:val="center"/>
              <w:ind w:right="26"/>
              <w:spacing w:after="0"/>
              <w:rPr>
                <w:sz w:val="20"/>
                <w:szCs w:val="20"/>
                <w:color w:val="auto"/>
              </w:rPr>
            </w:pPr>
            <w:r>
              <w:rPr>
                <w:rFonts w:ascii="Arial" w:cs="Arial" w:eastAsia="Arial" w:hAnsi="Arial"/>
                <w:sz w:val="16"/>
                <w:szCs w:val="16"/>
                <w:b w:val="1"/>
                <w:bCs w:val="1"/>
                <w:color w:val="auto"/>
              </w:rPr>
              <w:t>Awards</w:t>
            </w:r>
          </w:p>
        </w:tc>
        <w:tc>
          <w:tcPr>
            <w:tcW w:w="1680" w:type="dxa"/>
            <w:vAlign w:val="bottom"/>
            <w:vMerge w:val="continue"/>
            <w:shd w:val="clear" w:color="auto" w:fill="E8F7F7"/>
          </w:tcPr>
          <w:p>
            <w:pPr>
              <w:spacing w:after="0"/>
              <w:rPr>
                <w:sz w:val="9"/>
                <w:szCs w:val="9"/>
                <w:color w:val="auto"/>
              </w:rPr>
            </w:pPr>
          </w:p>
        </w:tc>
        <w:tc>
          <w:tcPr>
            <w:tcW w:w="1660" w:type="dxa"/>
            <w:vAlign w:val="bottom"/>
            <w:vMerge w:val="restart"/>
            <w:shd w:val="clear" w:color="auto" w:fill="E8F7F7"/>
          </w:tcPr>
          <w:p>
            <w:pPr>
              <w:jc w:val="center"/>
              <w:ind w:right="226"/>
              <w:spacing w:after="0"/>
              <w:rPr>
                <w:sz w:val="20"/>
                <w:szCs w:val="20"/>
                <w:color w:val="auto"/>
              </w:rPr>
            </w:pPr>
            <w:r>
              <w:rPr>
                <w:rFonts w:ascii="Arial" w:cs="Arial" w:eastAsia="Arial" w:hAnsi="Arial"/>
                <w:sz w:val="16"/>
                <w:szCs w:val="16"/>
                <w:b w:val="1"/>
                <w:bCs w:val="1"/>
                <w:color w:val="auto"/>
              </w:rPr>
              <w:t>Compensation</w:t>
            </w:r>
          </w:p>
        </w:tc>
        <w:tc>
          <w:tcPr>
            <w:tcW w:w="940" w:type="dxa"/>
            <w:vAlign w:val="bottom"/>
            <w:vMerge w:val="continue"/>
            <w:shd w:val="clear" w:color="auto" w:fill="E8F7F7"/>
          </w:tcPr>
          <w:p>
            <w:pPr>
              <w:spacing w:after="0"/>
              <w:rPr>
                <w:sz w:val="9"/>
                <w:szCs w:val="9"/>
                <w:color w:val="auto"/>
              </w:rPr>
            </w:pPr>
          </w:p>
        </w:tc>
        <w:tc>
          <w:tcPr>
            <w:tcW w:w="0" w:type="dxa"/>
            <w:vAlign w:val="bottom"/>
          </w:tcPr>
          <w:p>
            <w:pPr>
              <w:spacing w:after="0"/>
              <w:rPr>
                <w:sz w:val="1"/>
                <w:szCs w:val="1"/>
                <w:color w:val="auto"/>
              </w:rPr>
            </w:pPr>
          </w:p>
        </w:tc>
      </w:tr>
      <w:tr>
        <w:trPr>
          <w:trHeight w:val="115"/>
        </w:trPr>
        <w:tc>
          <w:tcPr>
            <w:tcW w:w="2460" w:type="dxa"/>
            <w:vAlign w:val="bottom"/>
            <w:shd w:val="clear" w:color="auto" w:fill="E8F7F7"/>
          </w:tcPr>
          <w:p>
            <w:pPr>
              <w:spacing w:after="0"/>
              <w:rPr>
                <w:sz w:val="9"/>
                <w:szCs w:val="9"/>
                <w:color w:val="auto"/>
              </w:rPr>
            </w:pPr>
          </w:p>
        </w:tc>
        <w:tc>
          <w:tcPr>
            <w:tcW w:w="760" w:type="dxa"/>
            <w:vAlign w:val="bottom"/>
            <w:shd w:val="clear" w:color="auto" w:fill="E8F7F7"/>
          </w:tcPr>
          <w:p>
            <w:pPr>
              <w:spacing w:after="0"/>
              <w:rPr>
                <w:sz w:val="9"/>
                <w:szCs w:val="9"/>
                <w:color w:val="auto"/>
              </w:rPr>
            </w:pPr>
          </w:p>
        </w:tc>
        <w:tc>
          <w:tcPr>
            <w:tcW w:w="940" w:type="dxa"/>
            <w:vAlign w:val="bottom"/>
            <w:shd w:val="clear" w:color="auto" w:fill="E8F7F7"/>
          </w:tcPr>
          <w:p>
            <w:pPr>
              <w:spacing w:after="0"/>
              <w:rPr>
                <w:sz w:val="9"/>
                <w:szCs w:val="9"/>
                <w:color w:val="auto"/>
              </w:rPr>
            </w:pPr>
          </w:p>
        </w:tc>
        <w:tc>
          <w:tcPr>
            <w:tcW w:w="880" w:type="dxa"/>
            <w:vAlign w:val="bottom"/>
            <w:shd w:val="clear" w:color="auto" w:fill="E8F7F7"/>
          </w:tcPr>
          <w:p>
            <w:pPr>
              <w:spacing w:after="0"/>
              <w:rPr>
                <w:sz w:val="9"/>
                <w:szCs w:val="9"/>
                <w:color w:val="auto"/>
              </w:rPr>
            </w:pPr>
          </w:p>
        </w:tc>
        <w:tc>
          <w:tcPr>
            <w:tcW w:w="1080" w:type="dxa"/>
            <w:vAlign w:val="bottom"/>
            <w:vMerge w:val="continue"/>
            <w:shd w:val="clear" w:color="auto" w:fill="E8F7F7"/>
          </w:tcPr>
          <w:p>
            <w:pPr>
              <w:spacing w:after="0"/>
              <w:rPr>
                <w:sz w:val="9"/>
                <w:szCs w:val="9"/>
                <w:color w:val="auto"/>
              </w:rPr>
            </w:pPr>
          </w:p>
        </w:tc>
        <w:tc>
          <w:tcPr>
            <w:tcW w:w="840" w:type="dxa"/>
            <w:vAlign w:val="bottom"/>
            <w:vMerge w:val="continue"/>
            <w:shd w:val="clear" w:color="auto" w:fill="E8F7F7"/>
          </w:tcPr>
          <w:p>
            <w:pPr>
              <w:spacing w:after="0"/>
              <w:rPr>
                <w:sz w:val="9"/>
                <w:szCs w:val="9"/>
                <w:color w:val="auto"/>
              </w:rPr>
            </w:pPr>
          </w:p>
        </w:tc>
        <w:tc>
          <w:tcPr>
            <w:tcW w:w="1680" w:type="dxa"/>
            <w:vAlign w:val="bottom"/>
            <w:vMerge w:val="restart"/>
            <w:shd w:val="clear" w:color="auto" w:fill="E8F7F7"/>
          </w:tcPr>
          <w:p>
            <w:pPr>
              <w:jc w:val="center"/>
              <w:ind w:right="86"/>
              <w:spacing w:after="0"/>
              <w:rPr>
                <w:sz w:val="20"/>
                <w:szCs w:val="20"/>
                <w:color w:val="auto"/>
              </w:rPr>
            </w:pPr>
            <w:r>
              <w:rPr>
                <w:rFonts w:ascii="Arial" w:cs="Arial" w:eastAsia="Arial" w:hAnsi="Arial"/>
                <w:sz w:val="16"/>
                <w:szCs w:val="16"/>
                <w:b w:val="1"/>
                <w:bCs w:val="1"/>
                <w:color w:val="auto"/>
              </w:rPr>
              <w:t>Compensation</w:t>
            </w:r>
          </w:p>
        </w:tc>
        <w:tc>
          <w:tcPr>
            <w:tcW w:w="1660" w:type="dxa"/>
            <w:vAlign w:val="bottom"/>
            <w:vMerge w:val="continue"/>
            <w:shd w:val="clear" w:color="auto" w:fill="E8F7F7"/>
          </w:tcPr>
          <w:p>
            <w:pPr>
              <w:spacing w:after="0"/>
              <w:rPr>
                <w:sz w:val="9"/>
                <w:szCs w:val="9"/>
                <w:color w:val="auto"/>
              </w:rPr>
            </w:pPr>
          </w:p>
        </w:tc>
        <w:tc>
          <w:tcPr>
            <w:tcW w:w="940" w:type="dxa"/>
            <w:vAlign w:val="bottom"/>
            <w:shd w:val="clear" w:color="auto" w:fill="E8F7F7"/>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460" w:type="dxa"/>
            <w:vAlign w:val="bottom"/>
            <w:shd w:val="clear" w:color="auto" w:fill="E8F7F7"/>
          </w:tcPr>
          <w:p>
            <w:pPr>
              <w:spacing w:after="0"/>
              <w:rPr>
                <w:sz w:val="9"/>
                <w:szCs w:val="9"/>
                <w:color w:val="auto"/>
              </w:rPr>
            </w:pPr>
          </w:p>
        </w:tc>
        <w:tc>
          <w:tcPr>
            <w:tcW w:w="760" w:type="dxa"/>
            <w:vAlign w:val="bottom"/>
            <w:shd w:val="clear" w:color="auto" w:fill="E8F7F7"/>
          </w:tcPr>
          <w:p>
            <w:pPr>
              <w:spacing w:after="0"/>
              <w:rPr>
                <w:sz w:val="9"/>
                <w:szCs w:val="9"/>
                <w:color w:val="auto"/>
              </w:rPr>
            </w:pPr>
          </w:p>
        </w:tc>
        <w:tc>
          <w:tcPr>
            <w:tcW w:w="940" w:type="dxa"/>
            <w:vAlign w:val="bottom"/>
            <w:shd w:val="clear" w:color="auto" w:fill="E8F7F7"/>
          </w:tcPr>
          <w:p>
            <w:pPr>
              <w:spacing w:after="0"/>
              <w:rPr>
                <w:sz w:val="9"/>
                <w:szCs w:val="9"/>
                <w:color w:val="auto"/>
              </w:rPr>
            </w:pPr>
          </w:p>
        </w:tc>
        <w:tc>
          <w:tcPr>
            <w:tcW w:w="880" w:type="dxa"/>
            <w:vAlign w:val="bottom"/>
            <w:shd w:val="clear" w:color="auto" w:fill="E8F7F7"/>
          </w:tcPr>
          <w:p>
            <w:pPr>
              <w:spacing w:after="0"/>
              <w:rPr>
                <w:sz w:val="9"/>
                <w:szCs w:val="9"/>
                <w:color w:val="auto"/>
              </w:rPr>
            </w:pPr>
          </w:p>
        </w:tc>
        <w:tc>
          <w:tcPr>
            <w:tcW w:w="1080" w:type="dxa"/>
            <w:vAlign w:val="bottom"/>
            <w:shd w:val="clear" w:color="auto" w:fill="E8F7F7"/>
          </w:tcPr>
          <w:p>
            <w:pPr>
              <w:spacing w:after="0"/>
              <w:rPr>
                <w:sz w:val="9"/>
                <w:szCs w:val="9"/>
                <w:color w:val="auto"/>
              </w:rPr>
            </w:pPr>
          </w:p>
        </w:tc>
        <w:tc>
          <w:tcPr>
            <w:tcW w:w="840" w:type="dxa"/>
            <w:vAlign w:val="bottom"/>
            <w:shd w:val="clear" w:color="auto" w:fill="E8F7F7"/>
          </w:tcPr>
          <w:p>
            <w:pPr>
              <w:spacing w:after="0"/>
              <w:rPr>
                <w:sz w:val="9"/>
                <w:szCs w:val="9"/>
                <w:color w:val="auto"/>
              </w:rPr>
            </w:pPr>
          </w:p>
        </w:tc>
        <w:tc>
          <w:tcPr>
            <w:tcW w:w="1680" w:type="dxa"/>
            <w:vAlign w:val="bottom"/>
            <w:vMerge w:val="continue"/>
            <w:shd w:val="clear" w:color="auto" w:fill="E8F7F7"/>
          </w:tcPr>
          <w:p>
            <w:pPr>
              <w:spacing w:after="0"/>
              <w:rPr>
                <w:sz w:val="9"/>
                <w:szCs w:val="9"/>
                <w:color w:val="auto"/>
              </w:rPr>
            </w:pPr>
          </w:p>
        </w:tc>
        <w:tc>
          <w:tcPr>
            <w:tcW w:w="1660" w:type="dxa"/>
            <w:vAlign w:val="bottom"/>
            <w:shd w:val="clear" w:color="auto" w:fill="E8F7F7"/>
          </w:tcPr>
          <w:p>
            <w:pPr>
              <w:spacing w:after="0"/>
              <w:rPr>
                <w:sz w:val="9"/>
                <w:szCs w:val="9"/>
                <w:color w:val="auto"/>
              </w:rPr>
            </w:pPr>
          </w:p>
        </w:tc>
        <w:tc>
          <w:tcPr>
            <w:tcW w:w="940" w:type="dxa"/>
            <w:vAlign w:val="bottom"/>
            <w:shd w:val="clear" w:color="auto" w:fill="E8F7F7"/>
          </w:tcPr>
          <w:p>
            <w:pPr>
              <w:spacing w:after="0"/>
              <w:rPr>
                <w:sz w:val="9"/>
                <w:szCs w:val="9"/>
                <w:color w:val="auto"/>
              </w:rPr>
            </w:pPr>
          </w:p>
        </w:tc>
        <w:tc>
          <w:tcPr>
            <w:tcW w:w="0" w:type="dxa"/>
            <w:vAlign w:val="bottom"/>
          </w:tcPr>
          <w:p>
            <w:pPr>
              <w:spacing w:after="0"/>
              <w:rPr>
                <w:sz w:val="1"/>
                <w:szCs w:val="1"/>
                <w:color w:val="auto"/>
              </w:rPr>
            </w:pPr>
          </w:p>
        </w:tc>
      </w:tr>
      <w:tr>
        <w:trPr>
          <w:trHeight w:val="247"/>
        </w:trPr>
        <w:tc>
          <w:tcPr>
            <w:tcW w:w="2460" w:type="dxa"/>
            <w:vAlign w:val="bottom"/>
            <w:tcBorders>
              <w:bottom w:val="single" w:sz="8" w:color="auto"/>
            </w:tcBorders>
            <w:shd w:val="clear" w:color="auto" w:fill="E8F7F7"/>
          </w:tcPr>
          <w:p>
            <w:pPr>
              <w:spacing w:after="0"/>
              <w:rPr>
                <w:sz w:val="21"/>
                <w:szCs w:val="21"/>
                <w:color w:val="auto"/>
              </w:rPr>
            </w:pPr>
          </w:p>
        </w:tc>
        <w:tc>
          <w:tcPr>
            <w:tcW w:w="760" w:type="dxa"/>
            <w:vAlign w:val="bottom"/>
            <w:tcBorders>
              <w:bottom w:val="single" w:sz="8" w:color="auto"/>
            </w:tcBorders>
            <w:shd w:val="clear" w:color="auto" w:fill="E8F7F7"/>
          </w:tcPr>
          <w:p>
            <w:pPr>
              <w:spacing w:after="0"/>
              <w:rPr>
                <w:sz w:val="21"/>
                <w:szCs w:val="21"/>
                <w:color w:val="auto"/>
              </w:rPr>
            </w:pPr>
          </w:p>
        </w:tc>
        <w:tc>
          <w:tcPr>
            <w:tcW w:w="940" w:type="dxa"/>
            <w:vAlign w:val="bottom"/>
            <w:tcBorders>
              <w:bottom w:val="single" w:sz="8" w:color="auto"/>
            </w:tcBorders>
            <w:shd w:val="clear" w:color="auto" w:fill="E8F7F7"/>
          </w:tcPr>
          <w:p>
            <w:pPr>
              <w:jc w:val="right"/>
              <w:ind w:right="287"/>
              <w:spacing w:after="0"/>
              <w:rPr>
                <w:sz w:val="20"/>
                <w:szCs w:val="20"/>
                <w:color w:val="auto"/>
              </w:rPr>
            </w:pPr>
            <w:r>
              <w:rPr>
                <w:rFonts w:ascii="Arial" w:cs="Arial" w:eastAsia="Arial" w:hAnsi="Arial"/>
                <w:sz w:val="16"/>
                <w:szCs w:val="16"/>
                <w:b w:val="1"/>
                <w:bCs w:val="1"/>
                <w:color w:val="auto"/>
              </w:rPr>
              <w:t>($)</w:t>
            </w:r>
          </w:p>
        </w:tc>
        <w:tc>
          <w:tcPr>
            <w:tcW w:w="880" w:type="dxa"/>
            <w:vAlign w:val="bottom"/>
            <w:tcBorders>
              <w:bottom w:val="single" w:sz="8" w:color="auto"/>
            </w:tcBorders>
            <w:shd w:val="clear" w:color="auto" w:fill="E8F7F7"/>
          </w:tcPr>
          <w:p>
            <w:pPr>
              <w:jc w:val="center"/>
              <w:ind w:right="7"/>
              <w:spacing w:after="0"/>
              <w:rPr>
                <w:sz w:val="20"/>
                <w:szCs w:val="20"/>
                <w:color w:val="auto"/>
              </w:rPr>
            </w:pPr>
            <w:r>
              <w:rPr>
                <w:rFonts w:ascii="Arial" w:cs="Arial" w:eastAsia="Arial" w:hAnsi="Arial"/>
                <w:sz w:val="16"/>
                <w:szCs w:val="16"/>
                <w:b w:val="1"/>
                <w:bCs w:val="1"/>
                <w:color w:val="auto"/>
              </w:rPr>
              <w:t>($)</w:t>
            </w:r>
          </w:p>
        </w:tc>
        <w:tc>
          <w:tcPr>
            <w:tcW w:w="1080" w:type="dxa"/>
            <w:vAlign w:val="bottom"/>
            <w:tcBorders>
              <w:bottom w:val="single" w:sz="8" w:color="auto"/>
            </w:tcBorders>
            <w:shd w:val="clear" w:color="auto" w:fill="E8F7F7"/>
          </w:tcPr>
          <w:p>
            <w:pPr>
              <w:jc w:val="right"/>
              <w:ind w:right="326"/>
              <w:spacing w:after="0"/>
              <w:rPr>
                <w:sz w:val="20"/>
                <w:szCs w:val="20"/>
                <w:color w:val="auto"/>
              </w:rPr>
            </w:pPr>
            <w:r>
              <w:rPr>
                <w:rFonts w:ascii="Arial" w:cs="Arial" w:eastAsia="Arial" w:hAnsi="Arial"/>
                <w:sz w:val="16"/>
                <w:szCs w:val="16"/>
                <w:b w:val="1"/>
                <w:bCs w:val="1"/>
                <w:color w:val="auto"/>
              </w:rPr>
              <w:t>($) (1)</w:t>
            </w:r>
          </w:p>
        </w:tc>
        <w:tc>
          <w:tcPr>
            <w:tcW w:w="840" w:type="dxa"/>
            <w:vAlign w:val="bottom"/>
            <w:tcBorders>
              <w:bottom w:val="single" w:sz="8" w:color="auto"/>
            </w:tcBorders>
            <w:shd w:val="clear" w:color="auto" w:fill="E8F7F7"/>
          </w:tcPr>
          <w:p>
            <w:pPr>
              <w:jc w:val="center"/>
              <w:ind w:right="46"/>
              <w:spacing w:after="0"/>
              <w:rPr>
                <w:sz w:val="20"/>
                <w:szCs w:val="20"/>
                <w:color w:val="auto"/>
              </w:rPr>
            </w:pPr>
            <w:r>
              <w:rPr>
                <w:rFonts w:ascii="Arial" w:cs="Arial" w:eastAsia="Arial" w:hAnsi="Arial"/>
                <w:sz w:val="16"/>
                <w:szCs w:val="16"/>
                <w:b w:val="1"/>
                <w:bCs w:val="1"/>
                <w:color w:val="auto"/>
              </w:rPr>
              <w:t>($)</w:t>
            </w:r>
          </w:p>
        </w:tc>
        <w:tc>
          <w:tcPr>
            <w:tcW w:w="1680" w:type="dxa"/>
            <w:vAlign w:val="bottom"/>
            <w:tcBorders>
              <w:bottom w:val="single" w:sz="8" w:color="auto"/>
            </w:tcBorders>
            <w:shd w:val="clear" w:color="auto" w:fill="E8F7F7"/>
          </w:tcPr>
          <w:p>
            <w:pPr>
              <w:jc w:val="center"/>
              <w:ind w:right="86"/>
              <w:spacing w:after="0"/>
              <w:rPr>
                <w:sz w:val="20"/>
                <w:szCs w:val="20"/>
                <w:color w:val="auto"/>
              </w:rPr>
            </w:pPr>
            <w:r>
              <w:rPr>
                <w:rFonts w:ascii="Arial" w:cs="Arial" w:eastAsia="Arial" w:hAnsi="Arial"/>
                <w:sz w:val="16"/>
                <w:szCs w:val="16"/>
                <w:b w:val="1"/>
                <w:bCs w:val="1"/>
                <w:color w:val="auto"/>
              </w:rPr>
              <w:t>($) (2)</w:t>
            </w:r>
          </w:p>
        </w:tc>
        <w:tc>
          <w:tcPr>
            <w:tcW w:w="1660" w:type="dxa"/>
            <w:vAlign w:val="bottom"/>
            <w:tcBorders>
              <w:bottom w:val="single" w:sz="8" w:color="auto"/>
            </w:tcBorders>
            <w:shd w:val="clear" w:color="auto" w:fill="E8F7F7"/>
          </w:tcPr>
          <w:p>
            <w:pPr>
              <w:jc w:val="center"/>
              <w:ind w:right="226"/>
              <w:spacing w:after="0"/>
              <w:rPr>
                <w:sz w:val="20"/>
                <w:szCs w:val="20"/>
                <w:color w:val="auto"/>
              </w:rPr>
            </w:pPr>
            <w:r>
              <w:rPr>
                <w:rFonts w:ascii="Arial" w:cs="Arial" w:eastAsia="Arial" w:hAnsi="Arial"/>
                <w:sz w:val="16"/>
                <w:szCs w:val="16"/>
                <w:b w:val="1"/>
                <w:bCs w:val="1"/>
                <w:color w:val="auto"/>
              </w:rPr>
              <w:t>($) (3)</w:t>
            </w:r>
          </w:p>
        </w:tc>
        <w:tc>
          <w:tcPr>
            <w:tcW w:w="940" w:type="dxa"/>
            <w:vAlign w:val="bottom"/>
            <w:tcBorders>
              <w:bottom w:val="single" w:sz="8" w:color="auto"/>
            </w:tcBorders>
            <w:shd w:val="clear" w:color="auto" w:fill="E8F7F7"/>
          </w:tcPr>
          <w:p>
            <w:pPr>
              <w:jc w:val="right"/>
              <w:ind w:right="387"/>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236"/>
        </w:trPr>
        <w:tc>
          <w:tcPr>
            <w:tcW w:w="2460" w:type="dxa"/>
            <w:vAlign w:val="bottom"/>
            <w:vMerge w:val="restart"/>
          </w:tcPr>
          <w:p>
            <w:pPr>
              <w:ind w:left="20"/>
              <w:spacing w:after="0"/>
              <w:rPr>
                <w:sz w:val="20"/>
                <w:szCs w:val="20"/>
                <w:color w:val="auto"/>
              </w:rPr>
            </w:pPr>
            <w:r>
              <w:rPr>
                <w:rFonts w:ascii="Arial" w:cs="Arial" w:eastAsia="Arial" w:hAnsi="Arial"/>
                <w:sz w:val="16"/>
                <w:szCs w:val="16"/>
                <w:color w:val="auto"/>
              </w:rPr>
              <w:t>David B. Foss</w:t>
            </w:r>
          </w:p>
        </w:tc>
        <w:tc>
          <w:tcPr>
            <w:tcW w:w="760" w:type="dxa"/>
            <w:vAlign w:val="bottom"/>
            <w:tcBorders>
              <w:bottom w:val="single" w:sz="8" w:color="DBDBDB"/>
            </w:tcBorders>
          </w:tcPr>
          <w:p>
            <w:pPr>
              <w:jc w:val="right"/>
              <w:ind w:right="207"/>
              <w:spacing w:after="0"/>
              <w:rPr>
                <w:sz w:val="20"/>
                <w:szCs w:val="20"/>
                <w:color w:val="auto"/>
              </w:rPr>
            </w:pPr>
            <w:r>
              <w:rPr>
                <w:rFonts w:ascii="Arial" w:cs="Arial" w:eastAsia="Arial" w:hAnsi="Arial"/>
                <w:sz w:val="14"/>
                <w:szCs w:val="14"/>
                <w:color w:val="auto"/>
              </w:rPr>
              <w:t>2024</w:t>
            </w:r>
          </w:p>
        </w:tc>
        <w:tc>
          <w:tcPr>
            <w:tcW w:w="94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865,000</w:t>
            </w:r>
          </w:p>
        </w:tc>
        <w:tc>
          <w:tcPr>
            <w:tcW w:w="880" w:type="dxa"/>
            <w:vAlign w:val="bottom"/>
            <w:tcBorders>
              <w:bottom w:val="single" w:sz="8" w:color="DBDBDB"/>
            </w:tcBorders>
          </w:tcPr>
          <w:p>
            <w:pPr>
              <w:jc w:val="center"/>
              <w:ind w:right="7"/>
              <w:spacing w:after="0"/>
              <w:rPr>
                <w:sz w:val="20"/>
                <w:szCs w:val="20"/>
                <w:color w:val="auto"/>
              </w:rPr>
            </w:pPr>
            <w:r>
              <w:rPr>
                <w:rFonts w:ascii="Arial" w:cs="Arial" w:eastAsia="Arial" w:hAnsi="Arial"/>
                <w:sz w:val="14"/>
                <w:szCs w:val="14"/>
                <w:color w:val="auto"/>
                <w:w w:val="84"/>
              </w:rPr>
              <w:t>-</w:t>
            </w:r>
          </w:p>
        </w:tc>
        <w:tc>
          <w:tcPr>
            <w:tcW w:w="1080" w:type="dxa"/>
            <w:vAlign w:val="bottom"/>
            <w:tcBorders>
              <w:bottom w:val="single" w:sz="8" w:color="DBDBDB"/>
            </w:tcBorders>
          </w:tcPr>
          <w:p>
            <w:pPr>
              <w:jc w:val="right"/>
              <w:ind w:right="6"/>
              <w:spacing w:after="0"/>
              <w:rPr>
                <w:sz w:val="20"/>
                <w:szCs w:val="20"/>
                <w:color w:val="auto"/>
              </w:rPr>
            </w:pPr>
            <w:r>
              <w:rPr>
                <w:rFonts w:ascii="Arial" w:cs="Arial" w:eastAsia="Arial" w:hAnsi="Arial"/>
                <w:sz w:val="14"/>
                <w:szCs w:val="14"/>
                <w:color w:val="auto"/>
              </w:rPr>
              <w:t>8,728,670</w:t>
            </w:r>
          </w:p>
        </w:tc>
        <w:tc>
          <w:tcPr>
            <w:tcW w:w="840" w:type="dxa"/>
            <w:vAlign w:val="bottom"/>
            <w:tcBorders>
              <w:bottom w:val="single" w:sz="8" w:color="DBDBDB"/>
            </w:tcBorders>
          </w:tcPr>
          <w:p>
            <w:pPr>
              <w:jc w:val="center"/>
              <w:ind w:right="26"/>
              <w:spacing w:after="0"/>
              <w:rPr>
                <w:sz w:val="20"/>
                <w:szCs w:val="20"/>
                <w:color w:val="auto"/>
              </w:rPr>
            </w:pPr>
            <w:r>
              <w:rPr>
                <w:rFonts w:ascii="Arial" w:cs="Arial" w:eastAsia="Arial" w:hAnsi="Arial"/>
                <w:sz w:val="14"/>
                <w:szCs w:val="14"/>
                <w:color w:val="auto"/>
              </w:rPr>
              <w:t>-</w:t>
            </w:r>
          </w:p>
        </w:tc>
        <w:tc>
          <w:tcPr>
            <w:tcW w:w="1680" w:type="dxa"/>
            <w:vAlign w:val="bottom"/>
            <w:tcBorders>
              <w:bottom w:val="single" w:sz="8" w:color="DBDBDB"/>
            </w:tcBorders>
          </w:tcPr>
          <w:p>
            <w:pPr>
              <w:jc w:val="right"/>
              <w:ind w:right="66"/>
              <w:spacing w:after="0"/>
              <w:rPr>
                <w:sz w:val="20"/>
                <w:szCs w:val="20"/>
                <w:color w:val="auto"/>
              </w:rPr>
            </w:pPr>
            <w:r>
              <w:rPr>
                <w:rFonts w:ascii="Arial" w:cs="Arial" w:eastAsia="Arial" w:hAnsi="Arial"/>
                <w:sz w:val="14"/>
                <w:szCs w:val="14"/>
                <w:color w:val="auto"/>
              </w:rPr>
              <w:t>1,352,968</w:t>
            </w:r>
          </w:p>
        </w:tc>
        <w:tc>
          <w:tcPr>
            <w:tcW w:w="1660" w:type="dxa"/>
            <w:vAlign w:val="bottom"/>
            <w:tcBorders>
              <w:bottom w:val="single" w:sz="8" w:color="DBDBDB"/>
            </w:tcBorders>
          </w:tcPr>
          <w:p>
            <w:pPr>
              <w:jc w:val="right"/>
              <w:ind w:right="146"/>
              <w:spacing w:after="0"/>
              <w:rPr>
                <w:sz w:val="20"/>
                <w:szCs w:val="20"/>
                <w:color w:val="auto"/>
              </w:rPr>
            </w:pPr>
            <w:r>
              <w:rPr>
                <w:rFonts w:ascii="Arial" w:cs="Arial" w:eastAsia="Arial" w:hAnsi="Arial"/>
                <w:sz w:val="14"/>
                <w:szCs w:val="14"/>
                <w:color w:val="auto"/>
              </w:rPr>
              <w:t>16,500</w:t>
            </w:r>
          </w:p>
        </w:tc>
        <w:tc>
          <w:tcPr>
            <w:tcW w:w="94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10,963,138</w:t>
            </w:r>
          </w:p>
        </w:tc>
        <w:tc>
          <w:tcPr>
            <w:tcW w:w="0" w:type="dxa"/>
            <w:vAlign w:val="bottom"/>
          </w:tcPr>
          <w:p>
            <w:pPr>
              <w:spacing w:after="0"/>
              <w:rPr>
                <w:sz w:val="1"/>
                <w:szCs w:val="1"/>
                <w:color w:val="auto"/>
              </w:rPr>
            </w:pPr>
          </w:p>
        </w:tc>
      </w:tr>
      <w:tr>
        <w:trPr>
          <w:trHeight w:val="91"/>
        </w:trPr>
        <w:tc>
          <w:tcPr>
            <w:tcW w:w="2460" w:type="dxa"/>
            <w:vAlign w:val="bottom"/>
            <w:vMerge w:val="continue"/>
          </w:tcPr>
          <w:p>
            <w:pPr>
              <w:spacing w:after="0"/>
              <w:rPr>
                <w:sz w:val="7"/>
                <w:szCs w:val="7"/>
                <w:color w:val="auto"/>
              </w:rPr>
            </w:pPr>
          </w:p>
        </w:tc>
        <w:tc>
          <w:tcPr>
            <w:tcW w:w="760" w:type="dxa"/>
            <w:vAlign w:val="bottom"/>
            <w:vMerge w:val="restart"/>
          </w:tcPr>
          <w:p>
            <w:pPr>
              <w:jc w:val="right"/>
              <w:ind w:right="207"/>
              <w:spacing w:after="0"/>
              <w:rPr>
                <w:sz w:val="20"/>
                <w:szCs w:val="20"/>
                <w:color w:val="auto"/>
              </w:rPr>
            </w:pPr>
            <w:r>
              <w:rPr>
                <w:rFonts w:ascii="Arial" w:cs="Arial" w:eastAsia="Arial" w:hAnsi="Arial"/>
                <w:sz w:val="14"/>
                <w:szCs w:val="14"/>
                <w:color w:val="auto"/>
              </w:rPr>
              <w:t>2023</w:t>
            </w:r>
          </w:p>
        </w:tc>
        <w:tc>
          <w:tcPr>
            <w:tcW w:w="940" w:type="dxa"/>
            <w:vAlign w:val="bottom"/>
            <w:vMerge w:val="restart"/>
          </w:tcPr>
          <w:p>
            <w:pPr>
              <w:jc w:val="right"/>
              <w:spacing w:after="0"/>
              <w:rPr>
                <w:sz w:val="20"/>
                <w:szCs w:val="20"/>
                <w:color w:val="auto"/>
              </w:rPr>
            </w:pPr>
            <w:r>
              <w:rPr>
                <w:rFonts w:ascii="Arial" w:cs="Arial" w:eastAsia="Arial" w:hAnsi="Arial"/>
                <w:sz w:val="14"/>
                <w:szCs w:val="14"/>
                <w:color w:val="auto"/>
              </w:rPr>
              <w:t>858,750</w:t>
            </w:r>
          </w:p>
        </w:tc>
        <w:tc>
          <w:tcPr>
            <w:tcW w:w="880" w:type="dxa"/>
            <w:vAlign w:val="bottom"/>
            <w:vMerge w:val="restart"/>
          </w:tcPr>
          <w:p>
            <w:pPr>
              <w:jc w:val="center"/>
              <w:ind w:right="7"/>
              <w:spacing w:after="0"/>
              <w:rPr>
                <w:sz w:val="20"/>
                <w:szCs w:val="20"/>
                <w:color w:val="auto"/>
              </w:rPr>
            </w:pPr>
            <w:r>
              <w:rPr>
                <w:rFonts w:ascii="Arial" w:cs="Arial" w:eastAsia="Arial" w:hAnsi="Arial"/>
                <w:sz w:val="14"/>
                <w:szCs w:val="14"/>
                <w:color w:val="auto"/>
                <w:w w:val="84"/>
              </w:rPr>
              <w:t>-</w:t>
            </w:r>
          </w:p>
        </w:tc>
        <w:tc>
          <w:tcPr>
            <w:tcW w:w="1080" w:type="dxa"/>
            <w:vAlign w:val="bottom"/>
            <w:vMerge w:val="restart"/>
          </w:tcPr>
          <w:p>
            <w:pPr>
              <w:jc w:val="right"/>
              <w:ind w:right="6"/>
              <w:spacing w:after="0"/>
              <w:rPr>
                <w:sz w:val="20"/>
                <w:szCs w:val="20"/>
                <w:color w:val="auto"/>
              </w:rPr>
            </w:pPr>
            <w:r>
              <w:rPr>
                <w:rFonts w:ascii="Arial" w:cs="Arial" w:eastAsia="Arial" w:hAnsi="Arial"/>
                <w:sz w:val="14"/>
                <w:szCs w:val="14"/>
                <w:color w:val="auto"/>
              </w:rPr>
              <w:t>8,571,735</w:t>
            </w:r>
          </w:p>
        </w:tc>
        <w:tc>
          <w:tcPr>
            <w:tcW w:w="840" w:type="dxa"/>
            <w:vAlign w:val="bottom"/>
            <w:vMerge w:val="restart"/>
          </w:tcPr>
          <w:p>
            <w:pPr>
              <w:jc w:val="center"/>
              <w:ind w:right="26"/>
              <w:spacing w:after="0"/>
              <w:rPr>
                <w:sz w:val="20"/>
                <w:szCs w:val="20"/>
                <w:color w:val="auto"/>
              </w:rPr>
            </w:pPr>
            <w:r>
              <w:rPr>
                <w:rFonts w:ascii="Arial" w:cs="Arial" w:eastAsia="Arial" w:hAnsi="Arial"/>
                <w:sz w:val="14"/>
                <w:szCs w:val="14"/>
                <w:color w:val="auto"/>
              </w:rPr>
              <w:t>-</w:t>
            </w:r>
          </w:p>
        </w:tc>
        <w:tc>
          <w:tcPr>
            <w:tcW w:w="1680" w:type="dxa"/>
            <w:vAlign w:val="bottom"/>
            <w:vMerge w:val="restart"/>
          </w:tcPr>
          <w:p>
            <w:pPr>
              <w:jc w:val="right"/>
              <w:ind w:right="66"/>
              <w:spacing w:after="0"/>
              <w:rPr>
                <w:sz w:val="20"/>
                <w:szCs w:val="20"/>
                <w:color w:val="auto"/>
              </w:rPr>
            </w:pPr>
            <w:r>
              <w:rPr>
                <w:rFonts w:ascii="Arial" w:cs="Arial" w:eastAsia="Arial" w:hAnsi="Arial"/>
                <w:sz w:val="14"/>
                <w:szCs w:val="14"/>
                <w:color w:val="auto"/>
              </w:rPr>
              <w:t>991,979</w:t>
            </w:r>
          </w:p>
        </w:tc>
        <w:tc>
          <w:tcPr>
            <w:tcW w:w="1660" w:type="dxa"/>
            <w:vAlign w:val="bottom"/>
            <w:vMerge w:val="restart"/>
          </w:tcPr>
          <w:p>
            <w:pPr>
              <w:jc w:val="right"/>
              <w:ind w:right="146"/>
              <w:spacing w:after="0"/>
              <w:rPr>
                <w:sz w:val="20"/>
                <w:szCs w:val="20"/>
                <w:color w:val="auto"/>
              </w:rPr>
            </w:pPr>
            <w:r>
              <w:rPr>
                <w:rFonts w:ascii="Arial" w:cs="Arial" w:eastAsia="Arial" w:hAnsi="Arial"/>
                <w:sz w:val="14"/>
                <w:szCs w:val="14"/>
                <w:color w:val="auto"/>
              </w:rPr>
              <w:t>16,562</w:t>
            </w:r>
          </w:p>
        </w:tc>
        <w:tc>
          <w:tcPr>
            <w:tcW w:w="940" w:type="dxa"/>
            <w:vAlign w:val="bottom"/>
            <w:vMerge w:val="restart"/>
          </w:tcPr>
          <w:p>
            <w:pPr>
              <w:jc w:val="right"/>
              <w:spacing w:after="0"/>
              <w:rPr>
                <w:sz w:val="20"/>
                <w:szCs w:val="20"/>
                <w:color w:val="auto"/>
              </w:rPr>
            </w:pPr>
            <w:r>
              <w:rPr>
                <w:rFonts w:ascii="Arial" w:cs="Arial" w:eastAsia="Arial" w:hAnsi="Arial"/>
                <w:sz w:val="14"/>
                <w:szCs w:val="14"/>
                <w:color w:val="auto"/>
              </w:rPr>
              <w:t>10,439,026</w:t>
            </w:r>
          </w:p>
        </w:tc>
        <w:tc>
          <w:tcPr>
            <w:tcW w:w="0" w:type="dxa"/>
            <w:vAlign w:val="bottom"/>
          </w:tcPr>
          <w:p>
            <w:pPr>
              <w:spacing w:after="0"/>
              <w:rPr>
                <w:sz w:val="1"/>
                <w:szCs w:val="1"/>
                <w:color w:val="auto"/>
              </w:rPr>
            </w:pPr>
          </w:p>
        </w:tc>
      </w:tr>
      <w:tr>
        <w:trPr>
          <w:trHeight w:val="150"/>
        </w:trPr>
        <w:tc>
          <w:tcPr>
            <w:tcW w:w="2460" w:type="dxa"/>
            <w:vAlign w:val="bottom"/>
          </w:tcPr>
          <w:p>
            <w:pPr>
              <w:ind w:left="20"/>
              <w:spacing w:after="0" w:line="143" w:lineRule="exact"/>
              <w:rPr>
                <w:sz w:val="20"/>
                <w:szCs w:val="20"/>
                <w:color w:val="auto"/>
              </w:rPr>
            </w:pPr>
            <w:r>
              <w:rPr>
                <w:rFonts w:ascii="Arial" w:cs="Arial" w:eastAsia="Arial" w:hAnsi="Arial"/>
                <w:sz w:val="16"/>
                <w:szCs w:val="16"/>
                <w:color w:val="auto"/>
              </w:rPr>
              <w:t>Chief Executive Officer</w:t>
            </w:r>
          </w:p>
        </w:tc>
        <w:tc>
          <w:tcPr>
            <w:tcW w:w="760" w:type="dxa"/>
            <w:vAlign w:val="bottom"/>
            <w:tcBorders>
              <w:bottom w:val="single" w:sz="8" w:color="DBDBDB"/>
            </w:tcBorders>
            <w:vMerge w:val="continue"/>
          </w:tcPr>
          <w:p>
            <w:pPr>
              <w:spacing w:after="0"/>
              <w:rPr>
                <w:sz w:val="12"/>
                <w:szCs w:val="12"/>
                <w:color w:val="auto"/>
              </w:rPr>
            </w:pPr>
          </w:p>
        </w:tc>
        <w:tc>
          <w:tcPr>
            <w:tcW w:w="940" w:type="dxa"/>
            <w:vAlign w:val="bottom"/>
            <w:tcBorders>
              <w:bottom w:val="single" w:sz="8" w:color="DBDBDB"/>
            </w:tcBorders>
            <w:vMerge w:val="continue"/>
          </w:tcPr>
          <w:p>
            <w:pPr>
              <w:spacing w:after="0"/>
              <w:rPr>
                <w:sz w:val="12"/>
                <w:szCs w:val="12"/>
                <w:color w:val="auto"/>
              </w:rPr>
            </w:pPr>
          </w:p>
        </w:tc>
        <w:tc>
          <w:tcPr>
            <w:tcW w:w="880" w:type="dxa"/>
            <w:vAlign w:val="bottom"/>
            <w:tcBorders>
              <w:bottom w:val="single" w:sz="8" w:color="DBDBDB"/>
            </w:tcBorders>
            <w:vMerge w:val="continue"/>
          </w:tcPr>
          <w:p>
            <w:pPr>
              <w:spacing w:after="0"/>
              <w:rPr>
                <w:sz w:val="12"/>
                <w:szCs w:val="12"/>
                <w:color w:val="auto"/>
              </w:rPr>
            </w:pPr>
          </w:p>
        </w:tc>
        <w:tc>
          <w:tcPr>
            <w:tcW w:w="1080" w:type="dxa"/>
            <w:vAlign w:val="bottom"/>
            <w:tcBorders>
              <w:bottom w:val="single" w:sz="8" w:color="DBDBDB"/>
            </w:tcBorders>
            <w:vMerge w:val="continue"/>
          </w:tcPr>
          <w:p>
            <w:pPr>
              <w:spacing w:after="0"/>
              <w:rPr>
                <w:sz w:val="12"/>
                <w:szCs w:val="12"/>
                <w:color w:val="auto"/>
              </w:rPr>
            </w:pPr>
          </w:p>
        </w:tc>
        <w:tc>
          <w:tcPr>
            <w:tcW w:w="840" w:type="dxa"/>
            <w:vAlign w:val="bottom"/>
            <w:tcBorders>
              <w:bottom w:val="single" w:sz="8" w:color="DBDBDB"/>
            </w:tcBorders>
            <w:vMerge w:val="continue"/>
          </w:tcPr>
          <w:p>
            <w:pPr>
              <w:spacing w:after="0"/>
              <w:rPr>
                <w:sz w:val="12"/>
                <w:szCs w:val="12"/>
                <w:color w:val="auto"/>
              </w:rPr>
            </w:pPr>
          </w:p>
        </w:tc>
        <w:tc>
          <w:tcPr>
            <w:tcW w:w="1680" w:type="dxa"/>
            <w:vAlign w:val="bottom"/>
            <w:tcBorders>
              <w:bottom w:val="single" w:sz="8" w:color="DBDBDB"/>
            </w:tcBorders>
            <w:vMerge w:val="continue"/>
          </w:tcPr>
          <w:p>
            <w:pPr>
              <w:spacing w:after="0"/>
              <w:rPr>
                <w:sz w:val="12"/>
                <w:szCs w:val="12"/>
                <w:color w:val="auto"/>
              </w:rPr>
            </w:pPr>
          </w:p>
        </w:tc>
        <w:tc>
          <w:tcPr>
            <w:tcW w:w="1660" w:type="dxa"/>
            <w:vAlign w:val="bottom"/>
            <w:tcBorders>
              <w:bottom w:val="single" w:sz="8" w:color="DBDBDB"/>
            </w:tcBorders>
            <w:vMerge w:val="continue"/>
          </w:tcPr>
          <w:p>
            <w:pPr>
              <w:spacing w:after="0"/>
              <w:rPr>
                <w:sz w:val="12"/>
                <w:szCs w:val="12"/>
                <w:color w:val="auto"/>
              </w:rPr>
            </w:pPr>
          </w:p>
        </w:tc>
        <w:tc>
          <w:tcPr>
            <w:tcW w:w="940" w:type="dxa"/>
            <w:vAlign w:val="bottom"/>
            <w:tcBorders>
              <w:bottom w:val="single" w:sz="8" w:color="DBDBDB"/>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37"/>
        </w:trPr>
        <w:tc>
          <w:tcPr>
            <w:tcW w:w="2460" w:type="dxa"/>
            <w:vAlign w:val="bottom"/>
            <w:tcBorders>
              <w:bottom w:val="single" w:sz="8" w:color="DBDBDB"/>
            </w:tcBorders>
          </w:tcPr>
          <w:p>
            <w:pPr>
              <w:spacing w:after="0"/>
              <w:rPr>
                <w:sz w:val="20"/>
                <w:szCs w:val="20"/>
                <w:color w:val="auto"/>
              </w:rPr>
            </w:pPr>
          </w:p>
        </w:tc>
        <w:tc>
          <w:tcPr>
            <w:tcW w:w="760" w:type="dxa"/>
            <w:vAlign w:val="bottom"/>
            <w:tcBorders>
              <w:bottom w:val="single" w:sz="8" w:color="DBDBDB"/>
            </w:tcBorders>
          </w:tcPr>
          <w:p>
            <w:pPr>
              <w:jc w:val="right"/>
              <w:ind w:right="207"/>
              <w:spacing w:after="0"/>
              <w:rPr>
                <w:sz w:val="20"/>
                <w:szCs w:val="20"/>
                <w:color w:val="auto"/>
              </w:rPr>
            </w:pPr>
            <w:r>
              <w:rPr>
                <w:rFonts w:ascii="Arial" w:cs="Arial" w:eastAsia="Arial" w:hAnsi="Arial"/>
                <w:sz w:val="14"/>
                <w:szCs w:val="14"/>
                <w:color w:val="auto"/>
              </w:rPr>
              <w:t>2022</w:t>
            </w:r>
          </w:p>
        </w:tc>
        <w:tc>
          <w:tcPr>
            <w:tcW w:w="94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840,000</w:t>
            </w:r>
          </w:p>
        </w:tc>
        <w:tc>
          <w:tcPr>
            <w:tcW w:w="880" w:type="dxa"/>
            <w:vAlign w:val="bottom"/>
            <w:tcBorders>
              <w:bottom w:val="single" w:sz="8" w:color="DBDBDB"/>
            </w:tcBorders>
          </w:tcPr>
          <w:p>
            <w:pPr>
              <w:jc w:val="center"/>
              <w:ind w:right="7"/>
              <w:spacing w:after="0"/>
              <w:rPr>
                <w:sz w:val="20"/>
                <w:szCs w:val="20"/>
                <w:color w:val="auto"/>
              </w:rPr>
            </w:pPr>
            <w:r>
              <w:rPr>
                <w:rFonts w:ascii="Arial" w:cs="Arial" w:eastAsia="Arial" w:hAnsi="Arial"/>
                <w:sz w:val="14"/>
                <w:szCs w:val="14"/>
                <w:color w:val="auto"/>
                <w:w w:val="84"/>
              </w:rPr>
              <w:t>-</w:t>
            </w:r>
          </w:p>
        </w:tc>
        <w:tc>
          <w:tcPr>
            <w:tcW w:w="1080" w:type="dxa"/>
            <w:vAlign w:val="bottom"/>
            <w:tcBorders>
              <w:bottom w:val="single" w:sz="8" w:color="DBDBDB"/>
            </w:tcBorders>
          </w:tcPr>
          <w:p>
            <w:pPr>
              <w:jc w:val="right"/>
              <w:ind w:right="6"/>
              <w:spacing w:after="0"/>
              <w:rPr>
                <w:sz w:val="20"/>
                <w:szCs w:val="20"/>
                <w:color w:val="auto"/>
              </w:rPr>
            </w:pPr>
            <w:r>
              <w:rPr>
                <w:rFonts w:ascii="Arial" w:cs="Arial" w:eastAsia="Arial" w:hAnsi="Arial"/>
                <w:sz w:val="14"/>
                <w:szCs w:val="14"/>
                <w:color w:val="auto"/>
              </w:rPr>
              <w:t>7,557,777</w:t>
            </w:r>
          </w:p>
        </w:tc>
        <w:tc>
          <w:tcPr>
            <w:tcW w:w="840" w:type="dxa"/>
            <w:vAlign w:val="bottom"/>
            <w:tcBorders>
              <w:bottom w:val="single" w:sz="8" w:color="DBDBDB"/>
            </w:tcBorders>
          </w:tcPr>
          <w:p>
            <w:pPr>
              <w:jc w:val="center"/>
              <w:ind w:right="26"/>
              <w:spacing w:after="0"/>
              <w:rPr>
                <w:sz w:val="20"/>
                <w:szCs w:val="20"/>
                <w:color w:val="auto"/>
              </w:rPr>
            </w:pPr>
            <w:r>
              <w:rPr>
                <w:rFonts w:ascii="Arial" w:cs="Arial" w:eastAsia="Arial" w:hAnsi="Arial"/>
                <w:sz w:val="14"/>
                <w:szCs w:val="14"/>
                <w:color w:val="auto"/>
              </w:rPr>
              <w:t>-</w:t>
            </w:r>
          </w:p>
        </w:tc>
        <w:tc>
          <w:tcPr>
            <w:tcW w:w="1680" w:type="dxa"/>
            <w:vAlign w:val="bottom"/>
            <w:tcBorders>
              <w:bottom w:val="single" w:sz="8" w:color="DBDBDB"/>
            </w:tcBorders>
          </w:tcPr>
          <w:p>
            <w:pPr>
              <w:jc w:val="right"/>
              <w:ind w:right="66"/>
              <w:spacing w:after="0"/>
              <w:rPr>
                <w:sz w:val="20"/>
                <w:szCs w:val="20"/>
                <w:color w:val="auto"/>
              </w:rPr>
            </w:pPr>
            <w:r>
              <w:rPr>
                <w:rFonts w:ascii="Arial" w:cs="Arial" w:eastAsia="Arial" w:hAnsi="Arial"/>
                <w:sz w:val="14"/>
                <w:szCs w:val="14"/>
                <w:color w:val="auto"/>
              </w:rPr>
              <w:t>1,345,365</w:t>
            </w:r>
          </w:p>
        </w:tc>
        <w:tc>
          <w:tcPr>
            <w:tcW w:w="1660" w:type="dxa"/>
            <w:vAlign w:val="bottom"/>
            <w:tcBorders>
              <w:bottom w:val="single" w:sz="8" w:color="DBDBDB"/>
            </w:tcBorders>
          </w:tcPr>
          <w:p>
            <w:pPr>
              <w:jc w:val="right"/>
              <w:ind w:right="146"/>
              <w:spacing w:after="0"/>
              <w:rPr>
                <w:sz w:val="20"/>
                <w:szCs w:val="20"/>
                <w:color w:val="auto"/>
              </w:rPr>
            </w:pPr>
            <w:r>
              <w:rPr>
                <w:rFonts w:ascii="Arial" w:cs="Arial" w:eastAsia="Arial" w:hAnsi="Arial"/>
                <w:sz w:val="14"/>
                <w:szCs w:val="14"/>
                <w:color w:val="auto"/>
              </w:rPr>
              <w:t>15,250</w:t>
            </w:r>
          </w:p>
        </w:tc>
        <w:tc>
          <w:tcPr>
            <w:tcW w:w="94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9,758,392</w:t>
            </w:r>
          </w:p>
        </w:tc>
        <w:tc>
          <w:tcPr>
            <w:tcW w:w="0" w:type="dxa"/>
            <w:vAlign w:val="bottom"/>
          </w:tcPr>
          <w:p>
            <w:pPr>
              <w:spacing w:after="0"/>
              <w:rPr>
                <w:sz w:val="1"/>
                <w:szCs w:val="1"/>
                <w:color w:val="auto"/>
              </w:rPr>
            </w:pPr>
          </w:p>
        </w:tc>
      </w:tr>
      <w:tr>
        <w:trPr>
          <w:trHeight w:val="259"/>
        </w:trPr>
        <w:tc>
          <w:tcPr>
            <w:tcW w:w="2460" w:type="dxa"/>
            <w:vAlign w:val="bottom"/>
            <w:tcBorders>
              <w:bottom w:val="single" w:sz="8" w:color="E7ECF0"/>
            </w:tcBorders>
            <w:shd w:val="clear" w:color="auto" w:fill="E7ECF0"/>
          </w:tcPr>
          <w:p>
            <w:pPr>
              <w:ind w:left="20"/>
              <w:spacing w:after="0"/>
              <w:rPr>
                <w:sz w:val="20"/>
                <w:szCs w:val="20"/>
                <w:color w:val="auto"/>
              </w:rPr>
            </w:pPr>
            <w:r>
              <w:rPr>
                <w:rFonts w:ascii="Arial" w:cs="Arial" w:eastAsia="Arial" w:hAnsi="Arial"/>
                <w:sz w:val="16"/>
                <w:szCs w:val="16"/>
                <w:color w:val="auto"/>
              </w:rPr>
              <w:t>Gregory R. Adelson</w:t>
            </w:r>
          </w:p>
        </w:tc>
        <w:tc>
          <w:tcPr>
            <w:tcW w:w="760" w:type="dxa"/>
            <w:vAlign w:val="bottom"/>
            <w:tcBorders>
              <w:bottom w:val="single" w:sz="8" w:color="E7ECF0"/>
            </w:tcBorders>
            <w:shd w:val="clear" w:color="auto" w:fill="E7ECF0"/>
          </w:tcPr>
          <w:p>
            <w:pPr>
              <w:jc w:val="right"/>
              <w:ind w:right="207"/>
              <w:spacing w:after="0"/>
              <w:rPr>
                <w:sz w:val="20"/>
                <w:szCs w:val="20"/>
                <w:color w:val="auto"/>
              </w:rPr>
            </w:pPr>
            <w:r>
              <w:rPr>
                <w:rFonts w:ascii="Arial" w:cs="Arial" w:eastAsia="Arial" w:hAnsi="Arial"/>
                <w:sz w:val="14"/>
                <w:szCs w:val="14"/>
                <w:color w:val="auto"/>
              </w:rPr>
              <w:t>2024</w:t>
            </w:r>
          </w:p>
        </w:tc>
        <w:tc>
          <w:tcPr>
            <w:tcW w:w="940" w:type="dxa"/>
            <w:vAlign w:val="bottom"/>
            <w:tcBorders>
              <w:bottom w:val="single" w:sz="8" w:color="E7ECF0"/>
            </w:tcBorders>
            <w:shd w:val="clear" w:color="auto" w:fill="E7ECF0"/>
          </w:tcPr>
          <w:p>
            <w:pPr>
              <w:jc w:val="right"/>
              <w:spacing w:after="0"/>
              <w:rPr>
                <w:sz w:val="20"/>
                <w:szCs w:val="20"/>
                <w:color w:val="auto"/>
              </w:rPr>
            </w:pPr>
            <w:r>
              <w:rPr>
                <w:rFonts w:ascii="Arial" w:cs="Arial" w:eastAsia="Arial" w:hAnsi="Arial"/>
                <w:sz w:val="14"/>
                <w:szCs w:val="14"/>
                <w:color w:val="auto"/>
              </w:rPr>
              <w:t>580,750</w:t>
            </w:r>
          </w:p>
        </w:tc>
        <w:tc>
          <w:tcPr>
            <w:tcW w:w="880" w:type="dxa"/>
            <w:vAlign w:val="bottom"/>
            <w:tcBorders>
              <w:bottom w:val="single" w:sz="8" w:color="E7ECF0"/>
            </w:tcBorders>
            <w:shd w:val="clear" w:color="auto" w:fill="E7ECF0"/>
          </w:tcPr>
          <w:p>
            <w:pPr>
              <w:jc w:val="center"/>
              <w:ind w:right="7"/>
              <w:spacing w:after="0"/>
              <w:rPr>
                <w:sz w:val="20"/>
                <w:szCs w:val="20"/>
                <w:color w:val="auto"/>
              </w:rPr>
            </w:pPr>
            <w:r>
              <w:rPr>
                <w:rFonts w:ascii="Arial" w:cs="Arial" w:eastAsia="Arial" w:hAnsi="Arial"/>
                <w:sz w:val="14"/>
                <w:szCs w:val="14"/>
                <w:color w:val="auto"/>
                <w:w w:val="84"/>
              </w:rPr>
              <w:t>-</w:t>
            </w:r>
          </w:p>
        </w:tc>
        <w:tc>
          <w:tcPr>
            <w:tcW w:w="1080" w:type="dxa"/>
            <w:vAlign w:val="bottom"/>
            <w:tcBorders>
              <w:bottom w:val="single" w:sz="8" w:color="E7ECF0"/>
            </w:tcBorders>
            <w:shd w:val="clear" w:color="auto" w:fill="E7ECF0"/>
          </w:tcPr>
          <w:p>
            <w:pPr>
              <w:jc w:val="right"/>
              <w:ind w:right="6"/>
              <w:spacing w:after="0"/>
              <w:rPr>
                <w:sz w:val="20"/>
                <w:szCs w:val="20"/>
                <w:color w:val="auto"/>
              </w:rPr>
            </w:pPr>
            <w:r>
              <w:rPr>
                <w:rFonts w:ascii="Arial" w:cs="Arial" w:eastAsia="Arial" w:hAnsi="Arial"/>
                <w:sz w:val="14"/>
                <w:szCs w:val="14"/>
                <w:color w:val="auto"/>
              </w:rPr>
              <w:t>2,038,836</w:t>
            </w:r>
          </w:p>
        </w:tc>
        <w:tc>
          <w:tcPr>
            <w:tcW w:w="840" w:type="dxa"/>
            <w:vAlign w:val="bottom"/>
            <w:tcBorders>
              <w:bottom w:val="single" w:sz="8" w:color="E7ECF0"/>
            </w:tcBorders>
            <w:shd w:val="clear" w:color="auto" w:fill="E7ECF0"/>
          </w:tcPr>
          <w:p>
            <w:pPr>
              <w:jc w:val="center"/>
              <w:ind w:right="26"/>
              <w:spacing w:after="0"/>
              <w:rPr>
                <w:sz w:val="20"/>
                <w:szCs w:val="20"/>
                <w:color w:val="auto"/>
              </w:rPr>
            </w:pPr>
            <w:r>
              <w:rPr>
                <w:rFonts w:ascii="Arial" w:cs="Arial" w:eastAsia="Arial" w:hAnsi="Arial"/>
                <w:sz w:val="14"/>
                <w:szCs w:val="14"/>
                <w:color w:val="auto"/>
              </w:rPr>
              <w:t>-</w:t>
            </w:r>
          </w:p>
        </w:tc>
        <w:tc>
          <w:tcPr>
            <w:tcW w:w="1680" w:type="dxa"/>
            <w:vAlign w:val="bottom"/>
            <w:tcBorders>
              <w:bottom w:val="single" w:sz="8" w:color="E7ECF0"/>
            </w:tcBorders>
            <w:shd w:val="clear" w:color="auto" w:fill="E7ECF0"/>
          </w:tcPr>
          <w:p>
            <w:pPr>
              <w:jc w:val="right"/>
              <w:ind w:right="66"/>
              <w:spacing w:after="0"/>
              <w:rPr>
                <w:sz w:val="20"/>
                <w:szCs w:val="20"/>
                <w:color w:val="auto"/>
              </w:rPr>
            </w:pPr>
            <w:r>
              <w:rPr>
                <w:rFonts w:ascii="Arial" w:cs="Arial" w:eastAsia="Arial" w:hAnsi="Arial"/>
                <w:sz w:val="14"/>
                <w:szCs w:val="14"/>
                <w:color w:val="auto"/>
              </w:rPr>
              <w:t>611,573</w:t>
            </w:r>
          </w:p>
        </w:tc>
        <w:tc>
          <w:tcPr>
            <w:tcW w:w="1660" w:type="dxa"/>
            <w:vAlign w:val="bottom"/>
            <w:tcBorders>
              <w:bottom w:val="single" w:sz="8" w:color="E7ECF0"/>
            </w:tcBorders>
            <w:shd w:val="clear" w:color="auto" w:fill="E7ECF0"/>
          </w:tcPr>
          <w:p>
            <w:pPr>
              <w:jc w:val="right"/>
              <w:ind w:right="146"/>
              <w:spacing w:after="0"/>
              <w:rPr>
                <w:sz w:val="20"/>
                <w:szCs w:val="20"/>
                <w:color w:val="auto"/>
              </w:rPr>
            </w:pPr>
            <w:r>
              <w:rPr>
                <w:rFonts w:ascii="Arial" w:cs="Arial" w:eastAsia="Arial" w:hAnsi="Arial"/>
                <w:sz w:val="14"/>
                <w:szCs w:val="14"/>
                <w:color w:val="auto"/>
              </w:rPr>
              <w:t>16,788</w:t>
            </w:r>
          </w:p>
        </w:tc>
        <w:tc>
          <w:tcPr>
            <w:tcW w:w="940" w:type="dxa"/>
            <w:vAlign w:val="bottom"/>
            <w:tcBorders>
              <w:bottom w:val="single" w:sz="8" w:color="E7ECF0"/>
            </w:tcBorders>
            <w:shd w:val="clear" w:color="auto" w:fill="E7ECF0"/>
          </w:tcPr>
          <w:p>
            <w:pPr>
              <w:jc w:val="right"/>
              <w:spacing w:after="0"/>
              <w:rPr>
                <w:sz w:val="20"/>
                <w:szCs w:val="20"/>
                <w:color w:val="auto"/>
              </w:rPr>
            </w:pPr>
            <w:r>
              <w:rPr>
                <w:rFonts w:ascii="Arial" w:cs="Arial" w:eastAsia="Arial" w:hAnsi="Arial"/>
                <w:sz w:val="14"/>
                <w:szCs w:val="14"/>
                <w:color w:val="auto"/>
              </w:rPr>
              <w:t>3,247,947</w:t>
            </w:r>
          </w:p>
        </w:tc>
        <w:tc>
          <w:tcPr>
            <w:tcW w:w="0" w:type="dxa"/>
            <w:vAlign w:val="bottom"/>
          </w:tcPr>
          <w:p>
            <w:pPr>
              <w:spacing w:after="0"/>
              <w:rPr>
                <w:sz w:val="1"/>
                <w:szCs w:val="1"/>
                <w:color w:val="auto"/>
              </w:rPr>
            </w:pPr>
          </w:p>
        </w:tc>
      </w:tr>
      <w:tr>
        <w:trPr>
          <w:trHeight w:val="101"/>
        </w:trPr>
        <w:tc>
          <w:tcPr>
            <w:tcW w:w="2460" w:type="dxa"/>
            <w:vAlign w:val="bottom"/>
            <w:tcBorders>
              <w:top w:val="single" w:sz="8" w:color="E7ECF0"/>
            </w:tcBorders>
            <w:shd w:val="clear" w:color="auto" w:fill="E7ECF0"/>
          </w:tcPr>
          <w:p>
            <w:pPr>
              <w:ind w:left="20"/>
              <w:spacing w:after="0" w:line="101" w:lineRule="exact"/>
              <w:rPr>
                <w:sz w:val="20"/>
                <w:szCs w:val="20"/>
                <w:color w:val="auto"/>
              </w:rPr>
            </w:pPr>
            <w:r>
              <w:rPr>
                <w:rFonts w:ascii="Arial" w:cs="Arial" w:eastAsia="Arial" w:hAnsi="Arial"/>
                <w:sz w:val="11"/>
                <w:szCs w:val="11"/>
                <w:color w:val="auto"/>
              </w:rPr>
              <w:t>President and Chief Operating</w:t>
            </w:r>
          </w:p>
        </w:tc>
        <w:tc>
          <w:tcPr>
            <w:tcW w:w="760" w:type="dxa"/>
            <w:vAlign w:val="bottom"/>
            <w:tcBorders>
              <w:top w:val="single" w:sz="8" w:color="DBDBDB"/>
            </w:tcBorders>
            <w:vMerge w:val="restart"/>
            <w:shd w:val="clear" w:color="auto" w:fill="E7ECF0"/>
          </w:tcPr>
          <w:p>
            <w:pPr>
              <w:jc w:val="right"/>
              <w:ind w:right="207"/>
              <w:spacing w:after="0"/>
              <w:rPr>
                <w:sz w:val="20"/>
                <w:szCs w:val="20"/>
                <w:color w:val="auto"/>
              </w:rPr>
            </w:pPr>
            <w:r>
              <w:rPr>
                <w:rFonts w:ascii="Arial" w:cs="Arial" w:eastAsia="Arial" w:hAnsi="Arial"/>
                <w:sz w:val="14"/>
                <w:szCs w:val="14"/>
                <w:color w:val="auto"/>
              </w:rPr>
              <w:t>2023</w:t>
            </w:r>
          </w:p>
        </w:tc>
        <w:tc>
          <w:tcPr>
            <w:tcW w:w="940" w:type="dxa"/>
            <w:vAlign w:val="bottom"/>
            <w:tcBorders>
              <w:top w:val="single" w:sz="8" w:color="DBDBDB"/>
            </w:tcBorders>
            <w:vMerge w:val="restart"/>
            <w:shd w:val="clear" w:color="auto" w:fill="E7ECF0"/>
          </w:tcPr>
          <w:p>
            <w:pPr>
              <w:jc w:val="right"/>
              <w:spacing w:after="0"/>
              <w:rPr>
                <w:sz w:val="20"/>
                <w:szCs w:val="20"/>
                <w:color w:val="auto"/>
              </w:rPr>
            </w:pPr>
            <w:r>
              <w:rPr>
                <w:rFonts w:ascii="Arial" w:cs="Arial" w:eastAsia="Arial" w:hAnsi="Arial"/>
                <w:sz w:val="14"/>
                <w:szCs w:val="14"/>
                <w:color w:val="auto"/>
              </w:rPr>
              <w:t>556,602</w:t>
            </w:r>
          </w:p>
        </w:tc>
        <w:tc>
          <w:tcPr>
            <w:tcW w:w="880" w:type="dxa"/>
            <w:vAlign w:val="bottom"/>
            <w:tcBorders>
              <w:top w:val="single" w:sz="8" w:color="DBDBDB"/>
            </w:tcBorders>
            <w:vMerge w:val="restart"/>
            <w:shd w:val="clear" w:color="auto" w:fill="E7ECF0"/>
          </w:tcPr>
          <w:p>
            <w:pPr>
              <w:jc w:val="center"/>
              <w:ind w:right="7"/>
              <w:spacing w:after="0"/>
              <w:rPr>
                <w:sz w:val="20"/>
                <w:szCs w:val="20"/>
                <w:color w:val="auto"/>
              </w:rPr>
            </w:pPr>
            <w:r>
              <w:rPr>
                <w:rFonts w:ascii="Arial" w:cs="Arial" w:eastAsia="Arial" w:hAnsi="Arial"/>
                <w:sz w:val="14"/>
                <w:szCs w:val="14"/>
                <w:color w:val="auto"/>
                <w:w w:val="84"/>
              </w:rPr>
              <w:t>-</w:t>
            </w:r>
          </w:p>
        </w:tc>
        <w:tc>
          <w:tcPr>
            <w:tcW w:w="1080" w:type="dxa"/>
            <w:vAlign w:val="bottom"/>
            <w:tcBorders>
              <w:top w:val="single" w:sz="8" w:color="DBDBDB"/>
            </w:tcBorders>
            <w:vMerge w:val="restart"/>
            <w:shd w:val="clear" w:color="auto" w:fill="E7ECF0"/>
          </w:tcPr>
          <w:p>
            <w:pPr>
              <w:jc w:val="right"/>
              <w:ind w:right="6"/>
              <w:spacing w:after="0"/>
              <w:rPr>
                <w:sz w:val="20"/>
                <w:szCs w:val="20"/>
                <w:color w:val="auto"/>
              </w:rPr>
            </w:pPr>
            <w:r>
              <w:rPr>
                <w:rFonts w:ascii="Arial" w:cs="Arial" w:eastAsia="Arial" w:hAnsi="Arial"/>
                <w:sz w:val="14"/>
                <w:szCs w:val="14"/>
                <w:color w:val="auto"/>
              </w:rPr>
              <w:t>1,478,556</w:t>
            </w:r>
          </w:p>
        </w:tc>
        <w:tc>
          <w:tcPr>
            <w:tcW w:w="840" w:type="dxa"/>
            <w:vAlign w:val="bottom"/>
            <w:tcBorders>
              <w:top w:val="single" w:sz="8" w:color="DBDBDB"/>
            </w:tcBorders>
            <w:vMerge w:val="restart"/>
            <w:shd w:val="clear" w:color="auto" w:fill="E7ECF0"/>
          </w:tcPr>
          <w:p>
            <w:pPr>
              <w:jc w:val="center"/>
              <w:ind w:right="26"/>
              <w:spacing w:after="0"/>
              <w:rPr>
                <w:sz w:val="20"/>
                <w:szCs w:val="20"/>
                <w:color w:val="auto"/>
              </w:rPr>
            </w:pPr>
            <w:r>
              <w:rPr>
                <w:rFonts w:ascii="Arial" w:cs="Arial" w:eastAsia="Arial" w:hAnsi="Arial"/>
                <w:sz w:val="14"/>
                <w:szCs w:val="14"/>
                <w:color w:val="auto"/>
              </w:rPr>
              <w:t>-</w:t>
            </w:r>
          </w:p>
        </w:tc>
        <w:tc>
          <w:tcPr>
            <w:tcW w:w="1680" w:type="dxa"/>
            <w:vAlign w:val="bottom"/>
            <w:tcBorders>
              <w:top w:val="single" w:sz="8" w:color="DBDBDB"/>
            </w:tcBorders>
            <w:vMerge w:val="restart"/>
            <w:shd w:val="clear" w:color="auto" w:fill="E7ECF0"/>
          </w:tcPr>
          <w:p>
            <w:pPr>
              <w:jc w:val="right"/>
              <w:ind w:right="66"/>
              <w:spacing w:after="0"/>
              <w:rPr>
                <w:sz w:val="20"/>
                <w:szCs w:val="20"/>
                <w:color w:val="auto"/>
              </w:rPr>
            </w:pPr>
            <w:r>
              <w:rPr>
                <w:rFonts w:ascii="Arial" w:cs="Arial" w:eastAsia="Arial" w:hAnsi="Arial"/>
                <w:sz w:val="14"/>
                <w:szCs w:val="14"/>
                <w:color w:val="auto"/>
              </w:rPr>
              <w:t>405,645</w:t>
            </w:r>
          </w:p>
        </w:tc>
        <w:tc>
          <w:tcPr>
            <w:tcW w:w="1660" w:type="dxa"/>
            <w:vAlign w:val="bottom"/>
            <w:tcBorders>
              <w:top w:val="single" w:sz="8" w:color="DBDBDB"/>
            </w:tcBorders>
            <w:vMerge w:val="restart"/>
            <w:shd w:val="clear" w:color="auto" w:fill="E7ECF0"/>
          </w:tcPr>
          <w:p>
            <w:pPr>
              <w:jc w:val="right"/>
              <w:ind w:right="146"/>
              <w:spacing w:after="0"/>
              <w:rPr>
                <w:sz w:val="20"/>
                <w:szCs w:val="20"/>
                <w:color w:val="auto"/>
              </w:rPr>
            </w:pPr>
            <w:r>
              <w:rPr>
                <w:rFonts w:ascii="Arial" w:cs="Arial" w:eastAsia="Arial" w:hAnsi="Arial"/>
                <w:sz w:val="14"/>
                <w:szCs w:val="14"/>
                <w:color w:val="auto"/>
              </w:rPr>
              <w:t>10,812</w:t>
            </w:r>
          </w:p>
        </w:tc>
        <w:tc>
          <w:tcPr>
            <w:tcW w:w="940" w:type="dxa"/>
            <w:vAlign w:val="bottom"/>
            <w:tcBorders>
              <w:top w:val="single" w:sz="8" w:color="DBDBDB"/>
            </w:tcBorders>
            <w:vMerge w:val="restart"/>
            <w:shd w:val="clear" w:color="auto" w:fill="E7ECF0"/>
          </w:tcPr>
          <w:p>
            <w:pPr>
              <w:jc w:val="right"/>
              <w:spacing w:after="0"/>
              <w:rPr>
                <w:sz w:val="20"/>
                <w:szCs w:val="20"/>
                <w:color w:val="auto"/>
              </w:rPr>
            </w:pPr>
            <w:r>
              <w:rPr>
                <w:rFonts w:ascii="Arial" w:cs="Arial" w:eastAsia="Arial" w:hAnsi="Arial"/>
                <w:sz w:val="14"/>
                <w:szCs w:val="14"/>
                <w:color w:val="auto"/>
              </w:rPr>
              <w:t>2,451,615</w:t>
            </w:r>
          </w:p>
        </w:tc>
        <w:tc>
          <w:tcPr>
            <w:tcW w:w="0" w:type="dxa"/>
            <w:vAlign w:val="bottom"/>
          </w:tcPr>
          <w:p>
            <w:pPr>
              <w:spacing w:after="0"/>
              <w:rPr>
                <w:sz w:val="1"/>
                <w:szCs w:val="1"/>
                <w:color w:val="auto"/>
              </w:rPr>
            </w:pPr>
          </w:p>
        </w:tc>
      </w:tr>
      <w:tr>
        <w:trPr>
          <w:trHeight w:val="145"/>
        </w:trPr>
        <w:tc>
          <w:tcPr>
            <w:tcW w:w="2460" w:type="dxa"/>
            <w:vAlign w:val="bottom"/>
            <w:tcBorders>
              <w:bottom w:val="single" w:sz="8" w:color="E7ECF0"/>
            </w:tcBorders>
            <w:shd w:val="clear" w:color="auto" w:fill="E7ECF0"/>
          </w:tcPr>
          <w:p>
            <w:pPr>
              <w:ind w:left="20"/>
              <w:spacing w:after="0" w:line="143" w:lineRule="exact"/>
              <w:rPr>
                <w:sz w:val="20"/>
                <w:szCs w:val="20"/>
                <w:color w:val="auto"/>
              </w:rPr>
            </w:pPr>
            <w:r>
              <w:rPr>
                <w:rFonts w:ascii="Arial" w:cs="Arial" w:eastAsia="Arial" w:hAnsi="Arial"/>
                <w:sz w:val="16"/>
                <w:szCs w:val="16"/>
                <w:color w:val="auto"/>
              </w:rPr>
              <w:t>Officer</w:t>
            </w:r>
          </w:p>
        </w:tc>
        <w:tc>
          <w:tcPr>
            <w:tcW w:w="760" w:type="dxa"/>
            <w:vAlign w:val="bottom"/>
            <w:tcBorders>
              <w:bottom w:val="single" w:sz="8" w:color="DBDBDB"/>
            </w:tcBorders>
            <w:vMerge w:val="continue"/>
            <w:shd w:val="clear" w:color="auto" w:fill="E7ECF0"/>
          </w:tcPr>
          <w:p>
            <w:pPr>
              <w:spacing w:after="0"/>
              <w:rPr>
                <w:sz w:val="12"/>
                <w:szCs w:val="12"/>
                <w:color w:val="auto"/>
              </w:rPr>
            </w:pPr>
          </w:p>
        </w:tc>
        <w:tc>
          <w:tcPr>
            <w:tcW w:w="940" w:type="dxa"/>
            <w:vAlign w:val="bottom"/>
            <w:tcBorders>
              <w:bottom w:val="single" w:sz="8" w:color="DBDBDB"/>
            </w:tcBorders>
            <w:vMerge w:val="continue"/>
            <w:shd w:val="clear" w:color="auto" w:fill="E7ECF0"/>
          </w:tcPr>
          <w:p>
            <w:pPr>
              <w:spacing w:after="0"/>
              <w:rPr>
                <w:sz w:val="12"/>
                <w:szCs w:val="12"/>
                <w:color w:val="auto"/>
              </w:rPr>
            </w:pPr>
          </w:p>
        </w:tc>
        <w:tc>
          <w:tcPr>
            <w:tcW w:w="880" w:type="dxa"/>
            <w:vAlign w:val="bottom"/>
            <w:tcBorders>
              <w:bottom w:val="single" w:sz="8" w:color="DBDBDB"/>
            </w:tcBorders>
            <w:vMerge w:val="continue"/>
            <w:shd w:val="clear" w:color="auto" w:fill="E7ECF0"/>
          </w:tcPr>
          <w:p>
            <w:pPr>
              <w:spacing w:after="0"/>
              <w:rPr>
                <w:sz w:val="12"/>
                <w:szCs w:val="12"/>
                <w:color w:val="auto"/>
              </w:rPr>
            </w:pPr>
          </w:p>
        </w:tc>
        <w:tc>
          <w:tcPr>
            <w:tcW w:w="1080" w:type="dxa"/>
            <w:vAlign w:val="bottom"/>
            <w:tcBorders>
              <w:bottom w:val="single" w:sz="8" w:color="DBDBDB"/>
            </w:tcBorders>
            <w:vMerge w:val="continue"/>
            <w:shd w:val="clear" w:color="auto" w:fill="E7ECF0"/>
          </w:tcPr>
          <w:p>
            <w:pPr>
              <w:spacing w:after="0"/>
              <w:rPr>
                <w:sz w:val="12"/>
                <w:szCs w:val="12"/>
                <w:color w:val="auto"/>
              </w:rPr>
            </w:pPr>
          </w:p>
        </w:tc>
        <w:tc>
          <w:tcPr>
            <w:tcW w:w="840" w:type="dxa"/>
            <w:vAlign w:val="bottom"/>
            <w:tcBorders>
              <w:bottom w:val="single" w:sz="8" w:color="DBDBDB"/>
            </w:tcBorders>
            <w:vMerge w:val="continue"/>
            <w:shd w:val="clear" w:color="auto" w:fill="E7ECF0"/>
          </w:tcPr>
          <w:p>
            <w:pPr>
              <w:spacing w:after="0"/>
              <w:rPr>
                <w:sz w:val="12"/>
                <w:szCs w:val="12"/>
                <w:color w:val="auto"/>
              </w:rPr>
            </w:pPr>
          </w:p>
        </w:tc>
        <w:tc>
          <w:tcPr>
            <w:tcW w:w="1680" w:type="dxa"/>
            <w:vAlign w:val="bottom"/>
            <w:tcBorders>
              <w:bottom w:val="single" w:sz="8" w:color="DBDBDB"/>
            </w:tcBorders>
            <w:vMerge w:val="continue"/>
            <w:shd w:val="clear" w:color="auto" w:fill="E7ECF0"/>
          </w:tcPr>
          <w:p>
            <w:pPr>
              <w:spacing w:after="0"/>
              <w:rPr>
                <w:sz w:val="12"/>
                <w:szCs w:val="12"/>
                <w:color w:val="auto"/>
              </w:rPr>
            </w:pPr>
          </w:p>
        </w:tc>
        <w:tc>
          <w:tcPr>
            <w:tcW w:w="1660" w:type="dxa"/>
            <w:vAlign w:val="bottom"/>
            <w:tcBorders>
              <w:bottom w:val="single" w:sz="8" w:color="DBDBDB"/>
            </w:tcBorders>
            <w:vMerge w:val="continue"/>
            <w:shd w:val="clear" w:color="auto" w:fill="E7ECF0"/>
          </w:tcPr>
          <w:p>
            <w:pPr>
              <w:spacing w:after="0"/>
              <w:rPr>
                <w:sz w:val="12"/>
                <w:szCs w:val="12"/>
                <w:color w:val="auto"/>
              </w:rPr>
            </w:pPr>
          </w:p>
        </w:tc>
        <w:tc>
          <w:tcPr>
            <w:tcW w:w="940" w:type="dxa"/>
            <w:vAlign w:val="bottom"/>
            <w:tcBorders>
              <w:bottom w:val="single" w:sz="8" w:color="DBDBDB"/>
            </w:tcBorders>
            <w:vMerge w:val="continue"/>
            <w:shd w:val="clear" w:color="auto" w:fill="E7ECF0"/>
          </w:tcPr>
          <w:p>
            <w:pPr>
              <w:spacing w:after="0"/>
              <w:rPr>
                <w:sz w:val="12"/>
                <w:szCs w:val="12"/>
                <w:color w:val="auto"/>
              </w:rPr>
            </w:pPr>
          </w:p>
        </w:tc>
        <w:tc>
          <w:tcPr>
            <w:tcW w:w="0" w:type="dxa"/>
            <w:vAlign w:val="bottom"/>
          </w:tcPr>
          <w:p>
            <w:pPr>
              <w:spacing w:after="0"/>
              <w:rPr>
                <w:sz w:val="1"/>
                <w:szCs w:val="1"/>
                <w:color w:val="auto"/>
              </w:rPr>
            </w:pPr>
          </w:p>
        </w:tc>
      </w:tr>
      <w:tr>
        <w:trPr>
          <w:trHeight w:val="250"/>
        </w:trPr>
        <w:tc>
          <w:tcPr>
            <w:tcW w:w="2460" w:type="dxa"/>
            <w:vAlign w:val="bottom"/>
            <w:tcBorders>
              <w:bottom w:val="single" w:sz="8" w:color="DBDBDB"/>
            </w:tcBorders>
            <w:shd w:val="clear" w:color="auto" w:fill="E7ECF0"/>
          </w:tcPr>
          <w:p>
            <w:pPr>
              <w:spacing w:after="0"/>
              <w:rPr>
                <w:sz w:val="21"/>
                <w:szCs w:val="21"/>
                <w:color w:val="auto"/>
              </w:rPr>
            </w:pPr>
          </w:p>
        </w:tc>
        <w:tc>
          <w:tcPr>
            <w:tcW w:w="760" w:type="dxa"/>
            <w:vAlign w:val="bottom"/>
            <w:tcBorders>
              <w:bottom w:val="single" w:sz="8" w:color="DBDBDB"/>
            </w:tcBorders>
            <w:shd w:val="clear" w:color="auto" w:fill="E7ECF0"/>
          </w:tcPr>
          <w:p>
            <w:pPr>
              <w:jc w:val="right"/>
              <w:ind w:right="207"/>
              <w:spacing w:after="0"/>
              <w:rPr>
                <w:sz w:val="20"/>
                <w:szCs w:val="20"/>
                <w:color w:val="auto"/>
              </w:rPr>
            </w:pPr>
            <w:r>
              <w:rPr>
                <w:rFonts w:ascii="Arial" w:cs="Arial" w:eastAsia="Arial" w:hAnsi="Arial"/>
                <w:sz w:val="14"/>
                <w:szCs w:val="14"/>
                <w:color w:val="auto"/>
              </w:rPr>
              <w:t>2022</w:t>
            </w:r>
          </w:p>
        </w:tc>
        <w:tc>
          <w:tcPr>
            <w:tcW w:w="940" w:type="dxa"/>
            <w:vAlign w:val="bottom"/>
            <w:tcBorders>
              <w:bottom w:val="single" w:sz="8" w:color="DBDBDB"/>
            </w:tcBorders>
            <w:shd w:val="clear" w:color="auto" w:fill="E7ECF0"/>
          </w:tcPr>
          <w:p>
            <w:pPr>
              <w:jc w:val="right"/>
              <w:spacing w:after="0"/>
              <w:rPr>
                <w:sz w:val="20"/>
                <w:szCs w:val="20"/>
                <w:color w:val="auto"/>
              </w:rPr>
            </w:pPr>
            <w:r>
              <w:rPr>
                <w:rFonts w:ascii="Arial" w:cs="Arial" w:eastAsia="Arial" w:hAnsi="Arial"/>
                <w:sz w:val="14"/>
                <w:szCs w:val="14"/>
                <w:color w:val="auto"/>
              </w:rPr>
              <w:t>480,721</w:t>
            </w:r>
          </w:p>
        </w:tc>
        <w:tc>
          <w:tcPr>
            <w:tcW w:w="880" w:type="dxa"/>
            <w:vAlign w:val="bottom"/>
            <w:tcBorders>
              <w:bottom w:val="single" w:sz="8" w:color="DBDBDB"/>
            </w:tcBorders>
            <w:shd w:val="clear" w:color="auto" w:fill="E7ECF0"/>
          </w:tcPr>
          <w:p>
            <w:pPr>
              <w:jc w:val="center"/>
              <w:ind w:right="7"/>
              <w:spacing w:after="0"/>
              <w:rPr>
                <w:sz w:val="20"/>
                <w:szCs w:val="20"/>
                <w:color w:val="auto"/>
              </w:rPr>
            </w:pPr>
            <w:r>
              <w:rPr>
                <w:rFonts w:ascii="Arial" w:cs="Arial" w:eastAsia="Arial" w:hAnsi="Arial"/>
                <w:sz w:val="14"/>
                <w:szCs w:val="14"/>
                <w:color w:val="auto"/>
                <w:w w:val="84"/>
              </w:rPr>
              <w:t>-</w:t>
            </w:r>
          </w:p>
        </w:tc>
        <w:tc>
          <w:tcPr>
            <w:tcW w:w="1080" w:type="dxa"/>
            <w:vAlign w:val="bottom"/>
            <w:tcBorders>
              <w:bottom w:val="single" w:sz="8" w:color="DBDBDB"/>
            </w:tcBorders>
            <w:shd w:val="clear" w:color="auto" w:fill="E7ECF0"/>
          </w:tcPr>
          <w:p>
            <w:pPr>
              <w:jc w:val="right"/>
              <w:ind w:right="6"/>
              <w:spacing w:after="0"/>
              <w:rPr>
                <w:sz w:val="20"/>
                <w:szCs w:val="20"/>
                <w:color w:val="auto"/>
              </w:rPr>
            </w:pPr>
            <w:r>
              <w:rPr>
                <w:rFonts w:ascii="Arial" w:cs="Arial" w:eastAsia="Arial" w:hAnsi="Arial"/>
                <w:sz w:val="14"/>
                <w:szCs w:val="14"/>
                <w:color w:val="auto"/>
              </w:rPr>
              <w:t>1,203,071</w:t>
            </w:r>
          </w:p>
        </w:tc>
        <w:tc>
          <w:tcPr>
            <w:tcW w:w="840" w:type="dxa"/>
            <w:vAlign w:val="bottom"/>
            <w:tcBorders>
              <w:bottom w:val="single" w:sz="8" w:color="DBDBDB"/>
            </w:tcBorders>
            <w:shd w:val="clear" w:color="auto" w:fill="E7ECF0"/>
          </w:tcPr>
          <w:p>
            <w:pPr>
              <w:jc w:val="center"/>
              <w:ind w:right="26"/>
              <w:spacing w:after="0"/>
              <w:rPr>
                <w:sz w:val="20"/>
                <w:szCs w:val="20"/>
                <w:color w:val="auto"/>
              </w:rPr>
            </w:pPr>
            <w:r>
              <w:rPr>
                <w:rFonts w:ascii="Arial" w:cs="Arial" w:eastAsia="Arial" w:hAnsi="Arial"/>
                <w:sz w:val="14"/>
                <w:szCs w:val="14"/>
                <w:color w:val="auto"/>
              </w:rPr>
              <w:t>-</w:t>
            </w:r>
          </w:p>
        </w:tc>
        <w:tc>
          <w:tcPr>
            <w:tcW w:w="1680" w:type="dxa"/>
            <w:vAlign w:val="bottom"/>
            <w:tcBorders>
              <w:bottom w:val="single" w:sz="8" w:color="DBDBDB"/>
            </w:tcBorders>
            <w:shd w:val="clear" w:color="auto" w:fill="E7ECF0"/>
          </w:tcPr>
          <w:p>
            <w:pPr>
              <w:jc w:val="right"/>
              <w:ind w:right="66"/>
              <w:spacing w:after="0"/>
              <w:rPr>
                <w:sz w:val="20"/>
                <w:szCs w:val="20"/>
                <w:color w:val="auto"/>
              </w:rPr>
            </w:pPr>
            <w:r>
              <w:rPr>
                <w:rFonts w:ascii="Arial" w:cs="Arial" w:eastAsia="Arial" w:hAnsi="Arial"/>
                <w:sz w:val="14"/>
                <w:szCs w:val="14"/>
                <w:color w:val="auto"/>
              </w:rPr>
              <w:t>481,879</w:t>
            </w:r>
          </w:p>
        </w:tc>
        <w:tc>
          <w:tcPr>
            <w:tcW w:w="1660" w:type="dxa"/>
            <w:vAlign w:val="bottom"/>
            <w:tcBorders>
              <w:bottom w:val="single" w:sz="8" w:color="DBDBDB"/>
            </w:tcBorders>
            <w:shd w:val="clear" w:color="auto" w:fill="E7ECF0"/>
          </w:tcPr>
          <w:p>
            <w:pPr>
              <w:jc w:val="right"/>
              <w:ind w:right="146"/>
              <w:spacing w:after="0"/>
              <w:rPr>
                <w:sz w:val="20"/>
                <w:szCs w:val="20"/>
                <w:color w:val="auto"/>
              </w:rPr>
            </w:pPr>
            <w:r>
              <w:rPr>
                <w:rFonts w:ascii="Arial" w:cs="Arial" w:eastAsia="Arial" w:hAnsi="Arial"/>
                <w:sz w:val="14"/>
                <w:szCs w:val="14"/>
                <w:color w:val="auto"/>
              </w:rPr>
              <w:t>14,173</w:t>
            </w:r>
          </w:p>
        </w:tc>
        <w:tc>
          <w:tcPr>
            <w:tcW w:w="940" w:type="dxa"/>
            <w:vAlign w:val="bottom"/>
            <w:tcBorders>
              <w:bottom w:val="single" w:sz="8" w:color="DBDBDB"/>
            </w:tcBorders>
            <w:shd w:val="clear" w:color="auto" w:fill="E7ECF0"/>
          </w:tcPr>
          <w:p>
            <w:pPr>
              <w:jc w:val="right"/>
              <w:spacing w:after="0"/>
              <w:rPr>
                <w:sz w:val="20"/>
                <w:szCs w:val="20"/>
                <w:color w:val="auto"/>
              </w:rPr>
            </w:pPr>
            <w:r>
              <w:rPr>
                <w:rFonts w:ascii="Arial" w:cs="Arial" w:eastAsia="Arial" w:hAnsi="Arial"/>
                <w:sz w:val="14"/>
                <w:szCs w:val="14"/>
                <w:color w:val="auto"/>
              </w:rPr>
              <w:t>2,179,844</w:t>
            </w:r>
          </w:p>
        </w:tc>
        <w:tc>
          <w:tcPr>
            <w:tcW w:w="0" w:type="dxa"/>
            <w:vAlign w:val="bottom"/>
          </w:tcPr>
          <w:p>
            <w:pPr>
              <w:spacing w:after="0"/>
              <w:rPr>
                <w:sz w:val="1"/>
                <w:szCs w:val="1"/>
                <w:color w:val="auto"/>
              </w:rPr>
            </w:pPr>
          </w:p>
        </w:tc>
      </w:tr>
      <w:tr>
        <w:trPr>
          <w:trHeight w:val="186"/>
        </w:trPr>
        <w:tc>
          <w:tcPr>
            <w:tcW w:w="2460" w:type="dxa"/>
            <w:vAlign w:val="bottom"/>
          </w:tcPr>
          <w:p>
            <w:pPr>
              <w:ind w:left="20"/>
              <w:spacing w:after="0"/>
              <w:rPr>
                <w:sz w:val="20"/>
                <w:szCs w:val="20"/>
                <w:color w:val="auto"/>
              </w:rPr>
            </w:pPr>
            <w:r>
              <w:rPr>
                <w:rFonts w:ascii="Arial" w:cs="Arial" w:eastAsia="Arial" w:hAnsi="Arial"/>
                <w:sz w:val="16"/>
                <w:szCs w:val="16"/>
                <w:color w:val="auto"/>
              </w:rPr>
              <w:t>Mimi L. Carsley (4)</w:t>
            </w:r>
          </w:p>
        </w:tc>
        <w:tc>
          <w:tcPr>
            <w:tcW w:w="760" w:type="dxa"/>
            <w:vAlign w:val="bottom"/>
            <w:vMerge w:val="restart"/>
          </w:tcPr>
          <w:p>
            <w:pPr>
              <w:jc w:val="right"/>
              <w:ind w:right="207"/>
              <w:spacing w:after="0"/>
              <w:rPr>
                <w:sz w:val="20"/>
                <w:szCs w:val="20"/>
                <w:color w:val="auto"/>
              </w:rPr>
            </w:pPr>
            <w:r>
              <w:rPr>
                <w:rFonts w:ascii="Arial" w:cs="Arial" w:eastAsia="Arial" w:hAnsi="Arial"/>
                <w:sz w:val="14"/>
                <w:szCs w:val="14"/>
                <w:color w:val="auto"/>
              </w:rPr>
              <w:t>2024</w:t>
            </w:r>
          </w:p>
        </w:tc>
        <w:tc>
          <w:tcPr>
            <w:tcW w:w="940" w:type="dxa"/>
            <w:vAlign w:val="bottom"/>
            <w:vMerge w:val="restart"/>
          </w:tcPr>
          <w:p>
            <w:pPr>
              <w:jc w:val="right"/>
              <w:spacing w:after="0"/>
              <w:rPr>
                <w:sz w:val="20"/>
                <w:szCs w:val="20"/>
                <w:color w:val="auto"/>
              </w:rPr>
            </w:pPr>
            <w:r>
              <w:rPr>
                <w:rFonts w:ascii="Arial" w:cs="Arial" w:eastAsia="Arial" w:hAnsi="Arial"/>
                <w:sz w:val="14"/>
                <w:szCs w:val="14"/>
                <w:color w:val="auto"/>
              </w:rPr>
              <w:t>496,375</w:t>
            </w:r>
          </w:p>
        </w:tc>
        <w:tc>
          <w:tcPr>
            <w:tcW w:w="880" w:type="dxa"/>
            <w:vAlign w:val="bottom"/>
            <w:vMerge w:val="restart"/>
          </w:tcPr>
          <w:p>
            <w:pPr>
              <w:jc w:val="center"/>
              <w:ind w:right="7"/>
              <w:spacing w:after="0"/>
              <w:rPr>
                <w:sz w:val="20"/>
                <w:szCs w:val="20"/>
                <w:color w:val="auto"/>
              </w:rPr>
            </w:pPr>
            <w:r>
              <w:rPr>
                <w:rFonts w:ascii="Arial" w:cs="Arial" w:eastAsia="Arial" w:hAnsi="Arial"/>
                <w:sz w:val="14"/>
                <w:szCs w:val="14"/>
                <w:color w:val="auto"/>
                <w:w w:val="84"/>
              </w:rPr>
              <w:t>-</w:t>
            </w:r>
          </w:p>
        </w:tc>
        <w:tc>
          <w:tcPr>
            <w:tcW w:w="1080" w:type="dxa"/>
            <w:vAlign w:val="bottom"/>
            <w:vMerge w:val="restart"/>
          </w:tcPr>
          <w:p>
            <w:pPr>
              <w:jc w:val="right"/>
              <w:ind w:right="6"/>
              <w:spacing w:after="0"/>
              <w:rPr>
                <w:sz w:val="20"/>
                <w:szCs w:val="20"/>
                <w:color w:val="auto"/>
              </w:rPr>
            </w:pPr>
            <w:r>
              <w:rPr>
                <w:rFonts w:ascii="Arial" w:cs="Arial" w:eastAsia="Arial" w:hAnsi="Arial"/>
                <w:sz w:val="14"/>
                <w:szCs w:val="14"/>
                <w:color w:val="auto"/>
              </w:rPr>
              <w:t>1,684,218</w:t>
            </w:r>
          </w:p>
        </w:tc>
        <w:tc>
          <w:tcPr>
            <w:tcW w:w="840" w:type="dxa"/>
            <w:vAlign w:val="bottom"/>
            <w:vMerge w:val="restart"/>
          </w:tcPr>
          <w:p>
            <w:pPr>
              <w:jc w:val="center"/>
              <w:ind w:right="26"/>
              <w:spacing w:after="0"/>
              <w:rPr>
                <w:sz w:val="20"/>
                <w:szCs w:val="20"/>
                <w:color w:val="auto"/>
              </w:rPr>
            </w:pPr>
            <w:r>
              <w:rPr>
                <w:rFonts w:ascii="Arial" w:cs="Arial" w:eastAsia="Arial" w:hAnsi="Arial"/>
                <w:sz w:val="14"/>
                <w:szCs w:val="14"/>
                <w:color w:val="auto"/>
              </w:rPr>
              <w:t>-</w:t>
            </w:r>
          </w:p>
        </w:tc>
        <w:tc>
          <w:tcPr>
            <w:tcW w:w="1680" w:type="dxa"/>
            <w:vAlign w:val="bottom"/>
            <w:vMerge w:val="restart"/>
          </w:tcPr>
          <w:p>
            <w:pPr>
              <w:jc w:val="right"/>
              <w:ind w:right="66"/>
              <w:spacing w:after="0"/>
              <w:rPr>
                <w:sz w:val="20"/>
                <w:szCs w:val="20"/>
                <w:color w:val="auto"/>
              </w:rPr>
            </w:pPr>
            <w:r>
              <w:rPr>
                <w:rFonts w:ascii="Arial" w:cs="Arial" w:eastAsia="Arial" w:hAnsi="Arial"/>
                <w:sz w:val="14"/>
                <w:szCs w:val="14"/>
                <w:color w:val="auto"/>
              </w:rPr>
              <w:t>577,097</w:t>
            </w:r>
          </w:p>
        </w:tc>
        <w:tc>
          <w:tcPr>
            <w:tcW w:w="1660" w:type="dxa"/>
            <w:vAlign w:val="bottom"/>
            <w:vMerge w:val="restart"/>
          </w:tcPr>
          <w:p>
            <w:pPr>
              <w:jc w:val="right"/>
              <w:ind w:right="146"/>
              <w:spacing w:after="0"/>
              <w:rPr>
                <w:sz w:val="20"/>
                <w:szCs w:val="20"/>
                <w:color w:val="auto"/>
              </w:rPr>
            </w:pPr>
            <w:r>
              <w:rPr>
                <w:rFonts w:ascii="Arial" w:cs="Arial" w:eastAsia="Arial" w:hAnsi="Arial"/>
                <w:sz w:val="14"/>
                <w:szCs w:val="14"/>
                <w:color w:val="auto"/>
              </w:rPr>
              <w:t>26,506</w:t>
            </w:r>
          </w:p>
        </w:tc>
        <w:tc>
          <w:tcPr>
            <w:tcW w:w="940" w:type="dxa"/>
            <w:vAlign w:val="bottom"/>
            <w:vMerge w:val="restart"/>
          </w:tcPr>
          <w:p>
            <w:pPr>
              <w:jc w:val="right"/>
              <w:spacing w:after="0"/>
              <w:rPr>
                <w:sz w:val="20"/>
                <w:szCs w:val="20"/>
                <w:color w:val="auto"/>
              </w:rPr>
            </w:pPr>
            <w:r>
              <w:rPr>
                <w:rFonts w:ascii="Arial" w:cs="Arial" w:eastAsia="Arial" w:hAnsi="Arial"/>
                <w:sz w:val="14"/>
                <w:szCs w:val="14"/>
                <w:color w:val="auto"/>
              </w:rPr>
              <w:t>2,784,196</w:t>
            </w:r>
          </w:p>
        </w:tc>
        <w:tc>
          <w:tcPr>
            <w:tcW w:w="0" w:type="dxa"/>
            <w:vAlign w:val="bottom"/>
          </w:tcPr>
          <w:p>
            <w:pPr>
              <w:spacing w:after="0"/>
              <w:rPr>
                <w:sz w:val="1"/>
                <w:szCs w:val="1"/>
                <w:color w:val="auto"/>
              </w:rPr>
            </w:pPr>
          </w:p>
        </w:tc>
      </w:tr>
      <w:tr>
        <w:trPr>
          <w:trHeight w:val="87"/>
        </w:trPr>
        <w:tc>
          <w:tcPr>
            <w:tcW w:w="2460" w:type="dxa"/>
            <w:vAlign w:val="bottom"/>
            <w:vMerge w:val="restart"/>
          </w:tcPr>
          <w:p>
            <w:pPr>
              <w:ind w:left="20"/>
              <w:spacing w:after="0" w:line="176" w:lineRule="exact"/>
              <w:rPr>
                <w:sz w:val="20"/>
                <w:szCs w:val="20"/>
                <w:color w:val="auto"/>
              </w:rPr>
            </w:pPr>
            <w:r>
              <w:rPr>
                <w:rFonts w:ascii="Arial" w:cs="Arial" w:eastAsia="Arial" w:hAnsi="Arial"/>
                <w:sz w:val="16"/>
                <w:szCs w:val="16"/>
                <w:color w:val="auto"/>
              </w:rPr>
              <w:t>Chief Financial Officer and</w:t>
            </w:r>
          </w:p>
        </w:tc>
        <w:tc>
          <w:tcPr>
            <w:tcW w:w="760" w:type="dxa"/>
            <w:vAlign w:val="bottom"/>
            <w:vMerge w:val="continue"/>
          </w:tcPr>
          <w:p>
            <w:pPr>
              <w:spacing w:after="0"/>
              <w:rPr>
                <w:sz w:val="7"/>
                <w:szCs w:val="7"/>
                <w:color w:val="auto"/>
              </w:rPr>
            </w:pPr>
          </w:p>
        </w:tc>
        <w:tc>
          <w:tcPr>
            <w:tcW w:w="940" w:type="dxa"/>
            <w:vAlign w:val="bottom"/>
            <w:vMerge w:val="continue"/>
          </w:tcPr>
          <w:p>
            <w:pPr>
              <w:spacing w:after="0"/>
              <w:rPr>
                <w:sz w:val="7"/>
                <w:szCs w:val="7"/>
                <w:color w:val="auto"/>
              </w:rPr>
            </w:pPr>
          </w:p>
        </w:tc>
        <w:tc>
          <w:tcPr>
            <w:tcW w:w="880" w:type="dxa"/>
            <w:vAlign w:val="bottom"/>
            <w:vMerge w:val="continue"/>
          </w:tcPr>
          <w:p>
            <w:pPr>
              <w:spacing w:after="0"/>
              <w:rPr>
                <w:sz w:val="7"/>
                <w:szCs w:val="7"/>
                <w:color w:val="auto"/>
              </w:rPr>
            </w:pPr>
          </w:p>
        </w:tc>
        <w:tc>
          <w:tcPr>
            <w:tcW w:w="1080" w:type="dxa"/>
            <w:vAlign w:val="bottom"/>
            <w:vMerge w:val="continue"/>
          </w:tcPr>
          <w:p>
            <w:pPr>
              <w:spacing w:after="0"/>
              <w:rPr>
                <w:sz w:val="7"/>
                <w:szCs w:val="7"/>
                <w:color w:val="auto"/>
              </w:rPr>
            </w:pPr>
          </w:p>
        </w:tc>
        <w:tc>
          <w:tcPr>
            <w:tcW w:w="840" w:type="dxa"/>
            <w:vAlign w:val="bottom"/>
            <w:vMerge w:val="continue"/>
          </w:tcPr>
          <w:p>
            <w:pPr>
              <w:spacing w:after="0"/>
              <w:rPr>
                <w:sz w:val="7"/>
                <w:szCs w:val="7"/>
                <w:color w:val="auto"/>
              </w:rPr>
            </w:pPr>
          </w:p>
        </w:tc>
        <w:tc>
          <w:tcPr>
            <w:tcW w:w="1680" w:type="dxa"/>
            <w:vAlign w:val="bottom"/>
            <w:vMerge w:val="continue"/>
          </w:tcPr>
          <w:p>
            <w:pPr>
              <w:spacing w:after="0"/>
              <w:rPr>
                <w:sz w:val="7"/>
                <w:szCs w:val="7"/>
                <w:color w:val="auto"/>
              </w:rPr>
            </w:pPr>
          </w:p>
        </w:tc>
        <w:tc>
          <w:tcPr>
            <w:tcW w:w="1660" w:type="dxa"/>
            <w:vAlign w:val="bottom"/>
            <w:vMerge w:val="continue"/>
          </w:tcPr>
          <w:p>
            <w:pPr>
              <w:spacing w:after="0"/>
              <w:rPr>
                <w:sz w:val="7"/>
                <w:szCs w:val="7"/>
                <w:color w:val="auto"/>
              </w:rPr>
            </w:pPr>
          </w:p>
        </w:tc>
        <w:tc>
          <w:tcPr>
            <w:tcW w:w="9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9"/>
        </w:trPr>
        <w:tc>
          <w:tcPr>
            <w:tcW w:w="2460" w:type="dxa"/>
            <w:vAlign w:val="bottom"/>
            <w:vMerge w:val="continue"/>
          </w:tcPr>
          <w:p>
            <w:pPr>
              <w:spacing w:after="0"/>
              <w:rPr>
                <w:sz w:val="7"/>
                <w:szCs w:val="7"/>
                <w:color w:val="auto"/>
              </w:rPr>
            </w:pPr>
          </w:p>
        </w:tc>
        <w:tc>
          <w:tcPr>
            <w:tcW w:w="760" w:type="dxa"/>
            <w:vAlign w:val="bottom"/>
            <w:tcBorders>
              <w:bottom w:val="single" w:sz="8" w:color="DBDBDB"/>
            </w:tcBorders>
          </w:tcPr>
          <w:p>
            <w:pPr>
              <w:spacing w:after="0"/>
              <w:rPr>
                <w:sz w:val="7"/>
                <w:szCs w:val="7"/>
                <w:color w:val="auto"/>
              </w:rPr>
            </w:pPr>
          </w:p>
        </w:tc>
        <w:tc>
          <w:tcPr>
            <w:tcW w:w="940" w:type="dxa"/>
            <w:vAlign w:val="bottom"/>
            <w:tcBorders>
              <w:bottom w:val="single" w:sz="8" w:color="DBDBDB"/>
            </w:tcBorders>
          </w:tcPr>
          <w:p>
            <w:pPr>
              <w:spacing w:after="0"/>
              <w:rPr>
                <w:sz w:val="7"/>
                <w:szCs w:val="7"/>
                <w:color w:val="auto"/>
              </w:rPr>
            </w:pPr>
          </w:p>
        </w:tc>
        <w:tc>
          <w:tcPr>
            <w:tcW w:w="880" w:type="dxa"/>
            <w:vAlign w:val="bottom"/>
            <w:tcBorders>
              <w:bottom w:val="single" w:sz="8" w:color="DBDBDB"/>
            </w:tcBorders>
          </w:tcPr>
          <w:p>
            <w:pPr>
              <w:spacing w:after="0"/>
              <w:rPr>
                <w:sz w:val="7"/>
                <w:szCs w:val="7"/>
                <w:color w:val="auto"/>
              </w:rPr>
            </w:pPr>
          </w:p>
        </w:tc>
        <w:tc>
          <w:tcPr>
            <w:tcW w:w="1080" w:type="dxa"/>
            <w:vAlign w:val="bottom"/>
            <w:tcBorders>
              <w:bottom w:val="single" w:sz="8" w:color="DBDBDB"/>
            </w:tcBorders>
          </w:tcPr>
          <w:p>
            <w:pPr>
              <w:spacing w:after="0"/>
              <w:rPr>
                <w:sz w:val="7"/>
                <w:szCs w:val="7"/>
                <w:color w:val="auto"/>
              </w:rPr>
            </w:pPr>
          </w:p>
        </w:tc>
        <w:tc>
          <w:tcPr>
            <w:tcW w:w="840" w:type="dxa"/>
            <w:vAlign w:val="bottom"/>
            <w:tcBorders>
              <w:bottom w:val="single" w:sz="8" w:color="DBDBDB"/>
            </w:tcBorders>
          </w:tcPr>
          <w:p>
            <w:pPr>
              <w:spacing w:after="0"/>
              <w:rPr>
                <w:sz w:val="7"/>
                <w:szCs w:val="7"/>
                <w:color w:val="auto"/>
              </w:rPr>
            </w:pPr>
          </w:p>
        </w:tc>
        <w:tc>
          <w:tcPr>
            <w:tcW w:w="1680" w:type="dxa"/>
            <w:vAlign w:val="bottom"/>
            <w:tcBorders>
              <w:bottom w:val="single" w:sz="8" w:color="DBDBDB"/>
            </w:tcBorders>
          </w:tcPr>
          <w:p>
            <w:pPr>
              <w:spacing w:after="0"/>
              <w:rPr>
                <w:sz w:val="7"/>
                <w:szCs w:val="7"/>
                <w:color w:val="auto"/>
              </w:rPr>
            </w:pPr>
          </w:p>
        </w:tc>
        <w:tc>
          <w:tcPr>
            <w:tcW w:w="1660" w:type="dxa"/>
            <w:vAlign w:val="bottom"/>
            <w:tcBorders>
              <w:bottom w:val="single" w:sz="8" w:color="DBDBDB"/>
            </w:tcBorders>
          </w:tcPr>
          <w:p>
            <w:pPr>
              <w:spacing w:after="0"/>
              <w:rPr>
                <w:sz w:val="7"/>
                <w:szCs w:val="7"/>
                <w:color w:val="auto"/>
              </w:rPr>
            </w:pPr>
          </w:p>
        </w:tc>
        <w:tc>
          <w:tcPr>
            <w:tcW w:w="940" w:type="dxa"/>
            <w:vAlign w:val="bottom"/>
            <w:tcBorders>
              <w:bottom w:val="single" w:sz="8" w:color="DBDBDB"/>
            </w:tcBorders>
          </w:tcPr>
          <w:p>
            <w:pPr>
              <w:spacing w:after="0"/>
              <w:rPr>
                <w:sz w:val="7"/>
                <w:szCs w:val="7"/>
                <w:color w:val="auto"/>
              </w:rPr>
            </w:pPr>
          </w:p>
        </w:tc>
        <w:tc>
          <w:tcPr>
            <w:tcW w:w="0" w:type="dxa"/>
            <w:vAlign w:val="bottom"/>
          </w:tcPr>
          <w:p>
            <w:pPr>
              <w:spacing w:after="0"/>
              <w:rPr>
                <w:sz w:val="1"/>
                <w:szCs w:val="1"/>
                <w:color w:val="auto"/>
              </w:rPr>
            </w:pPr>
          </w:p>
        </w:tc>
      </w:tr>
      <w:tr>
        <w:trPr>
          <w:trHeight w:val="208"/>
        </w:trPr>
        <w:tc>
          <w:tcPr>
            <w:tcW w:w="2460" w:type="dxa"/>
            <w:vAlign w:val="bottom"/>
          </w:tcPr>
          <w:p>
            <w:pPr>
              <w:ind w:left="20"/>
              <w:spacing w:after="0"/>
              <w:rPr>
                <w:sz w:val="20"/>
                <w:szCs w:val="20"/>
                <w:color w:val="auto"/>
              </w:rPr>
            </w:pPr>
            <w:r>
              <w:rPr>
                <w:rFonts w:ascii="Arial" w:cs="Arial" w:eastAsia="Arial" w:hAnsi="Arial"/>
                <w:sz w:val="16"/>
                <w:szCs w:val="16"/>
                <w:color w:val="auto"/>
              </w:rPr>
              <w:t>Treasurer</w:t>
            </w:r>
          </w:p>
        </w:tc>
        <w:tc>
          <w:tcPr>
            <w:tcW w:w="760" w:type="dxa"/>
            <w:vAlign w:val="bottom"/>
            <w:vMerge w:val="restart"/>
          </w:tcPr>
          <w:p>
            <w:pPr>
              <w:jc w:val="right"/>
              <w:ind w:right="207"/>
              <w:spacing w:after="0"/>
              <w:rPr>
                <w:sz w:val="20"/>
                <w:szCs w:val="20"/>
                <w:color w:val="auto"/>
              </w:rPr>
            </w:pPr>
            <w:r>
              <w:rPr>
                <w:rFonts w:ascii="Arial" w:cs="Arial" w:eastAsia="Arial" w:hAnsi="Arial"/>
                <w:sz w:val="14"/>
                <w:szCs w:val="14"/>
                <w:color w:val="auto"/>
              </w:rPr>
              <w:t>2023</w:t>
            </w:r>
          </w:p>
        </w:tc>
        <w:tc>
          <w:tcPr>
            <w:tcW w:w="940" w:type="dxa"/>
            <w:vAlign w:val="bottom"/>
            <w:vMerge w:val="restart"/>
          </w:tcPr>
          <w:p>
            <w:pPr>
              <w:jc w:val="right"/>
              <w:spacing w:after="0"/>
              <w:rPr>
                <w:sz w:val="20"/>
                <w:szCs w:val="20"/>
                <w:color w:val="auto"/>
              </w:rPr>
            </w:pPr>
            <w:r>
              <w:rPr>
                <w:rFonts w:ascii="Arial" w:cs="Arial" w:eastAsia="Arial" w:hAnsi="Arial"/>
                <w:sz w:val="14"/>
                <w:szCs w:val="14"/>
                <w:color w:val="auto"/>
              </w:rPr>
              <w:t>475,000</w:t>
            </w:r>
          </w:p>
        </w:tc>
        <w:tc>
          <w:tcPr>
            <w:tcW w:w="880" w:type="dxa"/>
            <w:vAlign w:val="bottom"/>
            <w:vMerge w:val="restart"/>
          </w:tcPr>
          <w:p>
            <w:pPr>
              <w:jc w:val="center"/>
              <w:ind w:right="7"/>
              <w:spacing w:after="0"/>
              <w:rPr>
                <w:sz w:val="20"/>
                <w:szCs w:val="20"/>
                <w:color w:val="auto"/>
              </w:rPr>
            </w:pPr>
            <w:r>
              <w:rPr>
                <w:rFonts w:ascii="Arial" w:cs="Arial" w:eastAsia="Arial" w:hAnsi="Arial"/>
                <w:sz w:val="14"/>
                <w:szCs w:val="14"/>
                <w:color w:val="auto"/>
                <w:w w:val="84"/>
              </w:rPr>
              <w:t>-</w:t>
            </w:r>
          </w:p>
        </w:tc>
        <w:tc>
          <w:tcPr>
            <w:tcW w:w="1080" w:type="dxa"/>
            <w:vAlign w:val="bottom"/>
            <w:vMerge w:val="restart"/>
          </w:tcPr>
          <w:p>
            <w:pPr>
              <w:jc w:val="right"/>
              <w:ind w:right="6"/>
              <w:spacing w:after="0"/>
              <w:rPr>
                <w:sz w:val="20"/>
                <w:szCs w:val="20"/>
                <w:color w:val="auto"/>
              </w:rPr>
            </w:pPr>
            <w:r>
              <w:rPr>
                <w:rFonts w:ascii="Arial" w:cs="Arial" w:eastAsia="Arial" w:hAnsi="Arial"/>
                <w:sz w:val="14"/>
                <w:szCs w:val="14"/>
                <w:color w:val="auto"/>
              </w:rPr>
              <w:t>1,479,246</w:t>
            </w:r>
          </w:p>
        </w:tc>
        <w:tc>
          <w:tcPr>
            <w:tcW w:w="840" w:type="dxa"/>
            <w:vAlign w:val="bottom"/>
            <w:vMerge w:val="restart"/>
          </w:tcPr>
          <w:p>
            <w:pPr>
              <w:jc w:val="center"/>
              <w:ind w:right="26"/>
              <w:spacing w:after="0"/>
              <w:rPr>
                <w:sz w:val="20"/>
                <w:szCs w:val="20"/>
                <w:color w:val="auto"/>
              </w:rPr>
            </w:pPr>
            <w:r>
              <w:rPr>
                <w:rFonts w:ascii="Arial" w:cs="Arial" w:eastAsia="Arial" w:hAnsi="Arial"/>
                <w:sz w:val="14"/>
                <w:szCs w:val="14"/>
                <w:color w:val="auto"/>
              </w:rPr>
              <w:t>-</w:t>
            </w:r>
          </w:p>
        </w:tc>
        <w:tc>
          <w:tcPr>
            <w:tcW w:w="1680" w:type="dxa"/>
            <w:vAlign w:val="bottom"/>
            <w:vMerge w:val="restart"/>
          </w:tcPr>
          <w:p>
            <w:pPr>
              <w:jc w:val="right"/>
              <w:ind w:right="66"/>
              <w:spacing w:after="0"/>
              <w:rPr>
                <w:sz w:val="20"/>
                <w:szCs w:val="20"/>
                <w:color w:val="auto"/>
              </w:rPr>
            </w:pPr>
            <w:r>
              <w:rPr>
                <w:rFonts w:ascii="Arial" w:cs="Arial" w:eastAsia="Arial" w:hAnsi="Arial"/>
                <w:sz w:val="14"/>
                <w:szCs w:val="14"/>
                <w:color w:val="auto"/>
              </w:rPr>
              <w:t>356,517</w:t>
            </w:r>
          </w:p>
        </w:tc>
        <w:tc>
          <w:tcPr>
            <w:tcW w:w="1660" w:type="dxa"/>
            <w:vAlign w:val="bottom"/>
            <w:vMerge w:val="restart"/>
          </w:tcPr>
          <w:p>
            <w:pPr>
              <w:jc w:val="right"/>
              <w:ind w:right="146"/>
              <w:spacing w:after="0"/>
              <w:rPr>
                <w:sz w:val="20"/>
                <w:szCs w:val="20"/>
                <w:color w:val="auto"/>
              </w:rPr>
            </w:pPr>
            <w:r>
              <w:rPr>
                <w:rFonts w:ascii="Arial" w:cs="Arial" w:eastAsia="Arial" w:hAnsi="Arial"/>
                <w:sz w:val="14"/>
                <w:szCs w:val="14"/>
                <w:color w:val="auto"/>
              </w:rPr>
              <w:t>-</w:t>
            </w:r>
          </w:p>
        </w:tc>
        <w:tc>
          <w:tcPr>
            <w:tcW w:w="940" w:type="dxa"/>
            <w:vAlign w:val="bottom"/>
            <w:vMerge w:val="restart"/>
          </w:tcPr>
          <w:p>
            <w:pPr>
              <w:jc w:val="right"/>
              <w:spacing w:after="0"/>
              <w:rPr>
                <w:sz w:val="20"/>
                <w:szCs w:val="20"/>
                <w:color w:val="auto"/>
              </w:rPr>
            </w:pPr>
            <w:r>
              <w:rPr>
                <w:rFonts w:ascii="Arial" w:cs="Arial" w:eastAsia="Arial" w:hAnsi="Arial"/>
                <w:sz w:val="14"/>
                <w:szCs w:val="14"/>
                <w:color w:val="auto"/>
              </w:rPr>
              <w:t>2,310,763</w:t>
            </w:r>
          </w:p>
        </w:tc>
        <w:tc>
          <w:tcPr>
            <w:tcW w:w="0" w:type="dxa"/>
            <w:vAlign w:val="bottom"/>
          </w:tcPr>
          <w:p>
            <w:pPr>
              <w:spacing w:after="0"/>
              <w:rPr>
                <w:sz w:val="1"/>
                <w:szCs w:val="1"/>
                <w:color w:val="auto"/>
              </w:rPr>
            </w:pPr>
          </w:p>
        </w:tc>
      </w:tr>
      <w:tr>
        <w:trPr>
          <w:trHeight w:val="88"/>
        </w:trPr>
        <w:tc>
          <w:tcPr>
            <w:tcW w:w="246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940" w:type="dxa"/>
            <w:vAlign w:val="bottom"/>
            <w:vMerge w:val="continue"/>
          </w:tcPr>
          <w:p>
            <w:pPr>
              <w:spacing w:after="0"/>
              <w:rPr>
                <w:sz w:val="7"/>
                <w:szCs w:val="7"/>
                <w:color w:val="auto"/>
              </w:rPr>
            </w:pPr>
          </w:p>
        </w:tc>
        <w:tc>
          <w:tcPr>
            <w:tcW w:w="880" w:type="dxa"/>
            <w:vAlign w:val="bottom"/>
            <w:vMerge w:val="continue"/>
          </w:tcPr>
          <w:p>
            <w:pPr>
              <w:spacing w:after="0"/>
              <w:rPr>
                <w:sz w:val="7"/>
                <w:szCs w:val="7"/>
                <w:color w:val="auto"/>
              </w:rPr>
            </w:pPr>
          </w:p>
        </w:tc>
        <w:tc>
          <w:tcPr>
            <w:tcW w:w="1080" w:type="dxa"/>
            <w:vAlign w:val="bottom"/>
            <w:vMerge w:val="continue"/>
          </w:tcPr>
          <w:p>
            <w:pPr>
              <w:spacing w:after="0"/>
              <w:rPr>
                <w:sz w:val="7"/>
                <w:szCs w:val="7"/>
                <w:color w:val="auto"/>
              </w:rPr>
            </w:pPr>
          </w:p>
        </w:tc>
        <w:tc>
          <w:tcPr>
            <w:tcW w:w="840" w:type="dxa"/>
            <w:vAlign w:val="bottom"/>
            <w:vMerge w:val="continue"/>
          </w:tcPr>
          <w:p>
            <w:pPr>
              <w:spacing w:after="0"/>
              <w:rPr>
                <w:sz w:val="7"/>
                <w:szCs w:val="7"/>
                <w:color w:val="auto"/>
              </w:rPr>
            </w:pPr>
          </w:p>
        </w:tc>
        <w:tc>
          <w:tcPr>
            <w:tcW w:w="1680" w:type="dxa"/>
            <w:vAlign w:val="bottom"/>
            <w:vMerge w:val="continue"/>
          </w:tcPr>
          <w:p>
            <w:pPr>
              <w:spacing w:after="0"/>
              <w:rPr>
                <w:sz w:val="7"/>
                <w:szCs w:val="7"/>
                <w:color w:val="auto"/>
              </w:rPr>
            </w:pPr>
          </w:p>
        </w:tc>
        <w:tc>
          <w:tcPr>
            <w:tcW w:w="1660" w:type="dxa"/>
            <w:vAlign w:val="bottom"/>
            <w:vMerge w:val="continue"/>
          </w:tcPr>
          <w:p>
            <w:pPr>
              <w:spacing w:after="0"/>
              <w:rPr>
                <w:sz w:val="7"/>
                <w:szCs w:val="7"/>
                <w:color w:val="auto"/>
              </w:rPr>
            </w:pPr>
          </w:p>
        </w:tc>
        <w:tc>
          <w:tcPr>
            <w:tcW w:w="9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16"/>
        </w:trPr>
        <w:tc>
          <w:tcPr>
            <w:tcW w:w="2460" w:type="dxa"/>
            <w:vAlign w:val="bottom"/>
            <w:tcBorders>
              <w:bottom w:val="single" w:sz="8" w:color="DBDBDB"/>
            </w:tcBorders>
          </w:tcPr>
          <w:p>
            <w:pPr>
              <w:spacing w:after="0"/>
              <w:rPr>
                <w:sz w:val="10"/>
                <w:szCs w:val="10"/>
                <w:color w:val="auto"/>
              </w:rPr>
            </w:pPr>
          </w:p>
        </w:tc>
        <w:tc>
          <w:tcPr>
            <w:tcW w:w="760" w:type="dxa"/>
            <w:vAlign w:val="bottom"/>
            <w:tcBorders>
              <w:bottom w:val="single" w:sz="8" w:color="DBDBDB"/>
            </w:tcBorders>
          </w:tcPr>
          <w:p>
            <w:pPr>
              <w:spacing w:after="0"/>
              <w:rPr>
                <w:sz w:val="10"/>
                <w:szCs w:val="10"/>
                <w:color w:val="auto"/>
              </w:rPr>
            </w:pPr>
          </w:p>
        </w:tc>
        <w:tc>
          <w:tcPr>
            <w:tcW w:w="940" w:type="dxa"/>
            <w:vAlign w:val="bottom"/>
            <w:tcBorders>
              <w:bottom w:val="single" w:sz="8" w:color="DBDBDB"/>
            </w:tcBorders>
          </w:tcPr>
          <w:p>
            <w:pPr>
              <w:spacing w:after="0"/>
              <w:rPr>
                <w:sz w:val="10"/>
                <w:szCs w:val="10"/>
                <w:color w:val="auto"/>
              </w:rPr>
            </w:pPr>
          </w:p>
        </w:tc>
        <w:tc>
          <w:tcPr>
            <w:tcW w:w="880" w:type="dxa"/>
            <w:vAlign w:val="bottom"/>
            <w:tcBorders>
              <w:bottom w:val="single" w:sz="8" w:color="DBDBDB"/>
            </w:tcBorders>
          </w:tcPr>
          <w:p>
            <w:pPr>
              <w:spacing w:after="0"/>
              <w:rPr>
                <w:sz w:val="10"/>
                <w:szCs w:val="10"/>
                <w:color w:val="auto"/>
              </w:rPr>
            </w:pPr>
          </w:p>
        </w:tc>
        <w:tc>
          <w:tcPr>
            <w:tcW w:w="1080" w:type="dxa"/>
            <w:vAlign w:val="bottom"/>
            <w:tcBorders>
              <w:bottom w:val="single" w:sz="8" w:color="DBDBDB"/>
            </w:tcBorders>
          </w:tcPr>
          <w:p>
            <w:pPr>
              <w:spacing w:after="0"/>
              <w:rPr>
                <w:sz w:val="10"/>
                <w:szCs w:val="10"/>
                <w:color w:val="auto"/>
              </w:rPr>
            </w:pPr>
          </w:p>
        </w:tc>
        <w:tc>
          <w:tcPr>
            <w:tcW w:w="840" w:type="dxa"/>
            <w:vAlign w:val="bottom"/>
            <w:tcBorders>
              <w:bottom w:val="single" w:sz="8" w:color="DBDBDB"/>
            </w:tcBorders>
          </w:tcPr>
          <w:p>
            <w:pPr>
              <w:spacing w:after="0"/>
              <w:rPr>
                <w:sz w:val="10"/>
                <w:szCs w:val="10"/>
                <w:color w:val="auto"/>
              </w:rPr>
            </w:pPr>
          </w:p>
        </w:tc>
        <w:tc>
          <w:tcPr>
            <w:tcW w:w="1680" w:type="dxa"/>
            <w:vAlign w:val="bottom"/>
            <w:tcBorders>
              <w:bottom w:val="single" w:sz="8" w:color="DBDBDB"/>
            </w:tcBorders>
          </w:tcPr>
          <w:p>
            <w:pPr>
              <w:spacing w:after="0"/>
              <w:rPr>
                <w:sz w:val="10"/>
                <w:szCs w:val="10"/>
                <w:color w:val="auto"/>
              </w:rPr>
            </w:pPr>
          </w:p>
        </w:tc>
        <w:tc>
          <w:tcPr>
            <w:tcW w:w="1660" w:type="dxa"/>
            <w:vAlign w:val="bottom"/>
            <w:tcBorders>
              <w:bottom w:val="single" w:sz="8" w:color="DBDBDB"/>
            </w:tcBorders>
          </w:tcPr>
          <w:p>
            <w:pPr>
              <w:spacing w:after="0"/>
              <w:rPr>
                <w:sz w:val="10"/>
                <w:szCs w:val="10"/>
                <w:color w:val="auto"/>
              </w:rPr>
            </w:pPr>
          </w:p>
        </w:tc>
        <w:tc>
          <w:tcPr>
            <w:tcW w:w="940" w:type="dxa"/>
            <w:vAlign w:val="bottom"/>
            <w:tcBorders>
              <w:bottom w:val="single" w:sz="8" w:color="DBDBDB"/>
            </w:tcBorders>
          </w:tcPr>
          <w:p>
            <w:pPr>
              <w:spacing w:after="0"/>
              <w:rPr>
                <w:sz w:val="10"/>
                <w:szCs w:val="10"/>
                <w:color w:val="auto"/>
              </w:rPr>
            </w:pPr>
          </w:p>
        </w:tc>
        <w:tc>
          <w:tcPr>
            <w:tcW w:w="0" w:type="dxa"/>
            <w:vAlign w:val="bottom"/>
          </w:tcPr>
          <w:p>
            <w:pPr>
              <w:spacing w:after="0"/>
              <w:rPr>
                <w:sz w:val="1"/>
                <w:szCs w:val="1"/>
                <w:color w:val="auto"/>
              </w:rPr>
            </w:pPr>
          </w:p>
        </w:tc>
      </w:tr>
      <w:tr>
        <w:trPr>
          <w:trHeight w:val="242"/>
        </w:trPr>
        <w:tc>
          <w:tcPr>
            <w:tcW w:w="2460" w:type="dxa"/>
            <w:vAlign w:val="bottom"/>
            <w:tcBorders>
              <w:bottom w:val="single" w:sz="8" w:color="E7ECF0"/>
            </w:tcBorders>
            <w:shd w:val="clear" w:color="auto" w:fill="E7ECF0"/>
          </w:tcPr>
          <w:p>
            <w:pPr>
              <w:ind w:left="20"/>
              <w:spacing w:after="0" w:line="183" w:lineRule="exact"/>
              <w:rPr>
                <w:sz w:val="20"/>
                <w:szCs w:val="20"/>
                <w:color w:val="auto"/>
              </w:rPr>
            </w:pPr>
            <w:r>
              <w:rPr>
                <w:rFonts w:ascii="Arial" w:cs="Arial" w:eastAsia="Arial" w:hAnsi="Arial"/>
                <w:sz w:val="16"/>
                <w:szCs w:val="16"/>
                <w:color w:val="auto"/>
              </w:rPr>
              <w:t>Craig K. Morgan</w:t>
            </w:r>
          </w:p>
        </w:tc>
        <w:tc>
          <w:tcPr>
            <w:tcW w:w="760" w:type="dxa"/>
            <w:vAlign w:val="bottom"/>
            <w:tcBorders>
              <w:bottom w:val="single" w:sz="8" w:color="E7ECF0"/>
            </w:tcBorders>
            <w:shd w:val="clear" w:color="auto" w:fill="E7ECF0"/>
          </w:tcPr>
          <w:p>
            <w:pPr>
              <w:jc w:val="right"/>
              <w:ind w:right="207"/>
              <w:spacing w:after="0"/>
              <w:rPr>
                <w:sz w:val="20"/>
                <w:szCs w:val="20"/>
                <w:color w:val="auto"/>
              </w:rPr>
            </w:pPr>
            <w:r>
              <w:rPr>
                <w:rFonts w:ascii="Arial" w:cs="Arial" w:eastAsia="Arial" w:hAnsi="Arial"/>
                <w:sz w:val="14"/>
                <w:szCs w:val="14"/>
                <w:color w:val="auto"/>
              </w:rPr>
              <w:t>2024</w:t>
            </w:r>
          </w:p>
        </w:tc>
        <w:tc>
          <w:tcPr>
            <w:tcW w:w="940" w:type="dxa"/>
            <w:vAlign w:val="bottom"/>
            <w:tcBorders>
              <w:bottom w:val="single" w:sz="8" w:color="E7ECF0"/>
            </w:tcBorders>
            <w:shd w:val="clear" w:color="auto" w:fill="E7ECF0"/>
          </w:tcPr>
          <w:p>
            <w:pPr>
              <w:jc w:val="right"/>
              <w:spacing w:after="0"/>
              <w:rPr>
                <w:sz w:val="20"/>
                <w:szCs w:val="20"/>
                <w:color w:val="auto"/>
              </w:rPr>
            </w:pPr>
            <w:r>
              <w:rPr>
                <w:rFonts w:ascii="Arial" w:cs="Arial" w:eastAsia="Arial" w:hAnsi="Arial"/>
                <w:sz w:val="14"/>
                <w:szCs w:val="14"/>
                <w:color w:val="auto"/>
              </w:rPr>
              <w:t>434,300</w:t>
            </w:r>
          </w:p>
        </w:tc>
        <w:tc>
          <w:tcPr>
            <w:tcW w:w="880" w:type="dxa"/>
            <w:vAlign w:val="bottom"/>
            <w:tcBorders>
              <w:bottom w:val="single" w:sz="8" w:color="E7ECF0"/>
            </w:tcBorders>
            <w:shd w:val="clear" w:color="auto" w:fill="E7ECF0"/>
          </w:tcPr>
          <w:p>
            <w:pPr>
              <w:jc w:val="center"/>
              <w:ind w:right="7"/>
              <w:spacing w:after="0"/>
              <w:rPr>
                <w:sz w:val="20"/>
                <w:szCs w:val="20"/>
                <w:color w:val="auto"/>
              </w:rPr>
            </w:pPr>
            <w:r>
              <w:rPr>
                <w:rFonts w:ascii="Arial" w:cs="Arial" w:eastAsia="Arial" w:hAnsi="Arial"/>
                <w:sz w:val="14"/>
                <w:szCs w:val="14"/>
                <w:color w:val="auto"/>
                <w:w w:val="84"/>
              </w:rPr>
              <w:t>-</w:t>
            </w:r>
          </w:p>
        </w:tc>
        <w:tc>
          <w:tcPr>
            <w:tcW w:w="1080" w:type="dxa"/>
            <w:vAlign w:val="bottom"/>
            <w:tcBorders>
              <w:bottom w:val="single" w:sz="8" w:color="E7ECF0"/>
            </w:tcBorders>
            <w:shd w:val="clear" w:color="auto" w:fill="E7ECF0"/>
          </w:tcPr>
          <w:p>
            <w:pPr>
              <w:jc w:val="right"/>
              <w:ind w:right="6"/>
              <w:spacing w:after="0"/>
              <w:rPr>
                <w:sz w:val="20"/>
                <w:szCs w:val="20"/>
                <w:color w:val="auto"/>
              </w:rPr>
            </w:pPr>
            <w:r>
              <w:rPr>
                <w:rFonts w:ascii="Arial" w:cs="Arial" w:eastAsia="Arial" w:hAnsi="Arial"/>
                <w:sz w:val="14"/>
                <w:szCs w:val="14"/>
                <w:color w:val="auto"/>
              </w:rPr>
              <w:t>938,072</w:t>
            </w:r>
          </w:p>
        </w:tc>
        <w:tc>
          <w:tcPr>
            <w:tcW w:w="840" w:type="dxa"/>
            <w:vAlign w:val="bottom"/>
            <w:tcBorders>
              <w:bottom w:val="single" w:sz="8" w:color="E7ECF0"/>
            </w:tcBorders>
            <w:shd w:val="clear" w:color="auto" w:fill="E7ECF0"/>
          </w:tcPr>
          <w:p>
            <w:pPr>
              <w:jc w:val="center"/>
              <w:ind w:right="26"/>
              <w:spacing w:after="0"/>
              <w:rPr>
                <w:sz w:val="20"/>
                <w:szCs w:val="20"/>
                <w:color w:val="auto"/>
              </w:rPr>
            </w:pPr>
            <w:r>
              <w:rPr>
                <w:rFonts w:ascii="Arial" w:cs="Arial" w:eastAsia="Arial" w:hAnsi="Arial"/>
                <w:sz w:val="14"/>
                <w:szCs w:val="14"/>
                <w:color w:val="auto"/>
              </w:rPr>
              <w:t>-</w:t>
            </w:r>
          </w:p>
        </w:tc>
        <w:tc>
          <w:tcPr>
            <w:tcW w:w="1680" w:type="dxa"/>
            <w:vAlign w:val="bottom"/>
            <w:tcBorders>
              <w:bottom w:val="single" w:sz="8" w:color="E7ECF0"/>
            </w:tcBorders>
            <w:shd w:val="clear" w:color="auto" w:fill="E7ECF0"/>
          </w:tcPr>
          <w:p>
            <w:pPr>
              <w:jc w:val="right"/>
              <w:ind w:right="66"/>
              <w:spacing w:after="0"/>
              <w:rPr>
                <w:sz w:val="20"/>
                <w:szCs w:val="20"/>
                <w:color w:val="auto"/>
              </w:rPr>
            </w:pPr>
            <w:r>
              <w:rPr>
                <w:rFonts w:ascii="Arial" w:cs="Arial" w:eastAsia="Arial" w:hAnsi="Arial"/>
                <w:sz w:val="14"/>
                <w:szCs w:val="14"/>
                <w:color w:val="auto"/>
              </w:rPr>
              <w:t>411,615</w:t>
            </w:r>
          </w:p>
        </w:tc>
        <w:tc>
          <w:tcPr>
            <w:tcW w:w="1660" w:type="dxa"/>
            <w:vAlign w:val="bottom"/>
            <w:tcBorders>
              <w:bottom w:val="single" w:sz="8" w:color="E7ECF0"/>
            </w:tcBorders>
            <w:shd w:val="clear" w:color="auto" w:fill="E7ECF0"/>
          </w:tcPr>
          <w:p>
            <w:pPr>
              <w:jc w:val="right"/>
              <w:ind w:right="146"/>
              <w:spacing w:after="0"/>
              <w:rPr>
                <w:sz w:val="20"/>
                <w:szCs w:val="20"/>
                <w:color w:val="auto"/>
              </w:rPr>
            </w:pPr>
            <w:r>
              <w:rPr>
                <w:rFonts w:ascii="Arial" w:cs="Arial" w:eastAsia="Arial" w:hAnsi="Arial"/>
                <w:sz w:val="14"/>
                <w:szCs w:val="14"/>
                <w:color w:val="auto"/>
              </w:rPr>
              <w:t>19,403</w:t>
            </w:r>
          </w:p>
        </w:tc>
        <w:tc>
          <w:tcPr>
            <w:tcW w:w="940" w:type="dxa"/>
            <w:vAlign w:val="bottom"/>
            <w:tcBorders>
              <w:bottom w:val="single" w:sz="8" w:color="E7ECF0"/>
            </w:tcBorders>
            <w:shd w:val="clear" w:color="auto" w:fill="E7ECF0"/>
          </w:tcPr>
          <w:p>
            <w:pPr>
              <w:jc w:val="right"/>
              <w:spacing w:after="0"/>
              <w:rPr>
                <w:sz w:val="20"/>
                <w:szCs w:val="20"/>
                <w:color w:val="auto"/>
              </w:rPr>
            </w:pPr>
            <w:r>
              <w:rPr>
                <w:rFonts w:ascii="Arial" w:cs="Arial" w:eastAsia="Arial" w:hAnsi="Arial"/>
                <w:sz w:val="14"/>
                <w:szCs w:val="14"/>
                <w:color w:val="auto"/>
              </w:rPr>
              <w:t>1,803,390</w:t>
            </w:r>
          </w:p>
        </w:tc>
        <w:tc>
          <w:tcPr>
            <w:tcW w:w="0" w:type="dxa"/>
            <w:vAlign w:val="bottom"/>
          </w:tcPr>
          <w:p>
            <w:pPr>
              <w:spacing w:after="0"/>
              <w:rPr>
                <w:sz w:val="1"/>
                <w:szCs w:val="1"/>
                <w:color w:val="auto"/>
              </w:rPr>
            </w:pPr>
          </w:p>
        </w:tc>
      </w:tr>
      <w:tr>
        <w:trPr>
          <w:trHeight w:val="141"/>
        </w:trPr>
        <w:tc>
          <w:tcPr>
            <w:tcW w:w="2460" w:type="dxa"/>
            <w:vAlign w:val="bottom"/>
            <w:tcBorders>
              <w:top w:val="single" w:sz="8" w:color="E7ECF0"/>
            </w:tcBorders>
            <w:shd w:val="clear" w:color="auto" w:fill="E7ECF0"/>
          </w:tcPr>
          <w:p>
            <w:pPr>
              <w:ind w:left="20"/>
              <w:spacing w:after="0" w:line="141" w:lineRule="exact"/>
              <w:rPr>
                <w:sz w:val="20"/>
                <w:szCs w:val="20"/>
                <w:color w:val="auto"/>
              </w:rPr>
            </w:pPr>
            <w:r>
              <w:rPr>
                <w:rFonts w:ascii="Arial" w:cs="Arial" w:eastAsia="Arial" w:hAnsi="Arial"/>
                <w:sz w:val="16"/>
                <w:szCs w:val="16"/>
                <w:color w:val="auto"/>
              </w:rPr>
              <w:t>General Counsel and Secretary</w:t>
            </w:r>
          </w:p>
        </w:tc>
        <w:tc>
          <w:tcPr>
            <w:tcW w:w="760" w:type="dxa"/>
            <w:vAlign w:val="bottom"/>
            <w:tcBorders>
              <w:top w:val="single" w:sz="8" w:color="DBDBDB"/>
            </w:tcBorders>
            <w:vMerge w:val="restart"/>
            <w:shd w:val="clear" w:color="auto" w:fill="E7ECF0"/>
          </w:tcPr>
          <w:p>
            <w:pPr>
              <w:jc w:val="right"/>
              <w:ind w:right="207"/>
              <w:spacing w:after="0"/>
              <w:rPr>
                <w:sz w:val="20"/>
                <w:szCs w:val="20"/>
                <w:color w:val="auto"/>
              </w:rPr>
            </w:pPr>
            <w:r>
              <w:rPr>
                <w:rFonts w:ascii="Arial" w:cs="Arial" w:eastAsia="Arial" w:hAnsi="Arial"/>
                <w:sz w:val="14"/>
                <w:szCs w:val="14"/>
                <w:color w:val="auto"/>
              </w:rPr>
              <w:t>2023</w:t>
            </w:r>
          </w:p>
        </w:tc>
        <w:tc>
          <w:tcPr>
            <w:tcW w:w="940" w:type="dxa"/>
            <w:vAlign w:val="bottom"/>
            <w:tcBorders>
              <w:top w:val="single" w:sz="8" w:color="DBDBDB"/>
            </w:tcBorders>
            <w:vMerge w:val="restart"/>
            <w:shd w:val="clear" w:color="auto" w:fill="E7ECF0"/>
          </w:tcPr>
          <w:p>
            <w:pPr>
              <w:jc w:val="right"/>
              <w:spacing w:after="0"/>
              <w:rPr>
                <w:sz w:val="20"/>
                <w:szCs w:val="20"/>
                <w:color w:val="auto"/>
              </w:rPr>
            </w:pPr>
            <w:r>
              <w:rPr>
                <w:rFonts w:ascii="Arial" w:cs="Arial" w:eastAsia="Arial" w:hAnsi="Arial"/>
                <w:sz w:val="14"/>
                <w:szCs w:val="14"/>
                <w:color w:val="auto"/>
              </w:rPr>
              <w:t>415,917</w:t>
            </w:r>
          </w:p>
        </w:tc>
        <w:tc>
          <w:tcPr>
            <w:tcW w:w="880" w:type="dxa"/>
            <w:vAlign w:val="bottom"/>
            <w:tcBorders>
              <w:top w:val="single" w:sz="8" w:color="DBDBDB"/>
            </w:tcBorders>
            <w:vMerge w:val="restart"/>
            <w:shd w:val="clear" w:color="auto" w:fill="E7ECF0"/>
          </w:tcPr>
          <w:p>
            <w:pPr>
              <w:jc w:val="center"/>
              <w:ind w:right="7"/>
              <w:spacing w:after="0"/>
              <w:rPr>
                <w:sz w:val="20"/>
                <w:szCs w:val="20"/>
                <w:color w:val="auto"/>
              </w:rPr>
            </w:pPr>
            <w:r>
              <w:rPr>
                <w:rFonts w:ascii="Arial" w:cs="Arial" w:eastAsia="Arial" w:hAnsi="Arial"/>
                <w:sz w:val="14"/>
                <w:szCs w:val="14"/>
                <w:color w:val="auto"/>
                <w:w w:val="84"/>
              </w:rPr>
              <w:t>-</w:t>
            </w:r>
          </w:p>
        </w:tc>
        <w:tc>
          <w:tcPr>
            <w:tcW w:w="1080" w:type="dxa"/>
            <w:vAlign w:val="bottom"/>
            <w:tcBorders>
              <w:top w:val="single" w:sz="8" w:color="DBDBDB"/>
            </w:tcBorders>
            <w:vMerge w:val="restart"/>
            <w:shd w:val="clear" w:color="auto" w:fill="E7ECF0"/>
          </w:tcPr>
          <w:p>
            <w:pPr>
              <w:jc w:val="right"/>
              <w:ind w:right="6"/>
              <w:spacing w:after="0"/>
              <w:rPr>
                <w:sz w:val="20"/>
                <w:szCs w:val="20"/>
                <w:color w:val="auto"/>
              </w:rPr>
            </w:pPr>
            <w:r>
              <w:rPr>
                <w:rFonts w:ascii="Arial" w:cs="Arial" w:eastAsia="Arial" w:hAnsi="Arial"/>
                <w:sz w:val="14"/>
                <w:szCs w:val="14"/>
                <w:color w:val="auto"/>
              </w:rPr>
              <w:t>982,948</w:t>
            </w:r>
          </w:p>
        </w:tc>
        <w:tc>
          <w:tcPr>
            <w:tcW w:w="840" w:type="dxa"/>
            <w:vAlign w:val="bottom"/>
            <w:tcBorders>
              <w:top w:val="single" w:sz="8" w:color="DBDBDB"/>
            </w:tcBorders>
            <w:vMerge w:val="restart"/>
            <w:shd w:val="clear" w:color="auto" w:fill="E7ECF0"/>
          </w:tcPr>
          <w:p>
            <w:pPr>
              <w:jc w:val="center"/>
              <w:ind w:right="26"/>
              <w:spacing w:after="0"/>
              <w:rPr>
                <w:sz w:val="20"/>
                <w:szCs w:val="20"/>
                <w:color w:val="auto"/>
              </w:rPr>
            </w:pPr>
            <w:r>
              <w:rPr>
                <w:rFonts w:ascii="Arial" w:cs="Arial" w:eastAsia="Arial" w:hAnsi="Arial"/>
                <w:sz w:val="14"/>
                <w:szCs w:val="14"/>
                <w:color w:val="auto"/>
              </w:rPr>
              <w:t>-</w:t>
            </w:r>
          </w:p>
        </w:tc>
        <w:tc>
          <w:tcPr>
            <w:tcW w:w="1680" w:type="dxa"/>
            <w:vAlign w:val="bottom"/>
            <w:tcBorders>
              <w:top w:val="single" w:sz="8" w:color="DBDBDB"/>
            </w:tcBorders>
            <w:vMerge w:val="restart"/>
            <w:shd w:val="clear" w:color="auto" w:fill="E7ECF0"/>
          </w:tcPr>
          <w:p>
            <w:pPr>
              <w:jc w:val="right"/>
              <w:ind w:right="66"/>
              <w:spacing w:after="0"/>
              <w:rPr>
                <w:sz w:val="20"/>
                <w:szCs w:val="20"/>
                <w:color w:val="auto"/>
              </w:rPr>
            </w:pPr>
            <w:r>
              <w:rPr>
                <w:rFonts w:ascii="Arial" w:cs="Arial" w:eastAsia="Arial" w:hAnsi="Arial"/>
                <w:sz w:val="14"/>
                <w:szCs w:val="14"/>
                <w:color w:val="auto"/>
              </w:rPr>
              <w:t>290,250</w:t>
            </w:r>
          </w:p>
        </w:tc>
        <w:tc>
          <w:tcPr>
            <w:tcW w:w="1660" w:type="dxa"/>
            <w:vAlign w:val="bottom"/>
            <w:tcBorders>
              <w:top w:val="single" w:sz="8" w:color="DBDBDB"/>
            </w:tcBorders>
            <w:vMerge w:val="restart"/>
            <w:shd w:val="clear" w:color="auto" w:fill="E7ECF0"/>
          </w:tcPr>
          <w:p>
            <w:pPr>
              <w:jc w:val="right"/>
              <w:ind w:right="146"/>
              <w:spacing w:after="0"/>
              <w:rPr>
                <w:sz w:val="20"/>
                <w:szCs w:val="20"/>
                <w:color w:val="auto"/>
              </w:rPr>
            </w:pPr>
            <w:r>
              <w:rPr>
                <w:rFonts w:ascii="Arial" w:cs="Arial" w:eastAsia="Arial" w:hAnsi="Arial"/>
                <w:sz w:val="14"/>
                <w:szCs w:val="14"/>
                <w:color w:val="auto"/>
              </w:rPr>
              <w:t>18,278</w:t>
            </w:r>
          </w:p>
        </w:tc>
        <w:tc>
          <w:tcPr>
            <w:tcW w:w="940" w:type="dxa"/>
            <w:vAlign w:val="bottom"/>
            <w:tcBorders>
              <w:top w:val="single" w:sz="8" w:color="DBDBDB"/>
            </w:tcBorders>
            <w:vMerge w:val="restart"/>
            <w:shd w:val="clear" w:color="auto" w:fill="E7ECF0"/>
          </w:tcPr>
          <w:p>
            <w:pPr>
              <w:jc w:val="right"/>
              <w:spacing w:after="0"/>
              <w:rPr>
                <w:sz w:val="20"/>
                <w:szCs w:val="20"/>
                <w:color w:val="auto"/>
              </w:rPr>
            </w:pPr>
            <w:r>
              <w:rPr>
                <w:rFonts w:ascii="Arial" w:cs="Arial" w:eastAsia="Arial" w:hAnsi="Arial"/>
                <w:sz w:val="14"/>
                <w:szCs w:val="14"/>
                <w:color w:val="auto"/>
              </w:rPr>
              <w:t>1,707,393</w:t>
            </w:r>
          </w:p>
        </w:tc>
        <w:tc>
          <w:tcPr>
            <w:tcW w:w="0" w:type="dxa"/>
            <w:vAlign w:val="bottom"/>
          </w:tcPr>
          <w:p>
            <w:pPr>
              <w:spacing w:after="0"/>
              <w:rPr>
                <w:sz w:val="1"/>
                <w:szCs w:val="1"/>
                <w:color w:val="auto"/>
              </w:rPr>
            </w:pPr>
          </w:p>
        </w:tc>
      </w:tr>
      <w:tr>
        <w:trPr>
          <w:trHeight w:val="92"/>
        </w:trPr>
        <w:tc>
          <w:tcPr>
            <w:tcW w:w="2460" w:type="dxa"/>
            <w:vAlign w:val="bottom"/>
            <w:tcBorders>
              <w:bottom w:val="single" w:sz="8" w:color="E7ECF0"/>
            </w:tcBorders>
            <w:shd w:val="clear" w:color="auto" w:fill="E7ECF0"/>
          </w:tcPr>
          <w:p>
            <w:pPr>
              <w:spacing w:after="0"/>
              <w:rPr>
                <w:sz w:val="7"/>
                <w:szCs w:val="7"/>
                <w:color w:val="auto"/>
              </w:rPr>
            </w:pPr>
          </w:p>
        </w:tc>
        <w:tc>
          <w:tcPr>
            <w:tcW w:w="760" w:type="dxa"/>
            <w:vAlign w:val="bottom"/>
            <w:tcBorders>
              <w:bottom w:val="single" w:sz="8" w:color="DBDBDB"/>
            </w:tcBorders>
            <w:vMerge w:val="continue"/>
            <w:shd w:val="clear" w:color="auto" w:fill="E7ECF0"/>
          </w:tcPr>
          <w:p>
            <w:pPr>
              <w:spacing w:after="0"/>
              <w:rPr>
                <w:sz w:val="7"/>
                <w:szCs w:val="7"/>
                <w:color w:val="auto"/>
              </w:rPr>
            </w:pPr>
          </w:p>
        </w:tc>
        <w:tc>
          <w:tcPr>
            <w:tcW w:w="940" w:type="dxa"/>
            <w:vAlign w:val="bottom"/>
            <w:tcBorders>
              <w:bottom w:val="single" w:sz="8" w:color="DBDBDB"/>
            </w:tcBorders>
            <w:vMerge w:val="continue"/>
            <w:shd w:val="clear" w:color="auto" w:fill="E7ECF0"/>
          </w:tcPr>
          <w:p>
            <w:pPr>
              <w:spacing w:after="0"/>
              <w:rPr>
                <w:sz w:val="7"/>
                <w:szCs w:val="7"/>
                <w:color w:val="auto"/>
              </w:rPr>
            </w:pPr>
          </w:p>
        </w:tc>
        <w:tc>
          <w:tcPr>
            <w:tcW w:w="880" w:type="dxa"/>
            <w:vAlign w:val="bottom"/>
            <w:tcBorders>
              <w:bottom w:val="single" w:sz="8" w:color="DBDBDB"/>
            </w:tcBorders>
            <w:vMerge w:val="continue"/>
            <w:shd w:val="clear" w:color="auto" w:fill="E7ECF0"/>
          </w:tcPr>
          <w:p>
            <w:pPr>
              <w:spacing w:after="0"/>
              <w:rPr>
                <w:sz w:val="7"/>
                <w:szCs w:val="7"/>
                <w:color w:val="auto"/>
              </w:rPr>
            </w:pPr>
          </w:p>
        </w:tc>
        <w:tc>
          <w:tcPr>
            <w:tcW w:w="1080" w:type="dxa"/>
            <w:vAlign w:val="bottom"/>
            <w:tcBorders>
              <w:bottom w:val="single" w:sz="8" w:color="DBDBDB"/>
            </w:tcBorders>
            <w:vMerge w:val="continue"/>
            <w:shd w:val="clear" w:color="auto" w:fill="E7ECF0"/>
          </w:tcPr>
          <w:p>
            <w:pPr>
              <w:spacing w:after="0"/>
              <w:rPr>
                <w:sz w:val="7"/>
                <w:szCs w:val="7"/>
                <w:color w:val="auto"/>
              </w:rPr>
            </w:pPr>
          </w:p>
        </w:tc>
        <w:tc>
          <w:tcPr>
            <w:tcW w:w="840" w:type="dxa"/>
            <w:vAlign w:val="bottom"/>
            <w:tcBorders>
              <w:bottom w:val="single" w:sz="8" w:color="DBDBDB"/>
            </w:tcBorders>
            <w:vMerge w:val="continue"/>
            <w:shd w:val="clear" w:color="auto" w:fill="E7ECF0"/>
          </w:tcPr>
          <w:p>
            <w:pPr>
              <w:spacing w:after="0"/>
              <w:rPr>
                <w:sz w:val="7"/>
                <w:szCs w:val="7"/>
                <w:color w:val="auto"/>
              </w:rPr>
            </w:pPr>
          </w:p>
        </w:tc>
        <w:tc>
          <w:tcPr>
            <w:tcW w:w="1680" w:type="dxa"/>
            <w:vAlign w:val="bottom"/>
            <w:tcBorders>
              <w:bottom w:val="single" w:sz="8" w:color="DBDBDB"/>
            </w:tcBorders>
            <w:vMerge w:val="continue"/>
            <w:shd w:val="clear" w:color="auto" w:fill="E7ECF0"/>
          </w:tcPr>
          <w:p>
            <w:pPr>
              <w:spacing w:after="0"/>
              <w:rPr>
                <w:sz w:val="7"/>
                <w:szCs w:val="7"/>
                <w:color w:val="auto"/>
              </w:rPr>
            </w:pPr>
          </w:p>
        </w:tc>
        <w:tc>
          <w:tcPr>
            <w:tcW w:w="1660" w:type="dxa"/>
            <w:vAlign w:val="bottom"/>
            <w:tcBorders>
              <w:bottom w:val="single" w:sz="8" w:color="DBDBDB"/>
            </w:tcBorders>
            <w:vMerge w:val="continue"/>
            <w:shd w:val="clear" w:color="auto" w:fill="E7ECF0"/>
          </w:tcPr>
          <w:p>
            <w:pPr>
              <w:spacing w:after="0"/>
              <w:rPr>
                <w:sz w:val="7"/>
                <w:szCs w:val="7"/>
                <w:color w:val="auto"/>
              </w:rPr>
            </w:pPr>
          </w:p>
        </w:tc>
        <w:tc>
          <w:tcPr>
            <w:tcW w:w="940" w:type="dxa"/>
            <w:vAlign w:val="bottom"/>
            <w:tcBorders>
              <w:bottom w:val="single" w:sz="8" w:color="DBDBDB"/>
            </w:tcBorders>
            <w:vMerge w:val="continue"/>
            <w:shd w:val="clear" w:color="auto" w:fill="E7ECF0"/>
          </w:tcPr>
          <w:p>
            <w:pPr>
              <w:spacing w:after="0"/>
              <w:rPr>
                <w:sz w:val="7"/>
                <w:szCs w:val="7"/>
                <w:color w:val="auto"/>
              </w:rPr>
            </w:pPr>
          </w:p>
        </w:tc>
        <w:tc>
          <w:tcPr>
            <w:tcW w:w="0" w:type="dxa"/>
            <w:vAlign w:val="bottom"/>
          </w:tcPr>
          <w:p>
            <w:pPr>
              <w:spacing w:after="0"/>
              <w:rPr>
                <w:sz w:val="1"/>
                <w:szCs w:val="1"/>
                <w:color w:val="auto"/>
              </w:rPr>
            </w:pPr>
          </w:p>
        </w:tc>
      </w:tr>
      <w:tr>
        <w:trPr>
          <w:trHeight w:val="237"/>
        </w:trPr>
        <w:tc>
          <w:tcPr>
            <w:tcW w:w="2460" w:type="dxa"/>
            <w:vAlign w:val="bottom"/>
            <w:tcBorders>
              <w:bottom w:val="single" w:sz="8" w:color="DBDBDB"/>
            </w:tcBorders>
            <w:shd w:val="clear" w:color="auto" w:fill="E7ECF0"/>
          </w:tcPr>
          <w:p>
            <w:pPr>
              <w:spacing w:after="0"/>
              <w:rPr>
                <w:sz w:val="20"/>
                <w:szCs w:val="20"/>
                <w:color w:val="auto"/>
              </w:rPr>
            </w:pPr>
          </w:p>
        </w:tc>
        <w:tc>
          <w:tcPr>
            <w:tcW w:w="760" w:type="dxa"/>
            <w:vAlign w:val="bottom"/>
            <w:tcBorders>
              <w:bottom w:val="single" w:sz="8" w:color="DBDBDB"/>
            </w:tcBorders>
            <w:shd w:val="clear" w:color="auto" w:fill="E7ECF0"/>
          </w:tcPr>
          <w:p>
            <w:pPr>
              <w:jc w:val="right"/>
              <w:ind w:right="207"/>
              <w:spacing w:after="0"/>
              <w:rPr>
                <w:sz w:val="20"/>
                <w:szCs w:val="20"/>
                <w:color w:val="auto"/>
              </w:rPr>
            </w:pPr>
            <w:r>
              <w:rPr>
                <w:rFonts w:ascii="Arial" w:cs="Arial" w:eastAsia="Arial" w:hAnsi="Arial"/>
                <w:sz w:val="14"/>
                <w:szCs w:val="14"/>
                <w:color w:val="auto"/>
              </w:rPr>
              <w:t>2022</w:t>
            </w:r>
          </w:p>
        </w:tc>
        <w:tc>
          <w:tcPr>
            <w:tcW w:w="940" w:type="dxa"/>
            <w:vAlign w:val="bottom"/>
            <w:tcBorders>
              <w:bottom w:val="single" w:sz="8" w:color="DBDBDB"/>
            </w:tcBorders>
            <w:shd w:val="clear" w:color="auto" w:fill="E7ECF0"/>
          </w:tcPr>
          <w:p>
            <w:pPr>
              <w:jc w:val="right"/>
              <w:spacing w:after="0"/>
              <w:rPr>
                <w:sz w:val="20"/>
                <w:szCs w:val="20"/>
                <w:color w:val="auto"/>
              </w:rPr>
            </w:pPr>
            <w:r>
              <w:rPr>
                <w:rFonts w:ascii="Arial" w:cs="Arial" w:eastAsia="Arial" w:hAnsi="Arial"/>
                <w:sz w:val="14"/>
                <w:szCs w:val="14"/>
                <w:color w:val="auto"/>
              </w:rPr>
              <w:t>370,076</w:t>
            </w:r>
          </w:p>
        </w:tc>
        <w:tc>
          <w:tcPr>
            <w:tcW w:w="880" w:type="dxa"/>
            <w:vAlign w:val="bottom"/>
            <w:tcBorders>
              <w:bottom w:val="single" w:sz="8" w:color="DBDBDB"/>
            </w:tcBorders>
            <w:shd w:val="clear" w:color="auto" w:fill="E7ECF0"/>
          </w:tcPr>
          <w:p>
            <w:pPr>
              <w:jc w:val="center"/>
              <w:ind w:right="7"/>
              <w:spacing w:after="0"/>
              <w:rPr>
                <w:sz w:val="20"/>
                <w:szCs w:val="20"/>
                <w:color w:val="auto"/>
              </w:rPr>
            </w:pPr>
            <w:r>
              <w:rPr>
                <w:rFonts w:ascii="Arial" w:cs="Arial" w:eastAsia="Arial" w:hAnsi="Arial"/>
                <w:sz w:val="14"/>
                <w:szCs w:val="14"/>
                <w:color w:val="auto"/>
                <w:w w:val="84"/>
              </w:rPr>
              <w:t>-</w:t>
            </w:r>
          </w:p>
        </w:tc>
        <w:tc>
          <w:tcPr>
            <w:tcW w:w="1080" w:type="dxa"/>
            <w:vAlign w:val="bottom"/>
            <w:tcBorders>
              <w:bottom w:val="single" w:sz="8" w:color="DBDBDB"/>
            </w:tcBorders>
            <w:shd w:val="clear" w:color="auto" w:fill="E7ECF0"/>
          </w:tcPr>
          <w:p>
            <w:pPr>
              <w:jc w:val="right"/>
              <w:ind w:right="6"/>
              <w:spacing w:after="0"/>
              <w:rPr>
                <w:sz w:val="20"/>
                <w:szCs w:val="20"/>
                <w:color w:val="auto"/>
              </w:rPr>
            </w:pPr>
            <w:r>
              <w:rPr>
                <w:rFonts w:ascii="Arial" w:cs="Arial" w:eastAsia="Arial" w:hAnsi="Arial"/>
                <w:sz w:val="14"/>
                <w:szCs w:val="14"/>
                <w:color w:val="auto"/>
              </w:rPr>
              <w:t>522,806</w:t>
            </w:r>
          </w:p>
        </w:tc>
        <w:tc>
          <w:tcPr>
            <w:tcW w:w="840" w:type="dxa"/>
            <w:vAlign w:val="bottom"/>
            <w:tcBorders>
              <w:bottom w:val="single" w:sz="8" w:color="DBDBDB"/>
            </w:tcBorders>
            <w:shd w:val="clear" w:color="auto" w:fill="E7ECF0"/>
          </w:tcPr>
          <w:p>
            <w:pPr>
              <w:jc w:val="center"/>
              <w:ind w:right="26"/>
              <w:spacing w:after="0"/>
              <w:rPr>
                <w:sz w:val="20"/>
                <w:szCs w:val="20"/>
                <w:color w:val="auto"/>
              </w:rPr>
            </w:pPr>
            <w:r>
              <w:rPr>
                <w:rFonts w:ascii="Arial" w:cs="Arial" w:eastAsia="Arial" w:hAnsi="Arial"/>
                <w:sz w:val="14"/>
                <w:szCs w:val="14"/>
                <w:color w:val="auto"/>
              </w:rPr>
              <w:t>-</w:t>
            </w:r>
          </w:p>
        </w:tc>
        <w:tc>
          <w:tcPr>
            <w:tcW w:w="1680" w:type="dxa"/>
            <w:vAlign w:val="bottom"/>
            <w:tcBorders>
              <w:bottom w:val="single" w:sz="8" w:color="DBDBDB"/>
            </w:tcBorders>
            <w:shd w:val="clear" w:color="auto" w:fill="E7ECF0"/>
          </w:tcPr>
          <w:p>
            <w:pPr>
              <w:jc w:val="right"/>
              <w:ind w:right="66"/>
              <w:spacing w:after="0"/>
              <w:rPr>
                <w:sz w:val="20"/>
                <w:szCs w:val="20"/>
                <w:color w:val="auto"/>
              </w:rPr>
            </w:pPr>
            <w:r>
              <w:rPr>
                <w:rFonts w:ascii="Arial" w:cs="Arial" w:eastAsia="Arial" w:hAnsi="Arial"/>
                <w:sz w:val="14"/>
                <w:szCs w:val="14"/>
                <w:color w:val="auto"/>
              </w:rPr>
              <w:t>319,562</w:t>
            </w:r>
          </w:p>
        </w:tc>
        <w:tc>
          <w:tcPr>
            <w:tcW w:w="1660" w:type="dxa"/>
            <w:vAlign w:val="bottom"/>
            <w:tcBorders>
              <w:bottom w:val="single" w:sz="8" w:color="DBDBDB"/>
            </w:tcBorders>
            <w:shd w:val="clear" w:color="auto" w:fill="E7ECF0"/>
          </w:tcPr>
          <w:p>
            <w:pPr>
              <w:jc w:val="right"/>
              <w:ind w:right="146"/>
              <w:spacing w:after="0"/>
              <w:rPr>
                <w:sz w:val="20"/>
                <w:szCs w:val="20"/>
                <w:color w:val="auto"/>
              </w:rPr>
            </w:pPr>
            <w:r>
              <w:rPr>
                <w:rFonts w:ascii="Arial" w:cs="Arial" w:eastAsia="Arial" w:hAnsi="Arial"/>
                <w:sz w:val="14"/>
                <w:szCs w:val="14"/>
                <w:color w:val="auto"/>
              </w:rPr>
              <w:t>14,761</w:t>
            </w:r>
          </w:p>
        </w:tc>
        <w:tc>
          <w:tcPr>
            <w:tcW w:w="940" w:type="dxa"/>
            <w:vAlign w:val="bottom"/>
            <w:tcBorders>
              <w:bottom w:val="single" w:sz="8" w:color="DBDBDB"/>
            </w:tcBorders>
            <w:shd w:val="clear" w:color="auto" w:fill="E7ECF0"/>
          </w:tcPr>
          <w:p>
            <w:pPr>
              <w:jc w:val="right"/>
              <w:spacing w:after="0"/>
              <w:rPr>
                <w:sz w:val="20"/>
                <w:szCs w:val="20"/>
                <w:color w:val="auto"/>
              </w:rPr>
            </w:pPr>
            <w:r>
              <w:rPr>
                <w:rFonts w:ascii="Arial" w:cs="Arial" w:eastAsia="Arial" w:hAnsi="Arial"/>
                <w:sz w:val="14"/>
                <w:szCs w:val="14"/>
                <w:color w:val="auto"/>
              </w:rPr>
              <w:t>1,227,205</w:t>
            </w:r>
          </w:p>
        </w:tc>
        <w:tc>
          <w:tcPr>
            <w:tcW w:w="0" w:type="dxa"/>
            <w:vAlign w:val="bottom"/>
          </w:tcPr>
          <w:p>
            <w:pPr>
              <w:spacing w:after="0"/>
              <w:rPr>
                <w:sz w:val="1"/>
                <w:szCs w:val="1"/>
                <w:color w:val="auto"/>
              </w:rPr>
            </w:pPr>
          </w:p>
        </w:tc>
      </w:tr>
      <w:tr>
        <w:trPr>
          <w:trHeight w:val="186"/>
        </w:trPr>
        <w:tc>
          <w:tcPr>
            <w:tcW w:w="2460" w:type="dxa"/>
            <w:vAlign w:val="bottom"/>
          </w:tcPr>
          <w:p>
            <w:pPr>
              <w:ind w:left="20"/>
              <w:spacing w:after="0"/>
              <w:rPr>
                <w:sz w:val="20"/>
                <w:szCs w:val="20"/>
                <w:color w:val="auto"/>
              </w:rPr>
            </w:pPr>
            <w:r>
              <w:rPr>
                <w:rFonts w:ascii="Arial" w:cs="Arial" w:eastAsia="Arial" w:hAnsi="Arial"/>
                <w:sz w:val="16"/>
                <w:szCs w:val="16"/>
                <w:color w:val="auto"/>
              </w:rPr>
              <w:t>Stacey E. Zengel</w:t>
            </w:r>
          </w:p>
        </w:tc>
        <w:tc>
          <w:tcPr>
            <w:tcW w:w="760" w:type="dxa"/>
            <w:vAlign w:val="bottom"/>
            <w:vMerge w:val="restart"/>
          </w:tcPr>
          <w:p>
            <w:pPr>
              <w:jc w:val="right"/>
              <w:ind w:right="207"/>
              <w:spacing w:after="0"/>
              <w:rPr>
                <w:sz w:val="20"/>
                <w:szCs w:val="20"/>
                <w:color w:val="auto"/>
              </w:rPr>
            </w:pPr>
            <w:r>
              <w:rPr>
                <w:rFonts w:ascii="Arial" w:cs="Arial" w:eastAsia="Arial" w:hAnsi="Arial"/>
                <w:sz w:val="14"/>
                <w:szCs w:val="14"/>
                <w:color w:val="auto"/>
              </w:rPr>
              <w:t>2024</w:t>
            </w:r>
          </w:p>
        </w:tc>
        <w:tc>
          <w:tcPr>
            <w:tcW w:w="940" w:type="dxa"/>
            <w:vAlign w:val="bottom"/>
            <w:vMerge w:val="restart"/>
          </w:tcPr>
          <w:p>
            <w:pPr>
              <w:jc w:val="right"/>
              <w:spacing w:after="0"/>
              <w:rPr>
                <w:sz w:val="20"/>
                <w:szCs w:val="20"/>
                <w:color w:val="auto"/>
              </w:rPr>
            </w:pPr>
            <w:r>
              <w:rPr>
                <w:rFonts w:ascii="Arial" w:cs="Arial" w:eastAsia="Arial" w:hAnsi="Arial"/>
                <w:sz w:val="14"/>
                <w:szCs w:val="14"/>
                <w:color w:val="auto"/>
              </w:rPr>
              <w:t>386,830</w:t>
            </w:r>
          </w:p>
        </w:tc>
        <w:tc>
          <w:tcPr>
            <w:tcW w:w="880" w:type="dxa"/>
            <w:vAlign w:val="bottom"/>
            <w:vMerge w:val="restart"/>
          </w:tcPr>
          <w:p>
            <w:pPr>
              <w:jc w:val="center"/>
              <w:ind w:right="7"/>
              <w:spacing w:after="0"/>
              <w:rPr>
                <w:sz w:val="20"/>
                <w:szCs w:val="20"/>
                <w:color w:val="auto"/>
              </w:rPr>
            </w:pPr>
            <w:r>
              <w:rPr>
                <w:rFonts w:ascii="Arial" w:cs="Arial" w:eastAsia="Arial" w:hAnsi="Arial"/>
                <w:sz w:val="14"/>
                <w:szCs w:val="14"/>
                <w:color w:val="auto"/>
                <w:w w:val="84"/>
              </w:rPr>
              <w:t>-</w:t>
            </w:r>
          </w:p>
        </w:tc>
        <w:tc>
          <w:tcPr>
            <w:tcW w:w="1080" w:type="dxa"/>
            <w:vAlign w:val="bottom"/>
            <w:vMerge w:val="restart"/>
          </w:tcPr>
          <w:p>
            <w:pPr>
              <w:jc w:val="right"/>
              <w:ind w:right="6"/>
              <w:spacing w:after="0"/>
              <w:rPr>
                <w:sz w:val="20"/>
                <w:szCs w:val="20"/>
                <w:color w:val="auto"/>
              </w:rPr>
            </w:pPr>
            <w:r>
              <w:rPr>
                <w:rFonts w:ascii="Arial" w:cs="Arial" w:eastAsia="Arial" w:hAnsi="Arial"/>
                <w:sz w:val="14"/>
                <w:szCs w:val="14"/>
                <w:color w:val="auto"/>
              </w:rPr>
              <w:t>375,906</w:t>
            </w:r>
          </w:p>
        </w:tc>
        <w:tc>
          <w:tcPr>
            <w:tcW w:w="840" w:type="dxa"/>
            <w:vAlign w:val="bottom"/>
            <w:vMerge w:val="restart"/>
          </w:tcPr>
          <w:p>
            <w:pPr>
              <w:jc w:val="center"/>
              <w:ind w:right="26"/>
              <w:spacing w:after="0"/>
              <w:rPr>
                <w:sz w:val="20"/>
                <w:szCs w:val="20"/>
                <w:color w:val="auto"/>
              </w:rPr>
            </w:pPr>
            <w:r>
              <w:rPr>
                <w:rFonts w:ascii="Arial" w:cs="Arial" w:eastAsia="Arial" w:hAnsi="Arial"/>
                <w:sz w:val="14"/>
                <w:szCs w:val="14"/>
                <w:color w:val="auto"/>
              </w:rPr>
              <w:t>-</w:t>
            </w:r>
          </w:p>
        </w:tc>
        <w:tc>
          <w:tcPr>
            <w:tcW w:w="1680" w:type="dxa"/>
            <w:vAlign w:val="bottom"/>
            <w:vMerge w:val="restart"/>
          </w:tcPr>
          <w:p>
            <w:pPr>
              <w:jc w:val="right"/>
              <w:ind w:right="66"/>
              <w:spacing w:after="0"/>
              <w:rPr>
                <w:sz w:val="20"/>
                <w:szCs w:val="20"/>
                <w:color w:val="auto"/>
              </w:rPr>
            </w:pPr>
            <w:r>
              <w:rPr>
                <w:rFonts w:ascii="Arial" w:cs="Arial" w:eastAsia="Arial" w:hAnsi="Arial"/>
                <w:sz w:val="14"/>
                <w:szCs w:val="14"/>
                <w:color w:val="auto"/>
              </w:rPr>
              <w:t>203,680</w:t>
            </w:r>
          </w:p>
        </w:tc>
        <w:tc>
          <w:tcPr>
            <w:tcW w:w="1660" w:type="dxa"/>
            <w:vAlign w:val="bottom"/>
            <w:vMerge w:val="restart"/>
          </w:tcPr>
          <w:p>
            <w:pPr>
              <w:jc w:val="right"/>
              <w:ind w:right="146"/>
              <w:spacing w:after="0"/>
              <w:rPr>
                <w:sz w:val="20"/>
                <w:szCs w:val="20"/>
                <w:color w:val="auto"/>
              </w:rPr>
            </w:pPr>
            <w:r>
              <w:rPr>
                <w:rFonts w:ascii="Arial" w:cs="Arial" w:eastAsia="Arial" w:hAnsi="Arial"/>
                <w:sz w:val="14"/>
                <w:szCs w:val="14"/>
                <w:color w:val="auto"/>
              </w:rPr>
              <w:t>16,692</w:t>
            </w:r>
          </w:p>
        </w:tc>
        <w:tc>
          <w:tcPr>
            <w:tcW w:w="940" w:type="dxa"/>
            <w:vAlign w:val="bottom"/>
            <w:vMerge w:val="restart"/>
          </w:tcPr>
          <w:p>
            <w:pPr>
              <w:jc w:val="right"/>
              <w:spacing w:after="0"/>
              <w:rPr>
                <w:sz w:val="20"/>
                <w:szCs w:val="20"/>
                <w:color w:val="auto"/>
              </w:rPr>
            </w:pPr>
            <w:r>
              <w:rPr>
                <w:rFonts w:ascii="Arial" w:cs="Arial" w:eastAsia="Arial" w:hAnsi="Arial"/>
                <w:sz w:val="14"/>
                <w:szCs w:val="14"/>
                <w:color w:val="auto"/>
              </w:rPr>
              <w:t>983,108</w:t>
            </w:r>
          </w:p>
        </w:tc>
        <w:tc>
          <w:tcPr>
            <w:tcW w:w="0" w:type="dxa"/>
            <w:vAlign w:val="bottom"/>
          </w:tcPr>
          <w:p>
            <w:pPr>
              <w:spacing w:after="0"/>
              <w:rPr>
                <w:sz w:val="1"/>
                <w:szCs w:val="1"/>
                <w:color w:val="auto"/>
              </w:rPr>
            </w:pPr>
          </w:p>
        </w:tc>
      </w:tr>
      <w:tr>
        <w:trPr>
          <w:trHeight w:val="87"/>
        </w:trPr>
        <w:tc>
          <w:tcPr>
            <w:tcW w:w="2460" w:type="dxa"/>
            <w:vAlign w:val="bottom"/>
            <w:vMerge w:val="restart"/>
          </w:tcPr>
          <w:p>
            <w:pPr>
              <w:ind w:left="20"/>
              <w:spacing w:after="0" w:line="176" w:lineRule="exact"/>
              <w:rPr>
                <w:sz w:val="20"/>
                <w:szCs w:val="20"/>
                <w:color w:val="auto"/>
              </w:rPr>
            </w:pPr>
            <w:r>
              <w:rPr>
                <w:rFonts w:ascii="Arial" w:cs="Arial" w:eastAsia="Arial" w:hAnsi="Arial"/>
                <w:sz w:val="16"/>
                <w:szCs w:val="16"/>
                <w:color w:val="auto"/>
              </w:rPr>
              <w:t>Former Senior Vice President</w:t>
            </w:r>
          </w:p>
        </w:tc>
        <w:tc>
          <w:tcPr>
            <w:tcW w:w="760" w:type="dxa"/>
            <w:vAlign w:val="bottom"/>
            <w:vMerge w:val="continue"/>
          </w:tcPr>
          <w:p>
            <w:pPr>
              <w:spacing w:after="0"/>
              <w:rPr>
                <w:sz w:val="7"/>
                <w:szCs w:val="7"/>
                <w:color w:val="auto"/>
              </w:rPr>
            </w:pPr>
          </w:p>
        </w:tc>
        <w:tc>
          <w:tcPr>
            <w:tcW w:w="940" w:type="dxa"/>
            <w:vAlign w:val="bottom"/>
            <w:vMerge w:val="continue"/>
          </w:tcPr>
          <w:p>
            <w:pPr>
              <w:spacing w:after="0"/>
              <w:rPr>
                <w:sz w:val="7"/>
                <w:szCs w:val="7"/>
                <w:color w:val="auto"/>
              </w:rPr>
            </w:pPr>
          </w:p>
        </w:tc>
        <w:tc>
          <w:tcPr>
            <w:tcW w:w="880" w:type="dxa"/>
            <w:vAlign w:val="bottom"/>
            <w:vMerge w:val="continue"/>
          </w:tcPr>
          <w:p>
            <w:pPr>
              <w:spacing w:after="0"/>
              <w:rPr>
                <w:sz w:val="7"/>
                <w:szCs w:val="7"/>
                <w:color w:val="auto"/>
              </w:rPr>
            </w:pPr>
          </w:p>
        </w:tc>
        <w:tc>
          <w:tcPr>
            <w:tcW w:w="1080" w:type="dxa"/>
            <w:vAlign w:val="bottom"/>
            <w:vMerge w:val="continue"/>
          </w:tcPr>
          <w:p>
            <w:pPr>
              <w:spacing w:after="0"/>
              <w:rPr>
                <w:sz w:val="7"/>
                <w:szCs w:val="7"/>
                <w:color w:val="auto"/>
              </w:rPr>
            </w:pPr>
          </w:p>
        </w:tc>
        <w:tc>
          <w:tcPr>
            <w:tcW w:w="840" w:type="dxa"/>
            <w:vAlign w:val="bottom"/>
            <w:vMerge w:val="continue"/>
          </w:tcPr>
          <w:p>
            <w:pPr>
              <w:spacing w:after="0"/>
              <w:rPr>
                <w:sz w:val="7"/>
                <w:szCs w:val="7"/>
                <w:color w:val="auto"/>
              </w:rPr>
            </w:pPr>
          </w:p>
        </w:tc>
        <w:tc>
          <w:tcPr>
            <w:tcW w:w="1680" w:type="dxa"/>
            <w:vAlign w:val="bottom"/>
            <w:vMerge w:val="continue"/>
          </w:tcPr>
          <w:p>
            <w:pPr>
              <w:spacing w:after="0"/>
              <w:rPr>
                <w:sz w:val="7"/>
                <w:szCs w:val="7"/>
                <w:color w:val="auto"/>
              </w:rPr>
            </w:pPr>
          </w:p>
        </w:tc>
        <w:tc>
          <w:tcPr>
            <w:tcW w:w="1660" w:type="dxa"/>
            <w:vAlign w:val="bottom"/>
            <w:vMerge w:val="continue"/>
          </w:tcPr>
          <w:p>
            <w:pPr>
              <w:spacing w:after="0"/>
              <w:rPr>
                <w:sz w:val="7"/>
                <w:szCs w:val="7"/>
                <w:color w:val="auto"/>
              </w:rPr>
            </w:pPr>
          </w:p>
        </w:tc>
        <w:tc>
          <w:tcPr>
            <w:tcW w:w="9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9"/>
        </w:trPr>
        <w:tc>
          <w:tcPr>
            <w:tcW w:w="2460" w:type="dxa"/>
            <w:vAlign w:val="bottom"/>
            <w:vMerge w:val="continue"/>
          </w:tcPr>
          <w:p>
            <w:pPr>
              <w:spacing w:after="0"/>
              <w:rPr>
                <w:sz w:val="7"/>
                <w:szCs w:val="7"/>
                <w:color w:val="auto"/>
              </w:rPr>
            </w:pPr>
          </w:p>
        </w:tc>
        <w:tc>
          <w:tcPr>
            <w:tcW w:w="760" w:type="dxa"/>
            <w:vAlign w:val="bottom"/>
            <w:tcBorders>
              <w:bottom w:val="single" w:sz="8" w:color="DBDBDB"/>
            </w:tcBorders>
          </w:tcPr>
          <w:p>
            <w:pPr>
              <w:spacing w:after="0"/>
              <w:rPr>
                <w:sz w:val="7"/>
                <w:szCs w:val="7"/>
                <w:color w:val="auto"/>
              </w:rPr>
            </w:pPr>
          </w:p>
        </w:tc>
        <w:tc>
          <w:tcPr>
            <w:tcW w:w="940" w:type="dxa"/>
            <w:vAlign w:val="bottom"/>
            <w:tcBorders>
              <w:bottom w:val="single" w:sz="8" w:color="DBDBDB"/>
            </w:tcBorders>
          </w:tcPr>
          <w:p>
            <w:pPr>
              <w:spacing w:after="0"/>
              <w:rPr>
                <w:sz w:val="7"/>
                <w:szCs w:val="7"/>
                <w:color w:val="auto"/>
              </w:rPr>
            </w:pPr>
          </w:p>
        </w:tc>
        <w:tc>
          <w:tcPr>
            <w:tcW w:w="880" w:type="dxa"/>
            <w:vAlign w:val="bottom"/>
            <w:tcBorders>
              <w:bottom w:val="single" w:sz="8" w:color="DBDBDB"/>
            </w:tcBorders>
          </w:tcPr>
          <w:p>
            <w:pPr>
              <w:spacing w:after="0"/>
              <w:rPr>
                <w:sz w:val="7"/>
                <w:szCs w:val="7"/>
                <w:color w:val="auto"/>
              </w:rPr>
            </w:pPr>
          </w:p>
        </w:tc>
        <w:tc>
          <w:tcPr>
            <w:tcW w:w="1080" w:type="dxa"/>
            <w:vAlign w:val="bottom"/>
            <w:tcBorders>
              <w:bottom w:val="single" w:sz="8" w:color="DBDBDB"/>
            </w:tcBorders>
          </w:tcPr>
          <w:p>
            <w:pPr>
              <w:spacing w:after="0"/>
              <w:rPr>
                <w:sz w:val="7"/>
                <w:szCs w:val="7"/>
                <w:color w:val="auto"/>
              </w:rPr>
            </w:pPr>
          </w:p>
        </w:tc>
        <w:tc>
          <w:tcPr>
            <w:tcW w:w="840" w:type="dxa"/>
            <w:vAlign w:val="bottom"/>
            <w:tcBorders>
              <w:bottom w:val="single" w:sz="8" w:color="DBDBDB"/>
            </w:tcBorders>
          </w:tcPr>
          <w:p>
            <w:pPr>
              <w:spacing w:after="0"/>
              <w:rPr>
                <w:sz w:val="7"/>
                <w:szCs w:val="7"/>
                <w:color w:val="auto"/>
              </w:rPr>
            </w:pPr>
          </w:p>
        </w:tc>
        <w:tc>
          <w:tcPr>
            <w:tcW w:w="1680" w:type="dxa"/>
            <w:vAlign w:val="bottom"/>
            <w:tcBorders>
              <w:bottom w:val="single" w:sz="8" w:color="DBDBDB"/>
            </w:tcBorders>
          </w:tcPr>
          <w:p>
            <w:pPr>
              <w:spacing w:after="0"/>
              <w:rPr>
                <w:sz w:val="7"/>
                <w:szCs w:val="7"/>
                <w:color w:val="auto"/>
              </w:rPr>
            </w:pPr>
          </w:p>
        </w:tc>
        <w:tc>
          <w:tcPr>
            <w:tcW w:w="1660" w:type="dxa"/>
            <w:vAlign w:val="bottom"/>
            <w:tcBorders>
              <w:bottom w:val="single" w:sz="8" w:color="DBDBDB"/>
            </w:tcBorders>
          </w:tcPr>
          <w:p>
            <w:pPr>
              <w:spacing w:after="0"/>
              <w:rPr>
                <w:sz w:val="7"/>
                <w:szCs w:val="7"/>
                <w:color w:val="auto"/>
              </w:rPr>
            </w:pPr>
          </w:p>
        </w:tc>
        <w:tc>
          <w:tcPr>
            <w:tcW w:w="940" w:type="dxa"/>
            <w:vAlign w:val="bottom"/>
            <w:tcBorders>
              <w:bottom w:val="single" w:sz="8" w:color="DBDBDB"/>
            </w:tcBorders>
          </w:tcPr>
          <w:p>
            <w:pPr>
              <w:spacing w:after="0"/>
              <w:rPr>
                <w:sz w:val="7"/>
                <w:szCs w:val="7"/>
                <w:color w:val="auto"/>
              </w:rPr>
            </w:pPr>
          </w:p>
        </w:tc>
        <w:tc>
          <w:tcPr>
            <w:tcW w:w="0" w:type="dxa"/>
            <w:vAlign w:val="bottom"/>
          </w:tcPr>
          <w:p>
            <w:pPr>
              <w:spacing w:after="0"/>
              <w:rPr>
                <w:sz w:val="1"/>
                <w:szCs w:val="1"/>
                <w:color w:val="auto"/>
              </w:rPr>
            </w:pPr>
          </w:p>
        </w:tc>
      </w:tr>
      <w:tr>
        <w:trPr>
          <w:trHeight w:val="168"/>
        </w:trPr>
        <w:tc>
          <w:tcPr>
            <w:tcW w:w="2460" w:type="dxa"/>
            <w:vAlign w:val="bottom"/>
          </w:tcPr>
          <w:p>
            <w:pPr>
              <w:ind w:left="20"/>
              <w:spacing w:after="0" w:line="168" w:lineRule="exact"/>
              <w:rPr>
                <w:sz w:val="20"/>
                <w:szCs w:val="20"/>
                <w:color w:val="auto"/>
              </w:rPr>
            </w:pPr>
            <w:r>
              <w:rPr>
                <w:rFonts w:ascii="Arial" w:cs="Arial" w:eastAsia="Arial" w:hAnsi="Arial"/>
                <w:sz w:val="16"/>
                <w:szCs w:val="16"/>
                <w:color w:val="auto"/>
              </w:rPr>
              <w:t>and President of Jack Henry</w:t>
            </w:r>
          </w:p>
        </w:tc>
        <w:tc>
          <w:tcPr>
            <w:tcW w:w="760" w:type="dxa"/>
            <w:vAlign w:val="bottom"/>
            <w:vMerge w:val="restart"/>
          </w:tcPr>
          <w:p>
            <w:pPr>
              <w:jc w:val="right"/>
              <w:ind w:right="207"/>
              <w:spacing w:after="0"/>
              <w:rPr>
                <w:sz w:val="20"/>
                <w:szCs w:val="20"/>
                <w:color w:val="auto"/>
              </w:rPr>
            </w:pPr>
            <w:r>
              <w:rPr>
                <w:rFonts w:ascii="Arial" w:cs="Arial" w:eastAsia="Arial" w:hAnsi="Arial"/>
                <w:sz w:val="14"/>
                <w:szCs w:val="14"/>
                <w:color w:val="auto"/>
              </w:rPr>
              <w:t>2023</w:t>
            </w:r>
          </w:p>
        </w:tc>
        <w:tc>
          <w:tcPr>
            <w:tcW w:w="940" w:type="dxa"/>
            <w:vAlign w:val="bottom"/>
            <w:vMerge w:val="restart"/>
          </w:tcPr>
          <w:p>
            <w:pPr>
              <w:jc w:val="right"/>
              <w:spacing w:after="0"/>
              <w:rPr>
                <w:sz w:val="20"/>
                <w:szCs w:val="20"/>
                <w:color w:val="auto"/>
              </w:rPr>
            </w:pPr>
            <w:r>
              <w:rPr>
                <w:rFonts w:ascii="Arial" w:cs="Arial" w:eastAsia="Arial" w:hAnsi="Arial"/>
                <w:sz w:val="14"/>
                <w:szCs w:val="14"/>
                <w:color w:val="auto"/>
              </w:rPr>
              <w:t>380,187</w:t>
            </w:r>
          </w:p>
        </w:tc>
        <w:tc>
          <w:tcPr>
            <w:tcW w:w="880" w:type="dxa"/>
            <w:vAlign w:val="bottom"/>
            <w:vMerge w:val="restart"/>
          </w:tcPr>
          <w:p>
            <w:pPr>
              <w:jc w:val="center"/>
              <w:ind w:right="7"/>
              <w:spacing w:after="0"/>
              <w:rPr>
                <w:sz w:val="20"/>
                <w:szCs w:val="20"/>
                <w:color w:val="auto"/>
              </w:rPr>
            </w:pPr>
            <w:r>
              <w:rPr>
                <w:rFonts w:ascii="Arial" w:cs="Arial" w:eastAsia="Arial" w:hAnsi="Arial"/>
                <w:sz w:val="14"/>
                <w:szCs w:val="14"/>
                <w:color w:val="auto"/>
                <w:w w:val="84"/>
              </w:rPr>
              <w:t>-</w:t>
            </w:r>
          </w:p>
        </w:tc>
        <w:tc>
          <w:tcPr>
            <w:tcW w:w="1080" w:type="dxa"/>
            <w:vAlign w:val="bottom"/>
            <w:vMerge w:val="restart"/>
          </w:tcPr>
          <w:p>
            <w:pPr>
              <w:jc w:val="right"/>
              <w:ind w:right="6"/>
              <w:spacing w:after="0"/>
              <w:rPr>
                <w:sz w:val="20"/>
                <w:szCs w:val="20"/>
                <w:color w:val="auto"/>
              </w:rPr>
            </w:pPr>
            <w:r>
              <w:rPr>
                <w:rFonts w:ascii="Arial" w:cs="Arial" w:eastAsia="Arial" w:hAnsi="Arial"/>
                <w:sz w:val="14"/>
                <w:szCs w:val="14"/>
                <w:color w:val="auto"/>
              </w:rPr>
              <w:t>394,028</w:t>
            </w:r>
          </w:p>
        </w:tc>
        <w:tc>
          <w:tcPr>
            <w:tcW w:w="840" w:type="dxa"/>
            <w:vAlign w:val="bottom"/>
            <w:vMerge w:val="restart"/>
          </w:tcPr>
          <w:p>
            <w:pPr>
              <w:jc w:val="center"/>
              <w:ind w:right="26"/>
              <w:spacing w:after="0"/>
              <w:rPr>
                <w:sz w:val="20"/>
                <w:szCs w:val="20"/>
                <w:color w:val="auto"/>
              </w:rPr>
            </w:pPr>
            <w:r>
              <w:rPr>
                <w:rFonts w:ascii="Arial" w:cs="Arial" w:eastAsia="Arial" w:hAnsi="Arial"/>
                <w:sz w:val="14"/>
                <w:szCs w:val="14"/>
                <w:color w:val="auto"/>
              </w:rPr>
              <w:t>-</w:t>
            </w:r>
          </w:p>
        </w:tc>
        <w:tc>
          <w:tcPr>
            <w:tcW w:w="1680" w:type="dxa"/>
            <w:vAlign w:val="bottom"/>
            <w:vMerge w:val="restart"/>
          </w:tcPr>
          <w:p>
            <w:pPr>
              <w:jc w:val="right"/>
              <w:ind w:right="66"/>
              <w:spacing w:after="0"/>
              <w:rPr>
                <w:sz w:val="20"/>
                <w:szCs w:val="20"/>
                <w:color w:val="auto"/>
              </w:rPr>
            </w:pPr>
            <w:r>
              <w:rPr>
                <w:rFonts w:ascii="Arial" w:cs="Arial" w:eastAsia="Arial" w:hAnsi="Arial"/>
                <w:sz w:val="14"/>
                <w:szCs w:val="14"/>
                <w:color w:val="auto"/>
              </w:rPr>
              <w:t>138,239</w:t>
            </w:r>
          </w:p>
        </w:tc>
        <w:tc>
          <w:tcPr>
            <w:tcW w:w="1660" w:type="dxa"/>
            <w:vAlign w:val="bottom"/>
            <w:vMerge w:val="restart"/>
          </w:tcPr>
          <w:p>
            <w:pPr>
              <w:jc w:val="right"/>
              <w:ind w:right="146"/>
              <w:spacing w:after="0"/>
              <w:rPr>
                <w:sz w:val="20"/>
                <w:szCs w:val="20"/>
                <w:color w:val="auto"/>
              </w:rPr>
            </w:pPr>
            <w:r>
              <w:rPr>
                <w:rFonts w:ascii="Arial" w:cs="Arial" w:eastAsia="Arial" w:hAnsi="Arial"/>
                <w:sz w:val="14"/>
                <w:szCs w:val="14"/>
                <w:color w:val="auto"/>
              </w:rPr>
              <w:t>10,812</w:t>
            </w:r>
          </w:p>
        </w:tc>
        <w:tc>
          <w:tcPr>
            <w:tcW w:w="940" w:type="dxa"/>
            <w:vAlign w:val="bottom"/>
            <w:vMerge w:val="restart"/>
          </w:tcPr>
          <w:p>
            <w:pPr>
              <w:jc w:val="right"/>
              <w:spacing w:after="0"/>
              <w:rPr>
                <w:sz w:val="20"/>
                <w:szCs w:val="20"/>
                <w:color w:val="auto"/>
              </w:rPr>
            </w:pPr>
            <w:r>
              <w:rPr>
                <w:rFonts w:ascii="Arial" w:cs="Arial" w:eastAsia="Arial" w:hAnsi="Arial"/>
                <w:sz w:val="14"/>
                <w:szCs w:val="14"/>
                <w:color w:val="auto"/>
              </w:rPr>
              <w:t>923,266</w:t>
            </w:r>
          </w:p>
        </w:tc>
        <w:tc>
          <w:tcPr>
            <w:tcW w:w="0" w:type="dxa"/>
            <w:vAlign w:val="bottom"/>
          </w:tcPr>
          <w:p>
            <w:pPr>
              <w:spacing w:after="0"/>
              <w:rPr>
                <w:sz w:val="1"/>
                <w:szCs w:val="1"/>
                <w:color w:val="auto"/>
              </w:rPr>
            </w:pPr>
          </w:p>
        </w:tc>
      </w:tr>
      <w:tr>
        <w:trPr>
          <w:trHeight w:val="101"/>
        </w:trPr>
        <w:tc>
          <w:tcPr>
            <w:tcW w:w="2460" w:type="dxa"/>
            <w:vAlign w:val="bottom"/>
            <w:vMerge w:val="restart"/>
          </w:tcPr>
          <w:p>
            <w:pPr>
              <w:ind w:left="20"/>
              <w:spacing w:after="0"/>
              <w:rPr>
                <w:sz w:val="20"/>
                <w:szCs w:val="20"/>
                <w:color w:val="auto"/>
              </w:rPr>
            </w:pPr>
            <w:r>
              <w:rPr>
                <w:rFonts w:ascii="Arial" w:cs="Arial" w:eastAsia="Arial" w:hAnsi="Arial"/>
                <w:sz w:val="16"/>
                <w:szCs w:val="16"/>
                <w:color w:val="auto"/>
              </w:rPr>
              <w:t>Bank Solutions</w:t>
            </w:r>
          </w:p>
        </w:tc>
        <w:tc>
          <w:tcPr>
            <w:tcW w:w="760" w:type="dxa"/>
            <w:vAlign w:val="bottom"/>
            <w:vMerge w:val="continue"/>
          </w:tcPr>
          <w:p>
            <w:pPr>
              <w:spacing w:after="0"/>
              <w:rPr>
                <w:sz w:val="8"/>
                <w:szCs w:val="8"/>
                <w:color w:val="auto"/>
              </w:rPr>
            </w:pPr>
          </w:p>
        </w:tc>
        <w:tc>
          <w:tcPr>
            <w:tcW w:w="940" w:type="dxa"/>
            <w:vAlign w:val="bottom"/>
            <w:vMerge w:val="continue"/>
          </w:tcPr>
          <w:p>
            <w:pPr>
              <w:spacing w:after="0"/>
              <w:rPr>
                <w:sz w:val="8"/>
                <w:szCs w:val="8"/>
                <w:color w:val="auto"/>
              </w:rPr>
            </w:pPr>
          </w:p>
        </w:tc>
        <w:tc>
          <w:tcPr>
            <w:tcW w:w="880" w:type="dxa"/>
            <w:vAlign w:val="bottom"/>
            <w:vMerge w:val="continue"/>
          </w:tcPr>
          <w:p>
            <w:pPr>
              <w:spacing w:after="0"/>
              <w:rPr>
                <w:sz w:val="8"/>
                <w:szCs w:val="8"/>
                <w:color w:val="auto"/>
              </w:rPr>
            </w:pPr>
          </w:p>
        </w:tc>
        <w:tc>
          <w:tcPr>
            <w:tcW w:w="1080" w:type="dxa"/>
            <w:vAlign w:val="bottom"/>
            <w:vMerge w:val="continue"/>
          </w:tcPr>
          <w:p>
            <w:pPr>
              <w:spacing w:after="0"/>
              <w:rPr>
                <w:sz w:val="8"/>
                <w:szCs w:val="8"/>
                <w:color w:val="auto"/>
              </w:rPr>
            </w:pPr>
          </w:p>
        </w:tc>
        <w:tc>
          <w:tcPr>
            <w:tcW w:w="840" w:type="dxa"/>
            <w:vAlign w:val="bottom"/>
            <w:vMerge w:val="continue"/>
          </w:tcPr>
          <w:p>
            <w:pPr>
              <w:spacing w:after="0"/>
              <w:rPr>
                <w:sz w:val="8"/>
                <w:szCs w:val="8"/>
                <w:color w:val="auto"/>
              </w:rPr>
            </w:pPr>
          </w:p>
        </w:tc>
        <w:tc>
          <w:tcPr>
            <w:tcW w:w="1680" w:type="dxa"/>
            <w:vAlign w:val="bottom"/>
            <w:vMerge w:val="continue"/>
          </w:tcPr>
          <w:p>
            <w:pPr>
              <w:spacing w:after="0"/>
              <w:rPr>
                <w:sz w:val="8"/>
                <w:szCs w:val="8"/>
                <w:color w:val="auto"/>
              </w:rPr>
            </w:pPr>
          </w:p>
        </w:tc>
        <w:tc>
          <w:tcPr>
            <w:tcW w:w="1660" w:type="dxa"/>
            <w:vAlign w:val="bottom"/>
            <w:vMerge w:val="continue"/>
          </w:tcPr>
          <w:p>
            <w:pPr>
              <w:spacing w:after="0"/>
              <w:rPr>
                <w:sz w:val="8"/>
                <w:szCs w:val="8"/>
                <w:color w:val="auto"/>
              </w:rPr>
            </w:pPr>
          </w:p>
        </w:tc>
        <w:tc>
          <w:tcPr>
            <w:tcW w:w="9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9"/>
        </w:trPr>
        <w:tc>
          <w:tcPr>
            <w:tcW w:w="2460" w:type="dxa"/>
            <w:vAlign w:val="bottom"/>
            <w:vMerge w:val="continue"/>
          </w:tcPr>
          <w:p>
            <w:pPr>
              <w:spacing w:after="0"/>
              <w:rPr>
                <w:sz w:val="7"/>
                <w:szCs w:val="7"/>
                <w:color w:val="auto"/>
              </w:rPr>
            </w:pPr>
          </w:p>
        </w:tc>
        <w:tc>
          <w:tcPr>
            <w:tcW w:w="760" w:type="dxa"/>
            <w:vAlign w:val="bottom"/>
            <w:tcBorders>
              <w:bottom w:val="single" w:sz="8" w:color="DBDBDB"/>
            </w:tcBorders>
          </w:tcPr>
          <w:p>
            <w:pPr>
              <w:spacing w:after="0"/>
              <w:rPr>
                <w:sz w:val="7"/>
                <w:szCs w:val="7"/>
                <w:color w:val="auto"/>
              </w:rPr>
            </w:pPr>
          </w:p>
        </w:tc>
        <w:tc>
          <w:tcPr>
            <w:tcW w:w="940" w:type="dxa"/>
            <w:vAlign w:val="bottom"/>
            <w:tcBorders>
              <w:bottom w:val="single" w:sz="8" w:color="DBDBDB"/>
            </w:tcBorders>
          </w:tcPr>
          <w:p>
            <w:pPr>
              <w:spacing w:after="0"/>
              <w:rPr>
                <w:sz w:val="7"/>
                <w:szCs w:val="7"/>
                <w:color w:val="auto"/>
              </w:rPr>
            </w:pPr>
          </w:p>
        </w:tc>
        <w:tc>
          <w:tcPr>
            <w:tcW w:w="880" w:type="dxa"/>
            <w:vAlign w:val="bottom"/>
            <w:tcBorders>
              <w:bottom w:val="single" w:sz="8" w:color="DBDBDB"/>
            </w:tcBorders>
          </w:tcPr>
          <w:p>
            <w:pPr>
              <w:spacing w:after="0"/>
              <w:rPr>
                <w:sz w:val="7"/>
                <w:szCs w:val="7"/>
                <w:color w:val="auto"/>
              </w:rPr>
            </w:pPr>
          </w:p>
        </w:tc>
        <w:tc>
          <w:tcPr>
            <w:tcW w:w="1080" w:type="dxa"/>
            <w:vAlign w:val="bottom"/>
            <w:tcBorders>
              <w:bottom w:val="single" w:sz="8" w:color="DBDBDB"/>
            </w:tcBorders>
          </w:tcPr>
          <w:p>
            <w:pPr>
              <w:spacing w:after="0"/>
              <w:rPr>
                <w:sz w:val="7"/>
                <w:szCs w:val="7"/>
                <w:color w:val="auto"/>
              </w:rPr>
            </w:pPr>
          </w:p>
        </w:tc>
        <w:tc>
          <w:tcPr>
            <w:tcW w:w="840" w:type="dxa"/>
            <w:vAlign w:val="bottom"/>
            <w:tcBorders>
              <w:bottom w:val="single" w:sz="8" w:color="DBDBDB"/>
            </w:tcBorders>
          </w:tcPr>
          <w:p>
            <w:pPr>
              <w:spacing w:after="0"/>
              <w:rPr>
                <w:sz w:val="7"/>
                <w:szCs w:val="7"/>
                <w:color w:val="auto"/>
              </w:rPr>
            </w:pPr>
          </w:p>
        </w:tc>
        <w:tc>
          <w:tcPr>
            <w:tcW w:w="1680" w:type="dxa"/>
            <w:vAlign w:val="bottom"/>
            <w:tcBorders>
              <w:bottom w:val="single" w:sz="8" w:color="DBDBDB"/>
            </w:tcBorders>
          </w:tcPr>
          <w:p>
            <w:pPr>
              <w:spacing w:after="0"/>
              <w:rPr>
                <w:sz w:val="7"/>
                <w:szCs w:val="7"/>
                <w:color w:val="auto"/>
              </w:rPr>
            </w:pPr>
          </w:p>
        </w:tc>
        <w:tc>
          <w:tcPr>
            <w:tcW w:w="1660" w:type="dxa"/>
            <w:vAlign w:val="bottom"/>
            <w:tcBorders>
              <w:bottom w:val="single" w:sz="8" w:color="DBDBDB"/>
            </w:tcBorders>
          </w:tcPr>
          <w:p>
            <w:pPr>
              <w:spacing w:after="0"/>
              <w:rPr>
                <w:sz w:val="7"/>
                <w:szCs w:val="7"/>
                <w:color w:val="auto"/>
              </w:rPr>
            </w:pPr>
          </w:p>
        </w:tc>
        <w:tc>
          <w:tcPr>
            <w:tcW w:w="940" w:type="dxa"/>
            <w:vAlign w:val="bottom"/>
            <w:tcBorders>
              <w:bottom w:val="single" w:sz="8" w:color="DBDBDB"/>
            </w:tcBorders>
          </w:tcPr>
          <w:p>
            <w:pPr>
              <w:spacing w:after="0"/>
              <w:rPr>
                <w:sz w:val="7"/>
                <w:szCs w:val="7"/>
                <w:color w:val="auto"/>
              </w:rPr>
            </w:pPr>
          </w:p>
        </w:tc>
        <w:tc>
          <w:tcPr>
            <w:tcW w:w="0" w:type="dxa"/>
            <w:vAlign w:val="bottom"/>
          </w:tcPr>
          <w:p>
            <w:pPr>
              <w:spacing w:after="0"/>
              <w:rPr>
                <w:sz w:val="1"/>
                <w:szCs w:val="1"/>
                <w:color w:val="auto"/>
              </w:rPr>
            </w:pPr>
          </w:p>
        </w:tc>
      </w:tr>
      <w:tr>
        <w:trPr>
          <w:trHeight w:val="269"/>
        </w:trPr>
        <w:tc>
          <w:tcPr>
            <w:tcW w:w="2460" w:type="dxa"/>
            <w:vAlign w:val="bottom"/>
          </w:tcPr>
          <w:p>
            <w:pPr>
              <w:spacing w:after="0"/>
              <w:rPr>
                <w:sz w:val="23"/>
                <w:szCs w:val="23"/>
                <w:color w:val="auto"/>
              </w:rPr>
            </w:pPr>
          </w:p>
        </w:tc>
        <w:tc>
          <w:tcPr>
            <w:tcW w:w="760" w:type="dxa"/>
            <w:vAlign w:val="bottom"/>
          </w:tcPr>
          <w:p>
            <w:pPr>
              <w:jc w:val="right"/>
              <w:ind w:right="207"/>
              <w:spacing w:after="0"/>
              <w:rPr>
                <w:sz w:val="20"/>
                <w:szCs w:val="20"/>
                <w:color w:val="auto"/>
              </w:rPr>
            </w:pPr>
            <w:r>
              <w:rPr>
                <w:rFonts w:ascii="Arial" w:cs="Arial" w:eastAsia="Arial" w:hAnsi="Arial"/>
                <w:sz w:val="14"/>
                <w:szCs w:val="14"/>
                <w:color w:val="auto"/>
              </w:rPr>
              <w:t>2022</w:t>
            </w:r>
          </w:p>
        </w:tc>
        <w:tc>
          <w:tcPr>
            <w:tcW w:w="940" w:type="dxa"/>
            <w:vAlign w:val="bottom"/>
          </w:tcPr>
          <w:p>
            <w:pPr>
              <w:jc w:val="right"/>
              <w:spacing w:after="0"/>
              <w:rPr>
                <w:sz w:val="20"/>
                <w:szCs w:val="20"/>
                <w:color w:val="auto"/>
              </w:rPr>
            </w:pPr>
            <w:r>
              <w:rPr>
                <w:rFonts w:ascii="Arial" w:cs="Arial" w:eastAsia="Arial" w:hAnsi="Arial"/>
                <w:sz w:val="14"/>
                <w:szCs w:val="14"/>
                <w:color w:val="auto"/>
              </w:rPr>
              <w:t>368,175</w:t>
            </w:r>
          </w:p>
        </w:tc>
        <w:tc>
          <w:tcPr>
            <w:tcW w:w="880" w:type="dxa"/>
            <w:vAlign w:val="bottom"/>
          </w:tcPr>
          <w:p>
            <w:pPr>
              <w:jc w:val="center"/>
              <w:ind w:right="7"/>
              <w:spacing w:after="0"/>
              <w:rPr>
                <w:sz w:val="20"/>
                <w:szCs w:val="20"/>
                <w:color w:val="auto"/>
              </w:rPr>
            </w:pPr>
            <w:r>
              <w:rPr>
                <w:rFonts w:ascii="Arial" w:cs="Arial" w:eastAsia="Arial" w:hAnsi="Arial"/>
                <w:sz w:val="14"/>
                <w:szCs w:val="14"/>
                <w:color w:val="auto"/>
                <w:w w:val="84"/>
              </w:rPr>
              <w:t>-</w:t>
            </w:r>
          </w:p>
        </w:tc>
        <w:tc>
          <w:tcPr>
            <w:tcW w:w="1080" w:type="dxa"/>
            <w:vAlign w:val="bottom"/>
          </w:tcPr>
          <w:p>
            <w:pPr>
              <w:jc w:val="right"/>
              <w:ind w:right="6"/>
              <w:spacing w:after="0"/>
              <w:rPr>
                <w:sz w:val="20"/>
                <w:szCs w:val="20"/>
                <w:color w:val="auto"/>
              </w:rPr>
            </w:pPr>
            <w:r>
              <w:rPr>
                <w:rFonts w:ascii="Arial" w:cs="Arial" w:eastAsia="Arial" w:hAnsi="Arial"/>
                <w:sz w:val="14"/>
                <w:szCs w:val="14"/>
                <w:color w:val="auto"/>
              </w:rPr>
              <w:t>374,555</w:t>
            </w:r>
          </w:p>
        </w:tc>
        <w:tc>
          <w:tcPr>
            <w:tcW w:w="840" w:type="dxa"/>
            <w:vAlign w:val="bottom"/>
          </w:tcPr>
          <w:p>
            <w:pPr>
              <w:jc w:val="center"/>
              <w:ind w:right="26"/>
              <w:spacing w:after="0"/>
              <w:rPr>
                <w:sz w:val="20"/>
                <w:szCs w:val="20"/>
                <w:color w:val="auto"/>
              </w:rPr>
            </w:pPr>
            <w:r>
              <w:rPr>
                <w:rFonts w:ascii="Arial" w:cs="Arial" w:eastAsia="Arial" w:hAnsi="Arial"/>
                <w:sz w:val="14"/>
                <w:szCs w:val="14"/>
                <w:color w:val="auto"/>
              </w:rPr>
              <w:t>-</w:t>
            </w:r>
          </w:p>
        </w:tc>
        <w:tc>
          <w:tcPr>
            <w:tcW w:w="1680" w:type="dxa"/>
            <w:vAlign w:val="bottom"/>
          </w:tcPr>
          <w:p>
            <w:pPr>
              <w:jc w:val="right"/>
              <w:ind w:right="66"/>
              <w:spacing w:after="0"/>
              <w:rPr>
                <w:sz w:val="20"/>
                <w:szCs w:val="20"/>
                <w:color w:val="auto"/>
              </w:rPr>
            </w:pPr>
            <w:r>
              <w:rPr>
                <w:rFonts w:ascii="Arial" w:cs="Arial" w:eastAsia="Arial" w:hAnsi="Arial"/>
                <w:sz w:val="14"/>
                <w:szCs w:val="14"/>
                <w:color w:val="auto"/>
              </w:rPr>
              <w:t>207,390</w:t>
            </w:r>
          </w:p>
        </w:tc>
        <w:tc>
          <w:tcPr>
            <w:tcW w:w="1660" w:type="dxa"/>
            <w:vAlign w:val="bottom"/>
          </w:tcPr>
          <w:p>
            <w:pPr>
              <w:jc w:val="right"/>
              <w:ind w:right="146"/>
              <w:spacing w:after="0"/>
              <w:rPr>
                <w:sz w:val="20"/>
                <w:szCs w:val="20"/>
                <w:color w:val="auto"/>
              </w:rPr>
            </w:pPr>
            <w:r>
              <w:rPr>
                <w:rFonts w:ascii="Arial" w:cs="Arial" w:eastAsia="Arial" w:hAnsi="Arial"/>
                <w:sz w:val="14"/>
                <w:szCs w:val="14"/>
                <w:color w:val="auto"/>
              </w:rPr>
              <w:t>14,857</w:t>
            </w:r>
          </w:p>
        </w:tc>
        <w:tc>
          <w:tcPr>
            <w:tcW w:w="940" w:type="dxa"/>
            <w:vAlign w:val="bottom"/>
          </w:tcPr>
          <w:p>
            <w:pPr>
              <w:jc w:val="right"/>
              <w:spacing w:after="0"/>
              <w:rPr>
                <w:sz w:val="20"/>
                <w:szCs w:val="20"/>
                <w:color w:val="auto"/>
              </w:rPr>
            </w:pPr>
            <w:r>
              <w:rPr>
                <w:rFonts w:ascii="Arial" w:cs="Arial" w:eastAsia="Arial" w:hAnsi="Arial"/>
                <w:sz w:val="14"/>
                <w:szCs w:val="14"/>
                <w:color w:val="auto"/>
              </w:rPr>
              <w:t>964,977</w:t>
            </w:r>
          </w:p>
        </w:tc>
        <w:tc>
          <w:tcPr>
            <w:tcW w:w="0" w:type="dxa"/>
            <w:vAlign w:val="bottom"/>
          </w:tcPr>
          <w:p>
            <w:pPr>
              <w:spacing w:after="0"/>
              <w:rPr>
                <w:sz w:val="1"/>
                <w:szCs w:val="1"/>
                <w:color w:val="auto"/>
              </w:rPr>
            </w:pPr>
          </w:p>
        </w:tc>
      </w:tr>
      <w:tr>
        <w:trPr>
          <w:trHeight w:val="89"/>
        </w:trPr>
        <w:tc>
          <w:tcPr>
            <w:tcW w:w="2460" w:type="dxa"/>
            <w:vAlign w:val="bottom"/>
            <w:tcBorders>
              <w:bottom w:val="single" w:sz="8" w:color="DBDBDB"/>
            </w:tcBorders>
          </w:tcPr>
          <w:p>
            <w:pPr>
              <w:spacing w:after="0"/>
              <w:rPr>
                <w:sz w:val="7"/>
                <w:szCs w:val="7"/>
                <w:color w:val="auto"/>
              </w:rPr>
            </w:pPr>
          </w:p>
        </w:tc>
        <w:tc>
          <w:tcPr>
            <w:tcW w:w="760" w:type="dxa"/>
            <w:vAlign w:val="bottom"/>
            <w:tcBorders>
              <w:bottom w:val="single" w:sz="8" w:color="DBDBDB"/>
            </w:tcBorders>
          </w:tcPr>
          <w:p>
            <w:pPr>
              <w:spacing w:after="0"/>
              <w:rPr>
                <w:sz w:val="7"/>
                <w:szCs w:val="7"/>
                <w:color w:val="auto"/>
              </w:rPr>
            </w:pPr>
          </w:p>
        </w:tc>
        <w:tc>
          <w:tcPr>
            <w:tcW w:w="940" w:type="dxa"/>
            <w:vAlign w:val="bottom"/>
            <w:tcBorders>
              <w:bottom w:val="single" w:sz="8" w:color="DBDBDB"/>
            </w:tcBorders>
          </w:tcPr>
          <w:p>
            <w:pPr>
              <w:spacing w:after="0"/>
              <w:rPr>
                <w:sz w:val="7"/>
                <w:szCs w:val="7"/>
                <w:color w:val="auto"/>
              </w:rPr>
            </w:pPr>
          </w:p>
        </w:tc>
        <w:tc>
          <w:tcPr>
            <w:tcW w:w="880" w:type="dxa"/>
            <w:vAlign w:val="bottom"/>
            <w:tcBorders>
              <w:bottom w:val="single" w:sz="8" w:color="DBDBDB"/>
            </w:tcBorders>
          </w:tcPr>
          <w:p>
            <w:pPr>
              <w:spacing w:after="0"/>
              <w:rPr>
                <w:sz w:val="7"/>
                <w:szCs w:val="7"/>
                <w:color w:val="auto"/>
              </w:rPr>
            </w:pPr>
          </w:p>
        </w:tc>
        <w:tc>
          <w:tcPr>
            <w:tcW w:w="1080" w:type="dxa"/>
            <w:vAlign w:val="bottom"/>
            <w:tcBorders>
              <w:bottom w:val="single" w:sz="8" w:color="DBDBDB"/>
            </w:tcBorders>
          </w:tcPr>
          <w:p>
            <w:pPr>
              <w:spacing w:after="0"/>
              <w:rPr>
                <w:sz w:val="7"/>
                <w:szCs w:val="7"/>
                <w:color w:val="auto"/>
              </w:rPr>
            </w:pPr>
          </w:p>
        </w:tc>
        <w:tc>
          <w:tcPr>
            <w:tcW w:w="840" w:type="dxa"/>
            <w:vAlign w:val="bottom"/>
            <w:tcBorders>
              <w:bottom w:val="single" w:sz="8" w:color="DBDBDB"/>
            </w:tcBorders>
          </w:tcPr>
          <w:p>
            <w:pPr>
              <w:spacing w:after="0"/>
              <w:rPr>
                <w:sz w:val="7"/>
                <w:szCs w:val="7"/>
                <w:color w:val="auto"/>
              </w:rPr>
            </w:pPr>
          </w:p>
        </w:tc>
        <w:tc>
          <w:tcPr>
            <w:tcW w:w="1680" w:type="dxa"/>
            <w:vAlign w:val="bottom"/>
            <w:tcBorders>
              <w:bottom w:val="single" w:sz="8" w:color="DBDBDB"/>
            </w:tcBorders>
          </w:tcPr>
          <w:p>
            <w:pPr>
              <w:spacing w:after="0"/>
              <w:rPr>
                <w:sz w:val="7"/>
                <w:szCs w:val="7"/>
                <w:color w:val="auto"/>
              </w:rPr>
            </w:pPr>
          </w:p>
        </w:tc>
        <w:tc>
          <w:tcPr>
            <w:tcW w:w="1660" w:type="dxa"/>
            <w:vAlign w:val="bottom"/>
            <w:tcBorders>
              <w:bottom w:val="single" w:sz="8" w:color="DBDBDB"/>
            </w:tcBorders>
          </w:tcPr>
          <w:p>
            <w:pPr>
              <w:spacing w:after="0"/>
              <w:rPr>
                <w:sz w:val="7"/>
                <w:szCs w:val="7"/>
                <w:color w:val="auto"/>
              </w:rPr>
            </w:pPr>
          </w:p>
        </w:tc>
        <w:tc>
          <w:tcPr>
            <w:tcW w:w="940" w:type="dxa"/>
            <w:vAlign w:val="bottom"/>
            <w:tcBorders>
              <w:bottom w:val="single" w:sz="8" w:color="DBDBDB"/>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184" w:lineRule="exact"/>
        <w:rPr>
          <w:sz w:val="20"/>
          <w:szCs w:val="20"/>
          <w:color w:val="auto"/>
        </w:rPr>
      </w:pPr>
    </w:p>
    <w:p>
      <w:pPr>
        <w:jc w:val="both"/>
        <w:ind w:left="980" w:hanging="324"/>
        <w:spacing w:after="0" w:line="267" w:lineRule="auto"/>
        <w:tabs>
          <w:tab w:leader="none" w:pos="997"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Reflects grants of performance shares and restricted stock units on August 4, 2021, August 4, 2022, and August 4, 2023, under the Company’s Equity Incentive Plan to the Named Executives. The 2023 amount for Ms. Carsley includes a one-time grant of restricted stock units on July 17, 2022 in connection with her joining the Company. Information about the assumptions used to determine the fair value of equity awards is set forth in our Annual Report on Form 10-K in Note 10 to our consolidated financial statements for the year ended June 30, 2024.</w:t>
      </w:r>
    </w:p>
    <w:p>
      <w:pPr>
        <w:spacing w:after="0" w:line="77" w:lineRule="exact"/>
        <w:rPr>
          <w:rFonts w:ascii="Arial" w:cs="Arial" w:eastAsia="Arial" w:hAnsi="Arial"/>
          <w:sz w:val="18"/>
          <w:szCs w:val="18"/>
          <w:color w:val="auto"/>
        </w:rPr>
      </w:pPr>
    </w:p>
    <w:p>
      <w:pPr>
        <w:jc w:val="both"/>
        <w:ind w:left="980" w:hanging="324"/>
        <w:spacing w:after="0" w:line="276" w:lineRule="auto"/>
        <w:tabs>
          <w:tab w:leader="none" w:pos="957"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Reflects amounts paid to the Named Executives following the end of the fiscal year based upon achievement of performance goals under the Company’s Annual Incentive Plans. These amounts were earned and accrued in the fiscal year listed and paid in the following fiscal year.</w:t>
      </w:r>
    </w:p>
    <w:p>
      <w:pPr>
        <w:spacing w:after="0" w:line="95" w:lineRule="exact"/>
        <w:rPr>
          <w:rFonts w:ascii="Arial" w:cs="Arial" w:eastAsia="Arial" w:hAnsi="Arial"/>
          <w:sz w:val="18"/>
          <w:szCs w:val="18"/>
          <w:color w:val="auto"/>
        </w:rPr>
      </w:pPr>
    </w:p>
    <w:p>
      <w:pPr>
        <w:ind w:left="980" w:right="20" w:hanging="324"/>
        <w:spacing w:after="0" w:line="276" w:lineRule="auto"/>
        <w:tabs>
          <w:tab w:leader="none" w:pos="952" w:val="left"/>
        </w:tabs>
        <w:numPr>
          <w:ilvl w:val="0"/>
          <w:numId w:val="17"/>
        </w:numPr>
        <w:rPr>
          <w:rFonts w:ascii="Arial" w:cs="Arial" w:eastAsia="Arial" w:hAnsi="Arial"/>
          <w:sz w:val="20"/>
          <w:szCs w:val="20"/>
          <w:color w:val="auto"/>
        </w:rPr>
      </w:pPr>
      <w:r>
        <w:rPr>
          <w:rFonts w:ascii="Arial" w:cs="Arial" w:eastAsia="Arial" w:hAnsi="Arial"/>
          <w:sz w:val="18"/>
          <w:szCs w:val="18"/>
          <w:color w:val="auto"/>
        </w:rPr>
        <w:t>Reflects matching contributions to the individual’s accounts pursuant to the Company’s 401(k) Retirement Savings Plan (the “Retirement Plan”).</w:t>
      </w:r>
    </w:p>
    <w:p>
      <w:pPr>
        <w:spacing w:after="0" w:line="50" w:lineRule="exact"/>
        <w:rPr>
          <w:rFonts w:ascii="Arial" w:cs="Arial" w:eastAsia="Arial" w:hAnsi="Arial"/>
          <w:sz w:val="20"/>
          <w:szCs w:val="20"/>
          <w:color w:val="auto"/>
        </w:rPr>
      </w:pPr>
    </w:p>
    <w:p>
      <w:pPr>
        <w:ind w:left="940" w:hanging="284"/>
        <w:spacing w:after="0"/>
        <w:tabs>
          <w:tab w:leader="none" w:pos="9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Ms. Carsley was not a Named Executive during fiscal 2022.</w:t>
      </w:r>
    </w:p>
    <w:p>
      <w:pPr>
        <w:spacing w:after="0" w:line="25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Grants of Plan-Based Awards Table</w:t>
      </w:r>
    </w:p>
    <w:p>
      <w:pPr>
        <w:spacing w:after="0" w:line="253" w:lineRule="exact"/>
        <w:rPr>
          <w:sz w:val="20"/>
          <w:szCs w:val="20"/>
          <w:color w:val="auto"/>
        </w:rPr>
      </w:pPr>
    </w:p>
    <w:p>
      <w:pPr>
        <w:spacing w:after="0" w:line="300" w:lineRule="auto"/>
        <w:rPr>
          <w:sz w:val="20"/>
          <w:szCs w:val="20"/>
          <w:color w:val="auto"/>
        </w:rPr>
      </w:pPr>
      <w:r>
        <w:rPr>
          <w:rFonts w:ascii="Arial" w:cs="Arial" w:eastAsia="Arial" w:hAnsi="Arial"/>
          <w:sz w:val="20"/>
          <w:szCs w:val="20"/>
          <w:color w:val="auto"/>
        </w:rPr>
        <w:t>The following table presents information on awards granted to the Named Executives during the fiscal year ended June 30, 2024 under our 2017 Annual Incentive Plan with respect to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132320" cy="3511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32320" cy="351155"/>
                    </a:xfrm>
                    <a:prstGeom prst="rect">
                      <a:avLst/>
                    </a:prstGeom>
                    <a:noFill/>
                  </pic:spPr>
                </pic:pic>
              </a:graphicData>
            </a:graphic>
          </wp:anchor>
        </w:drawing>
      </w:r>
    </w:p>
    <w:p>
      <w:pPr>
        <w:spacing w:after="0" w:line="191" w:lineRule="exact"/>
        <w:rPr>
          <w:sz w:val="20"/>
          <w:szCs w:val="20"/>
          <w:color w:val="auto"/>
        </w:rPr>
      </w:pPr>
    </w:p>
    <w:p>
      <w:pPr>
        <w:ind w:left="20"/>
        <w:spacing w:after="0"/>
        <w:tabs>
          <w:tab w:leader="none" w:pos="440" w:val="left"/>
        </w:tabs>
        <w:rPr>
          <w:sz w:val="20"/>
          <w:szCs w:val="20"/>
          <w:color w:val="auto"/>
        </w:rPr>
      </w:pPr>
      <w:r>
        <w:rPr>
          <w:rFonts w:ascii="Arial" w:cs="Arial" w:eastAsia="Arial" w:hAnsi="Arial"/>
          <w:sz w:val="18"/>
          <w:szCs w:val="18"/>
          <w:color w:val="auto"/>
        </w:rPr>
        <w:t>52</w:t>
        <w:tab/>
        <w:t>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262255</wp:posOffset>
            </wp:positionV>
            <wp:extent cx="7157720" cy="425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4" w:right="339" w:bottom="1440" w:gutter="0" w:footer="0" w:header="0"/>
        </w:sectPr>
      </w:pPr>
    </w:p>
    <w:bookmarkStart w:id="55" w:name="page56"/>
    <w:bookmarkEnd w:id="55"/>
    <w:p>
      <w:pPr>
        <w:spacing w:after="0" w:line="286" w:lineRule="auto"/>
        <w:rPr>
          <w:sz w:val="20"/>
          <w:szCs w:val="20"/>
          <w:color w:val="auto"/>
        </w:rPr>
      </w:pPr>
      <w:r>
        <w:rPr>
          <w:rFonts w:ascii="Arial" w:cs="Arial" w:eastAsia="Arial" w:hAnsi="Arial"/>
          <w:sz w:val="20"/>
          <w:szCs w:val="20"/>
          <w:color w:val="auto"/>
        </w:rPr>
        <w:t>targets set for fiscal 2024 and our 2015 Equity Incentive Plan with respect to grants of performance shares and restricted stock units made during fiscal year 2024.</w:t>
      </w:r>
    </w:p>
    <w:p>
      <w:pPr>
        <w:spacing w:after="0" w:line="208" w:lineRule="exact"/>
        <w:rPr>
          <w:sz w:val="20"/>
          <w:szCs w:val="20"/>
          <w:color w:val="auto"/>
        </w:rPr>
      </w:pPr>
    </w:p>
    <w:tbl>
      <w:tblPr>
        <w:tblLayout w:type="fixed"/>
        <w:tblInd w:w="460" w:type="dxa"/>
        <w:tblCellMar>
          <w:top w:w="0" w:type="dxa"/>
          <w:left w:w="0" w:type="dxa"/>
          <w:bottom w:w="0" w:type="dxa"/>
          <w:right w:w="0" w:type="dxa"/>
        </w:tblCellMar>
      </w:tblPr>
      <w:tr>
        <w:trPr>
          <w:trHeight w:val="184"/>
        </w:trPr>
        <w:tc>
          <w:tcPr>
            <w:tcW w:w="920" w:type="dxa"/>
            <w:vAlign w:val="bottom"/>
            <w:shd w:val="clear" w:color="auto" w:fill="E8F7F7"/>
          </w:tcPr>
          <w:p>
            <w:pPr>
              <w:spacing w:after="0"/>
              <w:rPr>
                <w:sz w:val="20"/>
                <w:szCs w:val="20"/>
                <w:color w:val="auto"/>
              </w:rPr>
            </w:pPr>
            <w:r>
              <w:rPr>
                <w:rFonts w:ascii="Arial" w:cs="Arial" w:eastAsia="Arial" w:hAnsi="Arial"/>
                <w:sz w:val="16"/>
                <w:szCs w:val="16"/>
                <w:b w:val="1"/>
                <w:bCs w:val="1"/>
                <w:color w:val="auto"/>
              </w:rPr>
              <w:t>Name</w:t>
            </w:r>
          </w:p>
        </w:tc>
        <w:tc>
          <w:tcPr>
            <w:tcW w:w="860" w:type="dxa"/>
            <w:vAlign w:val="bottom"/>
            <w:shd w:val="clear" w:color="auto" w:fill="E8F7F7"/>
          </w:tcPr>
          <w:p>
            <w:pPr>
              <w:ind w:left="20"/>
              <w:spacing w:after="0"/>
              <w:rPr>
                <w:sz w:val="20"/>
                <w:szCs w:val="20"/>
                <w:color w:val="auto"/>
              </w:rPr>
            </w:pPr>
            <w:r>
              <w:rPr>
                <w:rFonts w:ascii="Arial" w:cs="Arial" w:eastAsia="Arial" w:hAnsi="Arial"/>
                <w:sz w:val="16"/>
                <w:szCs w:val="16"/>
                <w:b w:val="1"/>
                <w:bCs w:val="1"/>
                <w:color w:val="auto"/>
              </w:rPr>
              <w:t>Grant</w:t>
            </w:r>
          </w:p>
        </w:tc>
        <w:tc>
          <w:tcPr>
            <w:tcW w:w="2860" w:type="dxa"/>
            <w:vAlign w:val="bottom"/>
            <w:gridSpan w:val="3"/>
            <w:shd w:val="clear" w:color="auto" w:fill="E8F7F7"/>
          </w:tcPr>
          <w:p>
            <w:pPr>
              <w:jc w:val="center"/>
              <w:spacing w:after="0"/>
              <w:rPr>
                <w:sz w:val="20"/>
                <w:szCs w:val="20"/>
                <w:color w:val="auto"/>
              </w:rPr>
            </w:pPr>
            <w:r>
              <w:rPr>
                <w:rFonts w:ascii="Arial" w:cs="Arial" w:eastAsia="Arial" w:hAnsi="Arial"/>
                <w:sz w:val="16"/>
                <w:szCs w:val="16"/>
                <w:b w:val="1"/>
                <w:bCs w:val="1"/>
                <w:color w:val="auto"/>
              </w:rPr>
              <w:t>Estimated Future Payouts Under</w:t>
            </w:r>
          </w:p>
        </w:tc>
        <w:tc>
          <w:tcPr>
            <w:tcW w:w="2880" w:type="dxa"/>
            <w:vAlign w:val="bottom"/>
            <w:gridSpan w:val="3"/>
            <w:shd w:val="clear" w:color="auto" w:fill="E8F7F7"/>
          </w:tcPr>
          <w:p>
            <w:pPr>
              <w:jc w:val="center"/>
              <w:spacing w:after="0"/>
              <w:rPr>
                <w:sz w:val="20"/>
                <w:szCs w:val="20"/>
                <w:color w:val="auto"/>
              </w:rPr>
            </w:pPr>
            <w:r>
              <w:rPr>
                <w:rFonts w:ascii="Arial" w:cs="Arial" w:eastAsia="Arial" w:hAnsi="Arial"/>
                <w:sz w:val="16"/>
                <w:szCs w:val="16"/>
                <w:b w:val="1"/>
                <w:bCs w:val="1"/>
                <w:color w:val="auto"/>
              </w:rPr>
              <w:t>Estimated Future Payouts Under</w:t>
            </w:r>
          </w:p>
        </w:tc>
        <w:tc>
          <w:tcPr>
            <w:tcW w:w="1480" w:type="dxa"/>
            <w:vAlign w:val="bottom"/>
            <w:shd w:val="clear" w:color="auto" w:fill="E8F7F7"/>
          </w:tcPr>
          <w:p>
            <w:pPr>
              <w:jc w:val="right"/>
              <w:ind w:right="87"/>
              <w:spacing w:after="0"/>
              <w:rPr>
                <w:sz w:val="20"/>
                <w:szCs w:val="20"/>
                <w:color w:val="auto"/>
              </w:rPr>
            </w:pPr>
            <w:r>
              <w:rPr>
                <w:rFonts w:ascii="Arial" w:cs="Arial" w:eastAsia="Arial" w:hAnsi="Arial"/>
                <w:sz w:val="16"/>
                <w:szCs w:val="16"/>
                <w:b w:val="1"/>
                <w:bCs w:val="1"/>
                <w:color w:val="auto"/>
              </w:rPr>
              <w:t>All Other Stock</w:t>
            </w:r>
          </w:p>
        </w:tc>
        <w:tc>
          <w:tcPr>
            <w:tcW w:w="1340" w:type="dxa"/>
            <w:vAlign w:val="bottom"/>
            <w:shd w:val="clear" w:color="auto" w:fill="E8F7F7"/>
          </w:tcPr>
          <w:p>
            <w:pPr>
              <w:jc w:val="right"/>
              <w:spacing w:after="0"/>
              <w:rPr>
                <w:sz w:val="20"/>
                <w:szCs w:val="20"/>
                <w:color w:val="auto"/>
              </w:rPr>
            </w:pPr>
            <w:r>
              <w:rPr>
                <w:rFonts w:ascii="Arial" w:cs="Arial" w:eastAsia="Arial" w:hAnsi="Arial"/>
                <w:sz w:val="16"/>
                <w:szCs w:val="16"/>
                <w:b w:val="1"/>
                <w:bCs w:val="1"/>
                <w:color w:val="auto"/>
              </w:rPr>
              <w:t>Grant Date Fair</w:t>
            </w:r>
          </w:p>
        </w:tc>
        <w:tc>
          <w:tcPr>
            <w:tcW w:w="0" w:type="dxa"/>
            <w:vAlign w:val="bottom"/>
          </w:tcPr>
          <w:p>
            <w:pPr>
              <w:spacing w:after="0"/>
              <w:rPr>
                <w:sz w:val="1"/>
                <w:szCs w:val="1"/>
                <w:color w:val="auto"/>
              </w:rPr>
            </w:pPr>
          </w:p>
        </w:tc>
      </w:tr>
      <w:tr>
        <w:trPr>
          <w:trHeight w:val="162"/>
        </w:trPr>
        <w:tc>
          <w:tcPr>
            <w:tcW w:w="920" w:type="dxa"/>
            <w:vAlign w:val="bottom"/>
            <w:shd w:val="clear" w:color="auto" w:fill="E8F7F7"/>
          </w:tcPr>
          <w:p>
            <w:pPr>
              <w:spacing w:after="0"/>
              <w:rPr>
                <w:sz w:val="14"/>
                <w:szCs w:val="14"/>
                <w:color w:val="auto"/>
              </w:rPr>
            </w:pPr>
          </w:p>
        </w:tc>
        <w:tc>
          <w:tcPr>
            <w:tcW w:w="860" w:type="dxa"/>
            <w:vAlign w:val="bottom"/>
            <w:shd w:val="clear" w:color="auto" w:fill="E8F7F7"/>
          </w:tcPr>
          <w:p>
            <w:pPr>
              <w:ind w:left="20"/>
              <w:spacing w:after="0" w:line="162" w:lineRule="exact"/>
              <w:rPr>
                <w:sz w:val="20"/>
                <w:szCs w:val="20"/>
                <w:color w:val="auto"/>
              </w:rPr>
            </w:pPr>
            <w:r>
              <w:rPr>
                <w:rFonts w:ascii="Arial" w:cs="Arial" w:eastAsia="Arial" w:hAnsi="Arial"/>
                <w:sz w:val="16"/>
                <w:szCs w:val="16"/>
                <w:b w:val="1"/>
                <w:bCs w:val="1"/>
                <w:color w:val="auto"/>
              </w:rPr>
              <w:t>Date</w:t>
            </w:r>
          </w:p>
        </w:tc>
        <w:tc>
          <w:tcPr>
            <w:tcW w:w="2860" w:type="dxa"/>
            <w:vAlign w:val="bottom"/>
            <w:gridSpan w:val="3"/>
            <w:shd w:val="clear" w:color="auto" w:fill="E8F7F7"/>
          </w:tcPr>
          <w:p>
            <w:pPr>
              <w:jc w:val="center"/>
              <w:spacing w:after="0" w:line="162" w:lineRule="exact"/>
              <w:rPr>
                <w:sz w:val="20"/>
                <w:szCs w:val="20"/>
                <w:color w:val="auto"/>
              </w:rPr>
            </w:pPr>
            <w:r>
              <w:rPr>
                <w:rFonts w:ascii="Arial" w:cs="Arial" w:eastAsia="Arial" w:hAnsi="Arial"/>
                <w:sz w:val="16"/>
                <w:szCs w:val="16"/>
                <w:b w:val="1"/>
                <w:bCs w:val="1"/>
                <w:color w:val="auto"/>
              </w:rPr>
              <w:t>Non- Equity Incentive Plan Awards</w:t>
            </w:r>
          </w:p>
        </w:tc>
        <w:tc>
          <w:tcPr>
            <w:tcW w:w="2880" w:type="dxa"/>
            <w:vAlign w:val="bottom"/>
            <w:gridSpan w:val="3"/>
            <w:shd w:val="clear" w:color="auto" w:fill="E8F7F7"/>
          </w:tcPr>
          <w:p>
            <w:pPr>
              <w:jc w:val="center"/>
              <w:spacing w:after="0" w:line="162" w:lineRule="exact"/>
              <w:rPr>
                <w:sz w:val="20"/>
                <w:szCs w:val="20"/>
                <w:color w:val="auto"/>
              </w:rPr>
            </w:pPr>
            <w:r>
              <w:rPr>
                <w:rFonts w:ascii="Arial" w:cs="Arial" w:eastAsia="Arial" w:hAnsi="Arial"/>
                <w:sz w:val="16"/>
                <w:szCs w:val="16"/>
                <w:b w:val="1"/>
                <w:bCs w:val="1"/>
                <w:color w:val="auto"/>
              </w:rPr>
              <w:t>Equity Incentive Plan Awards (2)</w:t>
            </w:r>
          </w:p>
        </w:tc>
        <w:tc>
          <w:tcPr>
            <w:tcW w:w="1480" w:type="dxa"/>
            <w:vAlign w:val="bottom"/>
            <w:shd w:val="clear" w:color="auto" w:fill="E8F7F7"/>
          </w:tcPr>
          <w:p>
            <w:pPr>
              <w:jc w:val="center"/>
              <w:ind w:right="27"/>
              <w:spacing w:after="0" w:line="162" w:lineRule="exact"/>
              <w:rPr>
                <w:sz w:val="20"/>
                <w:szCs w:val="20"/>
                <w:color w:val="auto"/>
              </w:rPr>
            </w:pPr>
            <w:r>
              <w:rPr>
                <w:rFonts w:ascii="Arial" w:cs="Arial" w:eastAsia="Arial" w:hAnsi="Arial"/>
                <w:sz w:val="16"/>
                <w:szCs w:val="16"/>
                <w:b w:val="1"/>
                <w:bCs w:val="1"/>
                <w:color w:val="auto"/>
              </w:rPr>
              <w:t>Awards: Number</w:t>
            </w:r>
          </w:p>
        </w:tc>
        <w:tc>
          <w:tcPr>
            <w:tcW w:w="1340" w:type="dxa"/>
            <w:vAlign w:val="bottom"/>
            <w:shd w:val="clear" w:color="auto" w:fill="E8F7F7"/>
          </w:tcPr>
          <w:p>
            <w:pPr>
              <w:jc w:val="center"/>
              <w:ind w:right="7"/>
              <w:spacing w:after="0" w:line="162" w:lineRule="exact"/>
              <w:rPr>
                <w:sz w:val="20"/>
                <w:szCs w:val="20"/>
                <w:color w:val="auto"/>
              </w:rPr>
            </w:pPr>
            <w:r>
              <w:rPr>
                <w:rFonts w:ascii="Arial" w:cs="Arial" w:eastAsia="Arial" w:hAnsi="Arial"/>
                <w:sz w:val="16"/>
                <w:szCs w:val="16"/>
                <w:b w:val="1"/>
                <w:bCs w:val="1"/>
                <w:color w:val="auto"/>
                <w:w w:val="99"/>
              </w:rPr>
              <w:t>Value of Stock</w:t>
            </w:r>
          </w:p>
        </w:tc>
        <w:tc>
          <w:tcPr>
            <w:tcW w:w="0" w:type="dxa"/>
            <w:vAlign w:val="bottom"/>
          </w:tcPr>
          <w:p>
            <w:pPr>
              <w:spacing w:after="0"/>
              <w:rPr>
                <w:sz w:val="1"/>
                <w:szCs w:val="1"/>
                <w:color w:val="auto"/>
              </w:rPr>
            </w:pPr>
          </w:p>
        </w:tc>
      </w:tr>
      <w:tr>
        <w:trPr>
          <w:trHeight w:val="175"/>
        </w:trPr>
        <w:tc>
          <w:tcPr>
            <w:tcW w:w="920" w:type="dxa"/>
            <w:vAlign w:val="bottom"/>
            <w:shd w:val="clear" w:color="auto" w:fill="E8F7F7"/>
          </w:tcPr>
          <w:p>
            <w:pPr>
              <w:spacing w:after="0"/>
              <w:rPr>
                <w:sz w:val="15"/>
                <w:szCs w:val="15"/>
                <w:color w:val="auto"/>
              </w:rPr>
            </w:pPr>
          </w:p>
        </w:tc>
        <w:tc>
          <w:tcPr>
            <w:tcW w:w="860" w:type="dxa"/>
            <w:vAlign w:val="bottom"/>
            <w:shd w:val="clear" w:color="auto" w:fill="E8F7F7"/>
          </w:tcPr>
          <w:p>
            <w:pPr>
              <w:spacing w:after="0"/>
              <w:rPr>
                <w:sz w:val="15"/>
                <w:szCs w:val="15"/>
                <w:color w:val="auto"/>
              </w:rPr>
            </w:pPr>
          </w:p>
        </w:tc>
        <w:tc>
          <w:tcPr>
            <w:tcW w:w="940" w:type="dxa"/>
            <w:vAlign w:val="bottom"/>
            <w:shd w:val="clear" w:color="auto" w:fill="E8F7F7"/>
          </w:tcPr>
          <w:p>
            <w:pPr>
              <w:spacing w:after="0"/>
              <w:rPr>
                <w:sz w:val="15"/>
                <w:szCs w:val="15"/>
                <w:color w:val="auto"/>
              </w:rPr>
            </w:pPr>
          </w:p>
        </w:tc>
        <w:tc>
          <w:tcPr>
            <w:tcW w:w="960" w:type="dxa"/>
            <w:vAlign w:val="bottom"/>
            <w:shd w:val="clear" w:color="auto" w:fill="E8F7F7"/>
          </w:tcPr>
          <w:p>
            <w:pPr>
              <w:jc w:val="center"/>
              <w:spacing w:after="0" w:line="175" w:lineRule="exact"/>
              <w:rPr>
                <w:sz w:val="20"/>
                <w:szCs w:val="20"/>
                <w:color w:val="auto"/>
              </w:rPr>
            </w:pPr>
            <w:r>
              <w:rPr>
                <w:rFonts w:ascii="Arial" w:cs="Arial" w:eastAsia="Arial" w:hAnsi="Arial"/>
                <w:sz w:val="16"/>
                <w:szCs w:val="16"/>
                <w:b w:val="1"/>
                <w:bCs w:val="1"/>
                <w:color w:val="auto"/>
              </w:rPr>
              <w:t>(1)</w:t>
            </w:r>
          </w:p>
        </w:tc>
        <w:tc>
          <w:tcPr>
            <w:tcW w:w="960" w:type="dxa"/>
            <w:vAlign w:val="bottom"/>
            <w:shd w:val="clear" w:color="auto" w:fill="E8F7F7"/>
          </w:tcPr>
          <w:p>
            <w:pPr>
              <w:spacing w:after="0"/>
              <w:rPr>
                <w:sz w:val="15"/>
                <w:szCs w:val="15"/>
                <w:color w:val="auto"/>
              </w:rPr>
            </w:pPr>
          </w:p>
        </w:tc>
        <w:tc>
          <w:tcPr>
            <w:tcW w:w="1040" w:type="dxa"/>
            <w:vAlign w:val="bottom"/>
            <w:shd w:val="clear" w:color="auto" w:fill="E8F7F7"/>
          </w:tcPr>
          <w:p>
            <w:pPr>
              <w:spacing w:after="0"/>
              <w:rPr>
                <w:sz w:val="15"/>
                <w:szCs w:val="15"/>
                <w:color w:val="auto"/>
              </w:rPr>
            </w:pPr>
          </w:p>
        </w:tc>
        <w:tc>
          <w:tcPr>
            <w:tcW w:w="900" w:type="dxa"/>
            <w:vAlign w:val="bottom"/>
            <w:shd w:val="clear" w:color="auto" w:fill="E8F7F7"/>
          </w:tcPr>
          <w:p>
            <w:pPr>
              <w:spacing w:after="0"/>
              <w:rPr>
                <w:sz w:val="15"/>
                <w:szCs w:val="15"/>
                <w:color w:val="auto"/>
              </w:rPr>
            </w:pPr>
          </w:p>
        </w:tc>
        <w:tc>
          <w:tcPr>
            <w:tcW w:w="940" w:type="dxa"/>
            <w:vAlign w:val="bottom"/>
            <w:shd w:val="clear" w:color="auto" w:fill="E8F7F7"/>
          </w:tcPr>
          <w:p>
            <w:pPr>
              <w:spacing w:after="0"/>
              <w:rPr>
                <w:sz w:val="15"/>
                <w:szCs w:val="15"/>
                <w:color w:val="auto"/>
              </w:rPr>
            </w:pPr>
          </w:p>
        </w:tc>
        <w:tc>
          <w:tcPr>
            <w:tcW w:w="1480" w:type="dxa"/>
            <w:vAlign w:val="bottom"/>
            <w:shd w:val="clear" w:color="auto" w:fill="E8F7F7"/>
          </w:tcPr>
          <w:p>
            <w:pPr>
              <w:jc w:val="center"/>
              <w:ind w:right="27"/>
              <w:spacing w:after="0" w:line="175" w:lineRule="exact"/>
              <w:rPr>
                <w:sz w:val="20"/>
                <w:szCs w:val="20"/>
                <w:color w:val="auto"/>
              </w:rPr>
            </w:pPr>
            <w:r>
              <w:rPr>
                <w:rFonts w:ascii="Arial" w:cs="Arial" w:eastAsia="Arial" w:hAnsi="Arial"/>
                <w:sz w:val="16"/>
                <w:szCs w:val="16"/>
                <w:b w:val="1"/>
                <w:bCs w:val="1"/>
                <w:color w:val="auto"/>
              </w:rPr>
              <w:t>of Shares of</w:t>
            </w:r>
          </w:p>
        </w:tc>
        <w:tc>
          <w:tcPr>
            <w:tcW w:w="1340" w:type="dxa"/>
            <w:vAlign w:val="bottom"/>
            <w:shd w:val="clear" w:color="auto" w:fill="E8F7F7"/>
          </w:tcPr>
          <w:p>
            <w:pPr>
              <w:jc w:val="center"/>
              <w:ind w:right="7"/>
              <w:spacing w:after="0" w:line="175" w:lineRule="exact"/>
              <w:rPr>
                <w:sz w:val="20"/>
                <w:szCs w:val="20"/>
                <w:color w:val="auto"/>
              </w:rPr>
            </w:pPr>
            <w:r>
              <w:rPr>
                <w:rFonts w:ascii="Arial" w:cs="Arial" w:eastAsia="Arial" w:hAnsi="Arial"/>
                <w:sz w:val="16"/>
                <w:szCs w:val="16"/>
                <w:b w:val="1"/>
                <w:bCs w:val="1"/>
                <w:color w:val="auto"/>
              </w:rPr>
              <w:t>and Option</w:t>
            </w:r>
          </w:p>
        </w:tc>
        <w:tc>
          <w:tcPr>
            <w:tcW w:w="0" w:type="dxa"/>
            <w:vAlign w:val="bottom"/>
          </w:tcPr>
          <w:p>
            <w:pPr>
              <w:spacing w:after="0"/>
              <w:rPr>
                <w:sz w:val="1"/>
                <w:szCs w:val="1"/>
                <w:color w:val="auto"/>
              </w:rPr>
            </w:pPr>
          </w:p>
        </w:tc>
      </w:tr>
      <w:tr>
        <w:trPr>
          <w:trHeight w:val="223"/>
        </w:trPr>
        <w:tc>
          <w:tcPr>
            <w:tcW w:w="920" w:type="dxa"/>
            <w:vAlign w:val="bottom"/>
            <w:shd w:val="clear" w:color="auto" w:fill="E8F7F7"/>
          </w:tcPr>
          <w:p>
            <w:pPr>
              <w:spacing w:after="0"/>
              <w:rPr>
                <w:sz w:val="19"/>
                <w:szCs w:val="19"/>
                <w:color w:val="auto"/>
              </w:rPr>
            </w:pPr>
          </w:p>
        </w:tc>
        <w:tc>
          <w:tcPr>
            <w:tcW w:w="860" w:type="dxa"/>
            <w:vAlign w:val="bottom"/>
            <w:shd w:val="clear" w:color="auto" w:fill="E8F7F7"/>
          </w:tcPr>
          <w:p>
            <w:pPr>
              <w:spacing w:after="0"/>
              <w:rPr>
                <w:sz w:val="19"/>
                <w:szCs w:val="19"/>
                <w:color w:val="auto"/>
              </w:rPr>
            </w:pPr>
          </w:p>
        </w:tc>
        <w:tc>
          <w:tcPr>
            <w:tcW w:w="940" w:type="dxa"/>
            <w:vAlign w:val="bottom"/>
            <w:shd w:val="clear" w:color="auto" w:fill="E8F7F7"/>
          </w:tcPr>
          <w:p>
            <w:pPr>
              <w:spacing w:after="0"/>
              <w:rPr>
                <w:sz w:val="19"/>
                <w:szCs w:val="19"/>
                <w:color w:val="auto"/>
              </w:rPr>
            </w:pPr>
          </w:p>
        </w:tc>
        <w:tc>
          <w:tcPr>
            <w:tcW w:w="960" w:type="dxa"/>
            <w:vAlign w:val="bottom"/>
            <w:shd w:val="clear" w:color="auto" w:fill="E8F7F7"/>
          </w:tcPr>
          <w:p>
            <w:pPr>
              <w:spacing w:after="0"/>
              <w:rPr>
                <w:sz w:val="19"/>
                <w:szCs w:val="19"/>
                <w:color w:val="auto"/>
              </w:rPr>
            </w:pPr>
          </w:p>
        </w:tc>
        <w:tc>
          <w:tcPr>
            <w:tcW w:w="960" w:type="dxa"/>
            <w:vAlign w:val="bottom"/>
            <w:shd w:val="clear" w:color="auto" w:fill="E8F7F7"/>
          </w:tcPr>
          <w:p>
            <w:pPr>
              <w:spacing w:after="0"/>
              <w:rPr>
                <w:sz w:val="19"/>
                <w:szCs w:val="19"/>
                <w:color w:val="auto"/>
              </w:rPr>
            </w:pPr>
          </w:p>
        </w:tc>
        <w:tc>
          <w:tcPr>
            <w:tcW w:w="1040" w:type="dxa"/>
            <w:vAlign w:val="bottom"/>
            <w:shd w:val="clear" w:color="auto" w:fill="E8F7F7"/>
          </w:tcPr>
          <w:p>
            <w:pPr>
              <w:spacing w:after="0"/>
              <w:rPr>
                <w:sz w:val="19"/>
                <w:szCs w:val="19"/>
                <w:color w:val="auto"/>
              </w:rPr>
            </w:pPr>
          </w:p>
        </w:tc>
        <w:tc>
          <w:tcPr>
            <w:tcW w:w="900" w:type="dxa"/>
            <w:vAlign w:val="bottom"/>
            <w:shd w:val="clear" w:color="auto" w:fill="E8F7F7"/>
          </w:tcPr>
          <w:p>
            <w:pPr>
              <w:spacing w:after="0"/>
              <w:rPr>
                <w:sz w:val="19"/>
                <w:szCs w:val="19"/>
                <w:color w:val="auto"/>
              </w:rPr>
            </w:pPr>
          </w:p>
        </w:tc>
        <w:tc>
          <w:tcPr>
            <w:tcW w:w="940" w:type="dxa"/>
            <w:vAlign w:val="bottom"/>
            <w:shd w:val="clear" w:color="auto" w:fill="E8F7F7"/>
          </w:tcPr>
          <w:p>
            <w:pPr>
              <w:spacing w:after="0"/>
              <w:rPr>
                <w:sz w:val="19"/>
                <w:szCs w:val="19"/>
                <w:color w:val="auto"/>
              </w:rPr>
            </w:pPr>
          </w:p>
        </w:tc>
        <w:tc>
          <w:tcPr>
            <w:tcW w:w="1480" w:type="dxa"/>
            <w:vAlign w:val="bottom"/>
            <w:shd w:val="clear" w:color="auto" w:fill="E8F7F7"/>
          </w:tcPr>
          <w:p>
            <w:pPr>
              <w:jc w:val="center"/>
              <w:ind w:right="27"/>
              <w:spacing w:after="0"/>
              <w:rPr>
                <w:sz w:val="20"/>
                <w:szCs w:val="20"/>
                <w:color w:val="auto"/>
              </w:rPr>
            </w:pPr>
            <w:r>
              <w:rPr>
                <w:rFonts w:ascii="Arial" w:cs="Arial" w:eastAsia="Arial" w:hAnsi="Arial"/>
                <w:sz w:val="16"/>
                <w:szCs w:val="16"/>
                <w:b w:val="1"/>
                <w:bCs w:val="1"/>
                <w:color w:val="auto"/>
              </w:rPr>
              <w:t>Stock or Units</w:t>
            </w:r>
          </w:p>
        </w:tc>
        <w:tc>
          <w:tcPr>
            <w:tcW w:w="1340" w:type="dxa"/>
            <w:vAlign w:val="bottom"/>
            <w:shd w:val="clear" w:color="auto" w:fill="E8F7F7"/>
          </w:tcPr>
          <w:p>
            <w:pPr>
              <w:jc w:val="center"/>
              <w:ind w:right="7"/>
              <w:spacing w:after="0"/>
              <w:rPr>
                <w:sz w:val="20"/>
                <w:szCs w:val="20"/>
                <w:color w:val="auto"/>
              </w:rPr>
            </w:pPr>
            <w:r>
              <w:rPr>
                <w:rFonts w:ascii="Arial" w:cs="Arial" w:eastAsia="Arial" w:hAnsi="Arial"/>
                <w:sz w:val="16"/>
                <w:szCs w:val="16"/>
                <w:b w:val="1"/>
                <w:bCs w:val="1"/>
                <w:color w:val="auto"/>
              </w:rPr>
              <w:t>Awards</w:t>
            </w:r>
          </w:p>
        </w:tc>
        <w:tc>
          <w:tcPr>
            <w:tcW w:w="0" w:type="dxa"/>
            <w:vAlign w:val="bottom"/>
          </w:tcPr>
          <w:p>
            <w:pPr>
              <w:spacing w:after="0"/>
              <w:rPr>
                <w:sz w:val="1"/>
                <w:szCs w:val="1"/>
                <w:color w:val="auto"/>
              </w:rPr>
            </w:pPr>
          </w:p>
        </w:tc>
      </w:tr>
      <w:tr>
        <w:trPr>
          <w:trHeight w:val="378"/>
        </w:trPr>
        <w:tc>
          <w:tcPr>
            <w:tcW w:w="920" w:type="dxa"/>
            <w:vAlign w:val="bottom"/>
            <w:shd w:val="clear" w:color="auto" w:fill="E8F7F7"/>
          </w:tcPr>
          <w:p>
            <w:pPr>
              <w:spacing w:after="0"/>
              <w:rPr>
                <w:sz w:val="24"/>
                <w:szCs w:val="24"/>
                <w:color w:val="auto"/>
              </w:rPr>
            </w:pPr>
          </w:p>
        </w:tc>
        <w:tc>
          <w:tcPr>
            <w:tcW w:w="860" w:type="dxa"/>
            <w:vAlign w:val="bottom"/>
            <w:shd w:val="clear" w:color="auto" w:fill="E8F7F7"/>
          </w:tcPr>
          <w:p>
            <w:pPr>
              <w:spacing w:after="0"/>
              <w:rPr>
                <w:sz w:val="24"/>
                <w:szCs w:val="24"/>
                <w:color w:val="auto"/>
              </w:rPr>
            </w:pPr>
          </w:p>
        </w:tc>
        <w:tc>
          <w:tcPr>
            <w:tcW w:w="940" w:type="dxa"/>
            <w:vAlign w:val="bottom"/>
            <w:shd w:val="clear" w:color="auto" w:fill="E8F7F7"/>
          </w:tcPr>
          <w:p>
            <w:pPr>
              <w:jc w:val="center"/>
              <w:spacing w:after="0"/>
              <w:rPr>
                <w:sz w:val="20"/>
                <w:szCs w:val="20"/>
                <w:color w:val="auto"/>
              </w:rPr>
            </w:pPr>
            <w:r>
              <w:rPr>
                <w:rFonts w:ascii="Arial" w:cs="Arial" w:eastAsia="Arial" w:hAnsi="Arial"/>
                <w:sz w:val="13"/>
                <w:szCs w:val="13"/>
                <w:b w:val="1"/>
                <w:bCs w:val="1"/>
                <w:color w:val="auto"/>
                <w:w w:val="97"/>
              </w:rPr>
              <w:t>Threshold ($)</w:t>
            </w:r>
          </w:p>
        </w:tc>
        <w:tc>
          <w:tcPr>
            <w:tcW w:w="960" w:type="dxa"/>
            <w:vAlign w:val="bottom"/>
            <w:shd w:val="clear" w:color="auto" w:fill="E8F7F7"/>
          </w:tcPr>
          <w:p>
            <w:pPr>
              <w:jc w:val="center"/>
              <w:spacing w:after="0"/>
              <w:rPr>
                <w:sz w:val="20"/>
                <w:szCs w:val="20"/>
                <w:color w:val="auto"/>
              </w:rPr>
            </w:pPr>
            <w:r>
              <w:rPr>
                <w:rFonts w:ascii="Arial" w:cs="Arial" w:eastAsia="Arial" w:hAnsi="Arial"/>
                <w:sz w:val="13"/>
                <w:szCs w:val="13"/>
                <w:b w:val="1"/>
                <w:bCs w:val="1"/>
                <w:color w:val="auto"/>
                <w:w w:val="94"/>
              </w:rPr>
              <w:t>Target ($)</w:t>
            </w:r>
          </w:p>
        </w:tc>
        <w:tc>
          <w:tcPr>
            <w:tcW w:w="960" w:type="dxa"/>
            <w:vAlign w:val="bottom"/>
            <w:shd w:val="clear" w:color="auto" w:fill="E8F7F7"/>
          </w:tcPr>
          <w:p>
            <w:pPr>
              <w:jc w:val="right"/>
              <w:ind w:right="28"/>
              <w:spacing w:after="0"/>
              <w:rPr>
                <w:sz w:val="20"/>
                <w:szCs w:val="20"/>
                <w:color w:val="auto"/>
              </w:rPr>
            </w:pPr>
            <w:r>
              <w:rPr>
                <w:rFonts w:ascii="Arial" w:cs="Arial" w:eastAsia="Arial" w:hAnsi="Arial"/>
                <w:sz w:val="13"/>
                <w:szCs w:val="13"/>
                <w:b w:val="1"/>
                <w:bCs w:val="1"/>
                <w:color w:val="auto"/>
              </w:rPr>
              <w:t>Maximum ($)</w:t>
            </w:r>
          </w:p>
        </w:tc>
        <w:tc>
          <w:tcPr>
            <w:tcW w:w="1040" w:type="dxa"/>
            <w:vAlign w:val="bottom"/>
            <w:shd w:val="clear" w:color="auto" w:fill="E8F7F7"/>
          </w:tcPr>
          <w:p>
            <w:pPr>
              <w:jc w:val="right"/>
              <w:ind w:right="108"/>
              <w:spacing w:after="0"/>
              <w:rPr>
                <w:sz w:val="20"/>
                <w:szCs w:val="20"/>
                <w:color w:val="auto"/>
              </w:rPr>
            </w:pPr>
            <w:r>
              <w:rPr>
                <w:rFonts w:ascii="Arial" w:cs="Arial" w:eastAsia="Arial" w:hAnsi="Arial"/>
                <w:sz w:val="13"/>
                <w:szCs w:val="13"/>
                <w:b w:val="1"/>
                <w:bCs w:val="1"/>
                <w:color w:val="auto"/>
              </w:rPr>
              <w:t>Threshold (#)</w:t>
            </w:r>
          </w:p>
        </w:tc>
        <w:tc>
          <w:tcPr>
            <w:tcW w:w="900" w:type="dxa"/>
            <w:vAlign w:val="bottom"/>
            <w:shd w:val="clear" w:color="auto" w:fill="E8F7F7"/>
          </w:tcPr>
          <w:p>
            <w:pPr>
              <w:jc w:val="center"/>
              <w:ind w:right="48"/>
              <w:spacing w:after="0"/>
              <w:rPr>
                <w:sz w:val="20"/>
                <w:szCs w:val="20"/>
                <w:color w:val="auto"/>
              </w:rPr>
            </w:pPr>
            <w:r>
              <w:rPr>
                <w:rFonts w:ascii="Arial" w:cs="Arial" w:eastAsia="Arial" w:hAnsi="Arial"/>
                <w:sz w:val="13"/>
                <w:szCs w:val="13"/>
                <w:b w:val="1"/>
                <w:bCs w:val="1"/>
                <w:color w:val="auto"/>
                <w:w w:val="97"/>
              </w:rPr>
              <w:t>Target (#)</w:t>
            </w:r>
          </w:p>
        </w:tc>
        <w:tc>
          <w:tcPr>
            <w:tcW w:w="940" w:type="dxa"/>
            <w:vAlign w:val="bottom"/>
            <w:shd w:val="clear" w:color="auto" w:fill="E8F7F7"/>
          </w:tcPr>
          <w:p>
            <w:pPr>
              <w:jc w:val="right"/>
              <w:ind w:right="28"/>
              <w:spacing w:after="0"/>
              <w:rPr>
                <w:sz w:val="20"/>
                <w:szCs w:val="20"/>
                <w:color w:val="auto"/>
              </w:rPr>
            </w:pPr>
            <w:r>
              <w:rPr>
                <w:rFonts w:ascii="Arial" w:cs="Arial" w:eastAsia="Arial" w:hAnsi="Arial"/>
                <w:sz w:val="13"/>
                <w:szCs w:val="13"/>
                <w:b w:val="1"/>
                <w:bCs w:val="1"/>
                <w:color w:val="auto"/>
              </w:rPr>
              <w:t>Maximum (#)</w:t>
            </w:r>
          </w:p>
        </w:tc>
        <w:tc>
          <w:tcPr>
            <w:tcW w:w="1480" w:type="dxa"/>
            <w:vAlign w:val="bottom"/>
            <w:vMerge w:val="restart"/>
            <w:shd w:val="clear" w:color="auto" w:fill="E8F7F7"/>
          </w:tcPr>
          <w:p>
            <w:pPr>
              <w:jc w:val="center"/>
              <w:spacing w:after="0"/>
              <w:rPr>
                <w:sz w:val="20"/>
                <w:szCs w:val="20"/>
                <w:color w:val="auto"/>
              </w:rPr>
            </w:pPr>
            <w:r>
              <w:rPr>
                <w:rFonts w:ascii="Arial" w:cs="Arial" w:eastAsia="Arial" w:hAnsi="Arial"/>
                <w:sz w:val="13"/>
                <w:szCs w:val="13"/>
                <w:b w:val="1"/>
                <w:bCs w:val="1"/>
                <w:color w:val="auto"/>
                <w:w w:val="94"/>
              </w:rPr>
              <w:t>(#)(3)</w:t>
            </w:r>
          </w:p>
        </w:tc>
        <w:tc>
          <w:tcPr>
            <w:tcW w:w="1340" w:type="dxa"/>
            <w:vAlign w:val="bottom"/>
            <w:vMerge w:val="restart"/>
            <w:shd w:val="clear" w:color="auto" w:fill="E8F7F7"/>
          </w:tcPr>
          <w:p>
            <w:pPr>
              <w:jc w:val="right"/>
              <w:ind w:right="327"/>
              <w:spacing w:after="0"/>
              <w:rPr>
                <w:sz w:val="20"/>
                <w:szCs w:val="20"/>
                <w:color w:val="auto"/>
              </w:rPr>
            </w:pPr>
            <w:r>
              <w:rPr>
                <w:rFonts w:ascii="Arial" w:cs="Arial" w:eastAsia="Arial" w:hAnsi="Arial"/>
                <w:sz w:val="13"/>
                <w:szCs w:val="13"/>
                <w:b w:val="1"/>
                <w:bCs w:val="1"/>
                <w:color w:val="auto"/>
              </w:rPr>
              <w:t>($)(4)</w:t>
            </w:r>
          </w:p>
        </w:tc>
        <w:tc>
          <w:tcPr>
            <w:tcW w:w="0" w:type="dxa"/>
            <w:vAlign w:val="bottom"/>
          </w:tcPr>
          <w:p>
            <w:pPr>
              <w:spacing w:after="0"/>
              <w:rPr>
                <w:sz w:val="1"/>
                <w:szCs w:val="1"/>
                <w:color w:val="auto"/>
              </w:rPr>
            </w:pPr>
          </w:p>
        </w:tc>
      </w:tr>
      <w:tr>
        <w:trPr>
          <w:trHeight w:val="81"/>
        </w:trPr>
        <w:tc>
          <w:tcPr>
            <w:tcW w:w="920" w:type="dxa"/>
            <w:vAlign w:val="bottom"/>
            <w:shd w:val="clear" w:color="auto" w:fill="E8F7F7"/>
          </w:tcPr>
          <w:p>
            <w:pPr>
              <w:spacing w:after="0"/>
              <w:rPr>
                <w:sz w:val="7"/>
                <w:szCs w:val="7"/>
                <w:color w:val="auto"/>
              </w:rPr>
            </w:pPr>
          </w:p>
        </w:tc>
        <w:tc>
          <w:tcPr>
            <w:tcW w:w="860" w:type="dxa"/>
            <w:vAlign w:val="bottom"/>
            <w:shd w:val="clear" w:color="auto" w:fill="E8F7F7"/>
          </w:tcPr>
          <w:p>
            <w:pPr>
              <w:spacing w:after="0"/>
              <w:rPr>
                <w:sz w:val="7"/>
                <w:szCs w:val="7"/>
                <w:color w:val="auto"/>
              </w:rPr>
            </w:pPr>
          </w:p>
        </w:tc>
        <w:tc>
          <w:tcPr>
            <w:tcW w:w="940" w:type="dxa"/>
            <w:vAlign w:val="bottom"/>
            <w:shd w:val="clear" w:color="auto" w:fill="E8F7F7"/>
          </w:tcPr>
          <w:p>
            <w:pPr>
              <w:spacing w:after="0"/>
              <w:rPr>
                <w:sz w:val="7"/>
                <w:szCs w:val="7"/>
                <w:color w:val="auto"/>
              </w:rPr>
            </w:pPr>
          </w:p>
        </w:tc>
        <w:tc>
          <w:tcPr>
            <w:tcW w:w="960" w:type="dxa"/>
            <w:vAlign w:val="bottom"/>
            <w:shd w:val="clear" w:color="auto" w:fill="E8F7F7"/>
          </w:tcPr>
          <w:p>
            <w:pPr>
              <w:spacing w:after="0"/>
              <w:rPr>
                <w:sz w:val="7"/>
                <w:szCs w:val="7"/>
                <w:color w:val="auto"/>
              </w:rPr>
            </w:pPr>
          </w:p>
        </w:tc>
        <w:tc>
          <w:tcPr>
            <w:tcW w:w="960" w:type="dxa"/>
            <w:vAlign w:val="bottom"/>
            <w:shd w:val="clear" w:color="auto" w:fill="E8F7F7"/>
          </w:tcPr>
          <w:p>
            <w:pPr>
              <w:spacing w:after="0"/>
              <w:rPr>
                <w:sz w:val="7"/>
                <w:szCs w:val="7"/>
                <w:color w:val="auto"/>
              </w:rPr>
            </w:pPr>
          </w:p>
        </w:tc>
        <w:tc>
          <w:tcPr>
            <w:tcW w:w="1040" w:type="dxa"/>
            <w:vAlign w:val="bottom"/>
            <w:shd w:val="clear" w:color="auto" w:fill="E8F7F7"/>
          </w:tcPr>
          <w:p>
            <w:pPr>
              <w:spacing w:after="0"/>
              <w:rPr>
                <w:sz w:val="7"/>
                <w:szCs w:val="7"/>
                <w:color w:val="auto"/>
              </w:rPr>
            </w:pPr>
          </w:p>
        </w:tc>
        <w:tc>
          <w:tcPr>
            <w:tcW w:w="900" w:type="dxa"/>
            <w:vAlign w:val="bottom"/>
            <w:shd w:val="clear" w:color="auto" w:fill="E8F7F7"/>
          </w:tcPr>
          <w:p>
            <w:pPr>
              <w:spacing w:after="0"/>
              <w:rPr>
                <w:sz w:val="7"/>
                <w:szCs w:val="7"/>
                <w:color w:val="auto"/>
              </w:rPr>
            </w:pPr>
          </w:p>
        </w:tc>
        <w:tc>
          <w:tcPr>
            <w:tcW w:w="940" w:type="dxa"/>
            <w:vAlign w:val="bottom"/>
            <w:shd w:val="clear" w:color="auto" w:fill="E8F7F7"/>
          </w:tcPr>
          <w:p>
            <w:pPr>
              <w:spacing w:after="0"/>
              <w:rPr>
                <w:sz w:val="7"/>
                <w:szCs w:val="7"/>
                <w:color w:val="auto"/>
              </w:rPr>
            </w:pPr>
          </w:p>
        </w:tc>
        <w:tc>
          <w:tcPr>
            <w:tcW w:w="1480" w:type="dxa"/>
            <w:vAlign w:val="bottom"/>
            <w:vMerge w:val="continue"/>
            <w:shd w:val="clear" w:color="auto" w:fill="E8F7F7"/>
          </w:tcPr>
          <w:p>
            <w:pPr>
              <w:spacing w:after="0"/>
              <w:rPr>
                <w:sz w:val="7"/>
                <w:szCs w:val="7"/>
                <w:color w:val="auto"/>
              </w:rPr>
            </w:pPr>
          </w:p>
        </w:tc>
        <w:tc>
          <w:tcPr>
            <w:tcW w:w="1340" w:type="dxa"/>
            <w:vAlign w:val="bottom"/>
            <w:vMerge w:val="continue"/>
            <w:shd w:val="clear" w:color="auto" w:fill="E8F7F7"/>
          </w:tcPr>
          <w:p>
            <w:pPr>
              <w:spacing w:after="0"/>
              <w:rPr>
                <w:sz w:val="7"/>
                <w:szCs w:val="7"/>
                <w:color w:val="auto"/>
              </w:rPr>
            </w:pPr>
          </w:p>
        </w:tc>
        <w:tc>
          <w:tcPr>
            <w:tcW w:w="0" w:type="dxa"/>
            <w:vAlign w:val="bottom"/>
          </w:tcPr>
          <w:p>
            <w:pPr>
              <w:spacing w:after="0"/>
              <w:rPr>
                <w:sz w:val="1"/>
                <w:szCs w:val="1"/>
                <w:color w:val="auto"/>
              </w:rPr>
            </w:pPr>
          </w:p>
        </w:tc>
      </w:tr>
      <w:tr>
        <w:trPr>
          <w:trHeight w:val="116"/>
        </w:trPr>
        <w:tc>
          <w:tcPr>
            <w:tcW w:w="920" w:type="dxa"/>
            <w:vAlign w:val="bottom"/>
            <w:tcBorders>
              <w:bottom w:val="single" w:sz="8" w:color="auto"/>
            </w:tcBorders>
            <w:shd w:val="clear" w:color="auto" w:fill="E8F7F7"/>
          </w:tcPr>
          <w:p>
            <w:pPr>
              <w:spacing w:after="0"/>
              <w:rPr>
                <w:sz w:val="10"/>
                <w:szCs w:val="10"/>
                <w:color w:val="auto"/>
              </w:rPr>
            </w:pPr>
          </w:p>
        </w:tc>
        <w:tc>
          <w:tcPr>
            <w:tcW w:w="860" w:type="dxa"/>
            <w:vAlign w:val="bottom"/>
            <w:tcBorders>
              <w:bottom w:val="single" w:sz="8" w:color="auto"/>
            </w:tcBorders>
            <w:shd w:val="clear" w:color="auto" w:fill="E8F7F7"/>
          </w:tcPr>
          <w:p>
            <w:pPr>
              <w:spacing w:after="0"/>
              <w:rPr>
                <w:sz w:val="10"/>
                <w:szCs w:val="10"/>
                <w:color w:val="auto"/>
              </w:rPr>
            </w:pPr>
          </w:p>
        </w:tc>
        <w:tc>
          <w:tcPr>
            <w:tcW w:w="940" w:type="dxa"/>
            <w:vAlign w:val="bottom"/>
            <w:tcBorders>
              <w:bottom w:val="single" w:sz="8" w:color="auto"/>
            </w:tcBorders>
            <w:shd w:val="clear" w:color="auto" w:fill="E8F7F7"/>
          </w:tcPr>
          <w:p>
            <w:pPr>
              <w:spacing w:after="0"/>
              <w:rPr>
                <w:sz w:val="10"/>
                <w:szCs w:val="10"/>
                <w:color w:val="auto"/>
              </w:rPr>
            </w:pPr>
          </w:p>
        </w:tc>
        <w:tc>
          <w:tcPr>
            <w:tcW w:w="960" w:type="dxa"/>
            <w:vAlign w:val="bottom"/>
            <w:tcBorders>
              <w:bottom w:val="single" w:sz="8" w:color="auto"/>
            </w:tcBorders>
            <w:shd w:val="clear" w:color="auto" w:fill="E8F7F7"/>
          </w:tcPr>
          <w:p>
            <w:pPr>
              <w:spacing w:after="0"/>
              <w:rPr>
                <w:sz w:val="10"/>
                <w:szCs w:val="10"/>
                <w:color w:val="auto"/>
              </w:rPr>
            </w:pPr>
          </w:p>
        </w:tc>
        <w:tc>
          <w:tcPr>
            <w:tcW w:w="960" w:type="dxa"/>
            <w:vAlign w:val="bottom"/>
            <w:tcBorders>
              <w:bottom w:val="single" w:sz="8" w:color="auto"/>
            </w:tcBorders>
            <w:shd w:val="clear" w:color="auto" w:fill="E8F7F7"/>
          </w:tcPr>
          <w:p>
            <w:pPr>
              <w:spacing w:after="0"/>
              <w:rPr>
                <w:sz w:val="10"/>
                <w:szCs w:val="10"/>
                <w:color w:val="auto"/>
              </w:rPr>
            </w:pPr>
          </w:p>
        </w:tc>
        <w:tc>
          <w:tcPr>
            <w:tcW w:w="1040" w:type="dxa"/>
            <w:vAlign w:val="bottom"/>
            <w:tcBorders>
              <w:bottom w:val="single" w:sz="8" w:color="auto"/>
            </w:tcBorders>
            <w:shd w:val="clear" w:color="auto" w:fill="E8F7F7"/>
          </w:tcPr>
          <w:p>
            <w:pPr>
              <w:spacing w:after="0"/>
              <w:rPr>
                <w:sz w:val="10"/>
                <w:szCs w:val="10"/>
                <w:color w:val="auto"/>
              </w:rPr>
            </w:pPr>
          </w:p>
        </w:tc>
        <w:tc>
          <w:tcPr>
            <w:tcW w:w="900" w:type="dxa"/>
            <w:vAlign w:val="bottom"/>
            <w:tcBorders>
              <w:bottom w:val="single" w:sz="8" w:color="auto"/>
            </w:tcBorders>
            <w:shd w:val="clear" w:color="auto" w:fill="E8F7F7"/>
          </w:tcPr>
          <w:p>
            <w:pPr>
              <w:spacing w:after="0"/>
              <w:rPr>
                <w:sz w:val="10"/>
                <w:szCs w:val="10"/>
                <w:color w:val="auto"/>
              </w:rPr>
            </w:pPr>
          </w:p>
        </w:tc>
        <w:tc>
          <w:tcPr>
            <w:tcW w:w="940" w:type="dxa"/>
            <w:vAlign w:val="bottom"/>
            <w:tcBorders>
              <w:bottom w:val="single" w:sz="8" w:color="auto"/>
            </w:tcBorders>
            <w:shd w:val="clear" w:color="auto" w:fill="E8F7F7"/>
          </w:tcPr>
          <w:p>
            <w:pPr>
              <w:spacing w:after="0"/>
              <w:rPr>
                <w:sz w:val="10"/>
                <w:szCs w:val="10"/>
                <w:color w:val="auto"/>
              </w:rPr>
            </w:pPr>
          </w:p>
        </w:tc>
        <w:tc>
          <w:tcPr>
            <w:tcW w:w="1480" w:type="dxa"/>
            <w:vAlign w:val="bottom"/>
            <w:tcBorders>
              <w:bottom w:val="single" w:sz="8" w:color="auto"/>
            </w:tcBorders>
            <w:shd w:val="clear" w:color="auto" w:fill="E8F7F7"/>
          </w:tcPr>
          <w:p>
            <w:pPr>
              <w:spacing w:after="0"/>
              <w:rPr>
                <w:sz w:val="10"/>
                <w:szCs w:val="10"/>
                <w:color w:val="auto"/>
              </w:rPr>
            </w:pPr>
          </w:p>
        </w:tc>
        <w:tc>
          <w:tcPr>
            <w:tcW w:w="1340" w:type="dxa"/>
            <w:vAlign w:val="bottom"/>
            <w:tcBorders>
              <w:bottom w:val="single" w:sz="8" w:color="auto"/>
            </w:tcBorders>
            <w:shd w:val="clear" w:color="auto" w:fill="E8F7F7"/>
          </w:tcPr>
          <w:p>
            <w:pPr>
              <w:spacing w:after="0"/>
              <w:rPr>
                <w:sz w:val="10"/>
                <w:szCs w:val="10"/>
                <w:color w:val="auto"/>
              </w:rPr>
            </w:pPr>
          </w:p>
        </w:tc>
        <w:tc>
          <w:tcPr>
            <w:tcW w:w="0" w:type="dxa"/>
            <w:vAlign w:val="bottom"/>
          </w:tcPr>
          <w:p>
            <w:pPr>
              <w:spacing w:after="0"/>
              <w:rPr>
                <w:sz w:val="1"/>
                <w:szCs w:val="1"/>
                <w:color w:val="auto"/>
              </w:rPr>
            </w:pPr>
          </w:p>
        </w:tc>
      </w:tr>
      <w:tr>
        <w:trPr>
          <w:trHeight w:val="169"/>
        </w:trPr>
        <w:tc>
          <w:tcPr>
            <w:tcW w:w="920" w:type="dxa"/>
            <w:vAlign w:val="bottom"/>
          </w:tcPr>
          <w:p>
            <w:pPr>
              <w:spacing w:after="0" w:line="169" w:lineRule="exact"/>
              <w:rPr>
                <w:sz w:val="20"/>
                <w:szCs w:val="20"/>
                <w:color w:val="auto"/>
              </w:rPr>
            </w:pPr>
            <w:r>
              <w:rPr>
                <w:rFonts w:ascii="Arial" w:cs="Arial" w:eastAsia="Arial" w:hAnsi="Arial"/>
                <w:sz w:val="16"/>
                <w:szCs w:val="16"/>
                <w:color w:val="auto"/>
              </w:rPr>
              <w:t>David B.</w:t>
            </w:r>
          </w:p>
        </w:tc>
        <w:tc>
          <w:tcPr>
            <w:tcW w:w="860" w:type="dxa"/>
            <w:vAlign w:val="bottom"/>
          </w:tcPr>
          <w:p>
            <w:pPr>
              <w:jc w:val="right"/>
              <w:ind w:right="87"/>
              <w:spacing w:after="0"/>
              <w:rPr>
                <w:sz w:val="20"/>
                <w:szCs w:val="20"/>
                <w:color w:val="auto"/>
              </w:rPr>
            </w:pPr>
            <w:r>
              <w:rPr>
                <w:rFonts w:ascii="Arial" w:cs="Arial" w:eastAsia="Arial" w:hAnsi="Arial"/>
                <w:sz w:val="14"/>
                <w:szCs w:val="14"/>
                <w:color w:val="auto"/>
              </w:rPr>
              <w:t>8/4/2023</w:t>
            </w:r>
          </w:p>
        </w:tc>
        <w:tc>
          <w:tcPr>
            <w:tcW w:w="940" w:type="dxa"/>
            <w:vAlign w:val="bottom"/>
          </w:tcPr>
          <w:p>
            <w:pPr>
              <w:jc w:val="right"/>
              <w:spacing w:after="0"/>
              <w:rPr>
                <w:sz w:val="20"/>
                <w:szCs w:val="20"/>
                <w:color w:val="auto"/>
              </w:rPr>
            </w:pPr>
            <w:r>
              <w:rPr>
                <w:rFonts w:ascii="Arial" w:cs="Arial" w:eastAsia="Arial" w:hAnsi="Arial"/>
                <w:sz w:val="14"/>
                <w:szCs w:val="14"/>
                <w:color w:val="auto"/>
              </w:rPr>
              <w:t>0</w:t>
            </w:r>
          </w:p>
        </w:tc>
        <w:tc>
          <w:tcPr>
            <w:tcW w:w="960" w:type="dxa"/>
            <w:vAlign w:val="bottom"/>
          </w:tcPr>
          <w:p>
            <w:pPr>
              <w:jc w:val="right"/>
              <w:spacing w:after="0"/>
              <w:rPr>
                <w:sz w:val="20"/>
                <w:szCs w:val="20"/>
                <w:color w:val="auto"/>
              </w:rPr>
            </w:pPr>
            <w:r>
              <w:rPr>
                <w:rFonts w:ascii="Arial" w:cs="Arial" w:eastAsia="Arial" w:hAnsi="Arial"/>
                <w:sz w:val="14"/>
                <w:szCs w:val="14"/>
                <w:color w:val="auto"/>
              </w:rPr>
              <w:t>1,297,500</w:t>
            </w:r>
          </w:p>
        </w:tc>
        <w:tc>
          <w:tcPr>
            <w:tcW w:w="960" w:type="dxa"/>
            <w:vAlign w:val="bottom"/>
          </w:tcPr>
          <w:p>
            <w:pPr>
              <w:jc w:val="right"/>
              <w:spacing w:after="0"/>
              <w:rPr>
                <w:sz w:val="20"/>
                <w:szCs w:val="20"/>
                <w:color w:val="auto"/>
              </w:rPr>
            </w:pPr>
            <w:r>
              <w:rPr>
                <w:rFonts w:ascii="Arial" w:cs="Arial" w:eastAsia="Arial" w:hAnsi="Arial"/>
                <w:sz w:val="14"/>
                <w:szCs w:val="14"/>
                <w:color w:val="auto"/>
              </w:rPr>
              <w:t>2,595,000</w:t>
            </w:r>
          </w:p>
        </w:tc>
        <w:tc>
          <w:tcPr>
            <w:tcW w:w="1040" w:type="dxa"/>
            <w:vAlign w:val="bottom"/>
          </w:tcPr>
          <w:p>
            <w:pPr>
              <w:jc w:val="right"/>
              <w:ind w:right="468"/>
              <w:spacing w:after="0"/>
              <w:rPr>
                <w:sz w:val="20"/>
                <w:szCs w:val="20"/>
                <w:color w:val="auto"/>
              </w:rPr>
            </w:pPr>
            <w:r>
              <w:rPr>
                <w:rFonts w:ascii="Arial" w:cs="Arial" w:eastAsia="Arial" w:hAnsi="Arial"/>
                <w:sz w:val="14"/>
                <w:szCs w:val="14"/>
                <w:color w:val="auto"/>
              </w:rPr>
              <w:t>-</w:t>
            </w:r>
          </w:p>
        </w:tc>
        <w:tc>
          <w:tcPr>
            <w:tcW w:w="900" w:type="dxa"/>
            <w:vAlign w:val="bottom"/>
          </w:tcPr>
          <w:p>
            <w:pPr>
              <w:jc w:val="center"/>
              <w:ind w:right="48"/>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388"/>
              <w:spacing w:after="0"/>
              <w:rPr>
                <w:sz w:val="20"/>
                <w:szCs w:val="20"/>
                <w:color w:val="auto"/>
              </w:rPr>
            </w:pPr>
            <w:r>
              <w:rPr>
                <w:rFonts w:ascii="Arial" w:cs="Arial" w:eastAsia="Arial" w:hAnsi="Arial"/>
                <w:sz w:val="14"/>
                <w:szCs w:val="14"/>
                <w:color w:val="auto"/>
              </w:rPr>
              <w:t>-</w:t>
            </w:r>
          </w:p>
        </w:tc>
        <w:tc>
          <w:tcPr>
            <w:tcW w:w="1480" w:type="dxa"/>
            <w:vAlign w:val="bottom"/>
          </w:tcPr>
          <w:p>
            <w:pPr>
              <w:jc w:val="center"/>
              <w:ind w:right="7"/>
              <w:spacing w:after="0"/>
              <w:rPr>
                <w:sz w:val="20"/>
                <w:szCs w:val="20"/>
                <w:color w:val="auto"/>
              </w:rPr>
            </w:pPr>
            <w:r>
              <w:rPr>
                <w:rFonts w:ascii="Arial" w:cs="Arial" w:eastAsia="Arial" w:hAnsi="Arial"/>
                <w:sz w:val="14"/>
                <w:szCs w:val="14"/>
                <w:color w:val="auto"/>
                <w:w w:val="84"/>
              </w:rPr>
              <w:t>-</w:t>
            </w:r>
          </w:p>
        </w:tc>
        <w:tc>
          <w:tcPr>
            <w:tcW w:w="1340" w:type="dxa"/>
            <w:vAlign w:val="bottom"/>
          </w:tcPr>
          <w:p>
            <w:pPr>
              <w:jc w:val="center"/>
              <w:ind w:right="7"/>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81"/>
        </w:trPr>
        <w:tc>
          <w:tcPr>
            <w:tcW w:w="920" w:type="dxa"/>
            <w:vAlign w:val="bottom"/>
            <w:vMerge w:val="restart"/>
          </w:tcPr>
          <w:p>
            <w:pPr>
              <w:spacing w:after="0"/>
              <w:rPr>
                <w:sz w:val="20"/>
                <w:szCs w:val="20"/>
                <w:color w:val="auto"/>
              </w:rPr>
            </w:pPr>
            <w:r>
              <w:rPr>
                <w:rFonts w:ascii="Arial" w:cs="Arial" w:eastAsia="Arial" w:hAnsi="Arial"/>
                <w:sz w:val="16"/>
                <w:szCs w:val="16"/>
                <w:color w:val="auto"/>
              </w:rPr>
              <w:t>Foss</w:t>
            </w:r>
          </w:p>
        </w:tc>
        <w:tc>
          <w:tcPr>
            <w:tcW w:w="860" w:type="dxa"/>
            <w:vAlign w:val="bottom"/>
            <w:tcBorders>
              <w:bottom w:val="single" w:sz="8" w:color="DBDBDB"/>
            </w:tcBorders>
          </w:tcPr>
          <w:p>
            <w:pPr>
              <w:spacing w:after="0"/>
              <w:rPr>
                <w:sz w:val="7"/>
                <w:szCs w:val="7"/>
                <w:color w:val="auto"/>
              </w:rPr>
            </w:pPr>
          </w:p>
        </w:tc>
        <w:tc>
          <w:tcPr>
            <w:tcW w:w="940" w:type="dxa"/>
            <w:vAlign w:val="bottom"/>
            <w:tcBorders>
              <w:bottom w:val="single" w:sz="8" w:color="DBDBDB"/>
            </w:tcBorders>
          </w:tcPr>
          <w:p>
            <w:pPr>
              <w:spacing w:after="0"/>
              <w:rPr>
                <w:sz w:val="7"/>
                <w:szCs w:val="7"/>
                <w:color w:val="auto"/>
              </w:rPr>
            </w:pPr>
          </w:p>
        </w:tc>
        <w:tc>
          <w:tcPr>
            <w:tcW w:w="960" w:type="dxa"/>
            <w:vAlign w:val="bottom"/>
            <w:tcBorders>
              <w:bottom w:val="single" w:sz="8" w:color="DBDBDB"/>
            </w:tcBorders>
          </w:tcPr>
          <w:p>
            <w:pPr>
              <w:spacing w:after="0"/>
              <w:rPr>
                <w:sz w:val="7"/>
                <w:szCs w:val="7"/>
                <w:color w:val="auto"/>
              </w:rPr>
            </w:pPr>
          </w:p>
        </w:tc>
        <w:tc>
          <w:tcPr>
            <w:tcW w:w="960" w:type="dxa"/>
            <w:vAlign w:val="bottom"/>
            <w:tcBorders>
              <w:bottom w:val="single" w:sz="8" w:color="DBDBDB"/>
            </w:tcBorders>
          </w:tcPr>
          <w:p>
            <w:pPr>
              <w:spacing w:after="0"/>
              <w:rPr>
                <w:sz w:val="7"/>
                <w:szCs w:val="7"/>
                <w:color w:val="auto"/>
              </w:rPr>
            </w:pPr>
          </w:p>
        </w:tc>
        <w:tc>
          <w:tcPr>
            <w:tcW w:w="1040" w:type="dxa"/>
            <w:vAlign w:val="bottom"/>
            <w:tcBorders>
              <w:bottom w:val="single" w:sz="8" w:color="DBDBDB"/>
            </w:tcBorders>
          </w:tcPr>
          <w:p>
            <w:pPr>
              <w:spacing w:after="0"/>
              <w:rPr>
                <w:sz w:val="7"/>
                <w:szCs w:val="7"/>
                <w:color w:val="auto"/>
              </w:rPr>
            </w:pPr>
          </w:p>
        </w:tc>
        <w:tc>
          <w:tcPr>
            <w:tcW w:w="900" w:type="dxa"/>
            <w:vAlign w:val="bottom"/>
            <w:tcBorders>
              <w:bottom w:val="single" w:sz="8" w:color="DBDBDB"/>
            </w:tcBorders>
          </w:tcPr>
          <w:p>
            <w:pPr>
              <w:spacing w:after="0"/>
              <w:rPr>
                <w:sz w:val="7"/>
                <w:szCs w:val="7"/>
                <w:color w:val="auto"/>
              </w:rPr>
            </w:pPr>
          </w:p>
        </w:tc>
        <w:tc>
          <w:tcPr>
            <w:tcW w:w="940" w:type="dxa"/>
            <w:vAlign w:val="bottom"/>
            <w:tcBorders>
              <w:bottom w:val="single" w:sz="8" w:color="DBDBDB"/>
            </w:tcBorders>
          </w:tcPr>
          <w:p>
            <w:pPr>
              <w:spacing w:after="0"/>
              <w:rPr>
                <w:sz w:val="7"/>
                <w:szCs w:val="7"/>
                <w:color w:val="auto"/>
              </w:rPr>
            </w:pPr>
          </w:p>
        </w:tc>
        <w:tc>
          <w:tcPr>
            <w:tcW w:w="1480" w:type="dxa"/>
            <w:vAlign w:val="bottom"/>
            <w:tcBorders>
              <w:bottom w:val="single" w:sz="8" w:color="DBDBDB"/>
            </w:tcBorders>
          </w:tcPr>
          <w:p>
            <w:pPr>
              <w:spacing w:after="0"/>
              <w:rPr>
                <w:sz w:val="7"/>
                <w:szCs w:val="7"/>
                <w:color w:val="auto"/>
              </w:rPr>
            </w:pPr>
          </w:p>
        </w:tc>
        <w:tc>
          <w:tcPr>
            <w:tcW w:w="1340" w:type="dxa"/>
            <w:vAlign w:val="bottom"/>
            <w:tcBorders>
              <w:bottom w:val="single" w:sz="8" w:color="DBDBDB"/>
            </w:tcBorders>
          </w:tcPr>
          <w:p>
            <w:pPr>
              <w:spacing w:after="0"/>
              <w:rPr>
                <w:sz w:val="7"/>
                <w:szCs w:val="7"/>
                <w:color w:val="auto"/>
              </w:rPr>
            </w:pPr>
          </w:p>
        </w:tc>
        <w:tc>
          <w:tcPr>
            <w:tcW w:w="0" w:type="dxa"/>
            <w:vAlign w:val="bottom"/>
          </w:tcPr>
          <w:p>
            <w:pPr>
              <w:spacing w:after="0"/>
              <w:rPr>
                <w:sz w:val="1"/>
                <w:szCs w:val="1"/>
                <w:color w:val="auto"/>
              </w:rPr>
            </w:pPr>
          </w:p>
        </w:tc>
      </w:tr>
      <w:tr>
        <w:trPr>
          <w:trHeight w:val="114"/>
        </w:trPr>
        <w:tc>
          <w:tcPr>
            <w:tcW w:w="920" w:type="dxa"/>
            <w:vAlign w:val="bottom"/>
            <w:vMerge w:val="continue"/>
          </w:tcPr>
          <w:p>
            <w:pPr>
              <w:spacing w:after="0"/>
              <w:rPr>
                <w:sz w:val="9"/>
                <w:szCs w:val="9"/>
                <w:color w:val="auto"/>
              </w:rPr>
            </w:pPr>
          </w:p>
        </w:tc>
        <w:tc>
          <w:tcPr>
            <w:tcW w:w="860" w:type="dxa"/>
            <w:vAlign w:val="bottom"/>
            <w:vMerge w:val="restart"/>
          </w:tcPr>
          <w:p>
            <w:pPr>
              <w:jc w:val="right"/>
              <w:ind w:right="87"/>
              <w:spacing w:after="0"/>
              <w:rPr>
                <w:sz w:val="20"/>
                <w:szCs w:val="20"/>
                <w:color w:val="auto"/>
              </w:rPr>
            </w:pPr>
            <w:r>
              <w:rPr>
                <w:rFonts w:ascii="Arial" w:cs="Arial" w:eastAsia="Arial" w:hAnsi="Arial"/>
                <w:sz w:val="14"/>
                <w:szCs w:val="14"/>
                <w:color w:val="auto"/>
              </w:rPr>
              <w:t>8/4/2023</w:t>
            </w:r>
          </w:p>
        </w:tc>
        <w:tc>
          <w:tcPr>
            <w:tcW w:w="940" w:type="dxa"/>
            <w:vAlign w:val="bottom"/>
            <w:vMerge w:val="restart"/>
          </w:tcPr>
          <w:p>
            <w:pPr>
              <w:jc w:val="center"/>
              <w:spacing w:after="0"/>
              <w:rPr>
                <w:sz w:val="20"/>
                <w:szCs w:val="20"/>
                <w:color w:val="auto"/>
              </w:rPr>
            </w:pPr>
            <w:r>
              <w:rPr>
                <w:rFonts w:ascii="Arial" w:cs="Arial" w:eastAsia="Arial" w:hAnsi="Arial"/>
                <w:sz w:val="14"/>
                <w:szCs w:val="14"/>
                <w:color w:val="auto"/>
                <w:w w:val="84"/>
              </w:rPr>
              <w:t>-</w:t>
            </w:r>
          </w:p>
        </w:tc>
        <w:tc>
          <w:tcPr>
            <w:tcW w:w="960" w:type="dxa"/>
            <w:vAlign w:val="bottom"/>
            <w:vMerge w:val="restart"/>
          </w:tcPr>
          <w:p>
            <w:pPr>
              <w:jc w:val="center"/>
              <w:spacing w:after="0"/>
              <w:rPr>
                <w:sz w:val="20"/>
                <w:szCs w:val="20"/>
                <w:color w:val="auto"/>
              </w:rPr>
            </w:pPr>
            <w:r>
              <w:rPr>
                <w:rFonts w:ascii="Arial" w:cs="Arial" w:eastAsia="Arial" w:hAnsi="Arial"/>
                <w:sz w:val="14"/>
                <w:szCs w:val="14"/>
                <w:color w:val="auto"/>
              </w:rPr>
              <w:t>-</w:t>
            </w:r>
          </w:p>
        </w:tc>
        <w:tc>
          <w:tcPr>
            <w:tcW w:w="960" w:type="dxa"/>
            <w:vAlign w:val="bottom"/>
            <w:vMerge w:val="restart"/>
          </w:tcPr>
          <w:p>
            <w:pPr>
              <w:jc w:val="right"/>
              <w:ind w:right="388"/>
              <w:spacing w:after="0"/>
              <w:rPr>
                <w:sz w:val="20"/>
                <w:szCs w:val="20"/>
                <w:color w:val="auto"/>
              </w:rPr>
            </w:pPr>
            <w:r>
              <w:rPr>
                <w:rFonts w:ascii="Arial" w:cs="Arial" w:eastAsia="Arial" w:hAnsi="Arial"/>
                <w:sz w:val="14"/>
                <w:szCs w:val="14"/>
                <w:color w:val="auto"/>
              </w:rPr>
              <w:t>-</w:t>
            </w:r>
          </w:p>
        </w:tc>
        <w:tc>
          <w:tcPr>
            <w:tcW w:w="1040" w:type="dxa"/>
            <w:vAlign w:val="bottom"/>
            <w:vMerge w:val="restart"/>
          </w:tcPr>
          <w:p>
            <w:pPr>
              <w:jc w:val="right"/>
              <w:ind w:right="28"/>
              <w:spacing w:after="0"/>
              <w:rPr>
                <w:sz w:val="20"/>
                <w:szCs w:val="20"/>
                <w:color w:val="auto"/>
              </w:rPr>
            </w:pPr>
            <w:r>
              <w:rPr>
                <w:rFonts w:ascii="Arial" w:cs="Arial" w:eastAsia="Arial" w:hAnsi="Arial"/>
                <w:sz w:val="14"/>
                <w:szCs w:val="14"/>
                <w:color w:val="auto"/>
              </w:rPr>
              <w:t>4,206</w:t>
            </w:r>
          </w:p>
        </w:tc>
        <w:tc>
          <w:tcPr>
            <w:tcW w:w="900" w:type="dxa"/>
            <w:vAlign w:val="bottom"/>
            <w:vMerge w:val="restart"/>
          </w:tcPr>
          <w:p>
            <w:pPr>
              <w:jc w:val="right"/>
              <w:spacing w:after="0"/>
              <w:rPr>
                <w:sz w:val="20"/>
                <w:szCs w:val="20"/>
                <w:color w:val="auto"/>
              </w:rPr>
            </w:pPr>
            <w:r>
              <w:rPr>
                <w:rFonts w:ascii="Arial" w:cs="Arial" w:eastAsia="Arial" w:hAnsi="Arial"/>
                <w:sz w:val="14"/>
                <w:szCs w:val="14"/>
                <w:color w:val="auto"/>
              </w:rPr>
              <w:t>16,825</w:t>
            </w:r>
          </w:p>
        </w:tc>
        <w:tc>
          <w:tcPr>
            <w:tcW w:w="940" w:type="dxa"/>
            <w:vAlign w:val="bottom"/>
            <w:vMerge w:val="restart"/>
          </w:tcPr>
          <w:p>
            <w:pPr>
              <w:jc w:val="right"/>
              <w:spacing w:after="0"/>
              <w:rPr>
                <w:sz w:val="20"/>
                <w:szCs w:val="20"/>
                <w:color w:val="auto"/>
              </w:rPr>
            </w:pPr>
            <w:r>
              <w:rPr>
                <w:rFonts w:ascii="Arial" w:cs="Arial" w:eastAsia="Arial" w:hAnsi="Arial"/>
                <w:sz w:val="14"/>
                <w:szCs w:val="14"/>
                <w:color w:val="auto"/>
              </w:rPr>
              <w:t>33,650</w:t>
            </w:r>
          </w:p>
        </w:tc>
        <w:tc>
          <w:tcPr>
            <w:tcW w:w="1480" w:type="dxa"/>
            <w:vAlign w:val="bottom"/>
            <w:vMerge w:val="restart"/>
          </w:tcPr>
          <w:p>
            <w:pPr>
              <w:jc w:val="center"/>
              <w:ind w:right="7"/>
              <w:spacing w:after="0"/>
              <w:rPr>
                <w:sz w:val="20"/>
                <w:szCs w:val="20"/>
                <w:color w:val="auto"/>
              </w:rPr>
            </w:pPr>
            <w:r>
              <w:rPr>
                <w:rFonts w:ascii="Arial" w:cs="Arial" w:eastAsia="Arial" w:hAnsi="Arial"/>
                <w:sz w:val="14"/>
                <w:szCs w:val="14"/>
                <w:color w:val="auto"/>
                <w:w w:val="84"/>
              </w:rPr>
              <w:t>-</w:t>
            </w:r>
          </w:p>
        </w:tc>
        <w:tc>
          <w:tcPr>
            <w:tcW w:w="1340" w:type="dxa"/>
            <w:vAlign w:val="bottom"/>
            <w:vMerge w:val="restart"/>
          </w:tcPr>
          <w:p>
            <w:pPr>
              <w:jc w:val="right"/>
              <w:spacing w:after="0"/>
              <w:rPr>
                <w:sz w:val="20"/>
                <w:szCs w:val="20"/>
                <w:color w:val="auto"/>
              </w:rPr>
            </w:pPr>
            <w:r>
              <w:rPr>
                <w:rFonts w:ascii="Arial" w:cs="Arial" w:eastAsia="Arial" w:hAnsi="Arial"/>
                <w:sz w:val="14"/>
                <w:szCs w:val="14"/>
                <w:color w:val="auto"/>
              </w:rPr>
              <w:t>3,757,527</w:t>
            </w:r>
          </w:p>
        </w:tc>
        <w:tc>
          <w:tcPr>
            <w:tcW w:w="0" w:type="dxa"/>
            <w:vAlign w:val="bottom"/>
          </w:tcPr>
          <w:p>
            <w:pPr>
              <w:spacing w:after="0"/>
              <w:rPr>
                <w:sz w:val="1"/>
                <w:szCs w:val="1"/>
                <w:color w:val="auto"/>
              </w:rPr>
            </w:pPr>
          </w:p>
        </w:tc>
      </w:tr>
      <w:tr>
        <w:trPr>
          <w:trHeight w:val="101"/>
        </w:trPr>
        <w:tc>
          <w:tcPr>
            <w:tcW w:w="920" w:type="dxa"/>
            <w:vAlign w:val="bottom"/>
          </w:tcPr>
          <w:p>
            <w:pPr>
              <w:spacing w:after="0"/>
              <w:rPr>
                <w:sz w:val="8"/>
                <w:szCs w:val="8"/>
                <w:color w:val="auto"/>
              </w:rPr>
            </w:pPr>
          </w:p>
        </w:tc>
        <w:tc>
          <w:tcPr>
            <w:tcW w:w="860" w:type="dxa"/>
            <w:vAlign w:val="bottom"/>
            <w:vMerge w:val="continue"/>
          </w:tcPr>
          <w:p>
            <w:pPr>
              <w:spacing w:after="0"/>
              <w:rPr>
                <w:sz w:val="8"/>
                <w:szCs w:val="8"/>
                <w:color w:val="auto"/>
              </w:rPr>
            </w:pPr>
          </w:p>
        </w:tc>
        <w:tc>
          <w:tcPr>
            <w:tcW w:w="940" w:type="dxa"/>
            <w:vAlign w:val="bottom"/>
            <w:vMerge w:val="continue"/>
          </w:tcPr>
          <w:p>
            <w:pPr>
              <w:spacing w:after="0"/>
              <w:rPr>
                <w:sz w:val="8"/>
                <w:szCs w:val="8"/>
                <w:color w:val="auto"/>
              </w:rPr>
            </w:pPr>
          </w:p>
        </w:tc>
        <w:tc>
          <w:tcPr>
            <w:tcW w:w="960" w:type="dxa"/>
            <w:vAlign w:val="bottom"/>
            <w:vMerge w:val="continue"/>
          </w:tcPr>
          <w:p>
            <w:pPr>
              <w:spacing w:after="0"/>
              <w:rPr>
                <w:sz w:val="8"/>
                <w:szCs w:val="8"/>
                <w:color w:val="auto"/>
              </w:rPr>
            </w:pPr>
          </w:p>
        </w:tc>
        <w:tc>
          <w:tcPr>
            <w:tcW w:w="960" w:type="dxa"/>
            <w:vAlign w:val="bottom"/>
            <w:vMerge w:val="continue"/>
          </w:tcPr>
          <w:p>
            <w:pPr>
              <w:spacing w:after="0"/>
              <w:rPr>
                <w:sz w:val="8"/>
                <w:szCs w:val="8"/>
                <w:color w:val="auto"/>
              </w:rPr>
            </w:pPr>
          </w:p>
        </w:tc>
        <w:tc>
          <w:tcPr>
            <w:tcW w:w="1040" w:type="dxa"/>
            <w:vAlign w:val="bottom"/>
            <w:vMerge w:val="continue"/>
          </w:tcPr>
          <w:p>
            <w:pPr>
              <w:spacing w:after="0"/>
              <w:rPr>
                <w:sz w:val="8"/>
                <w:szCs w:val="8"/>
                <w:color w:val="auto"/>
              </w:rPr>
            </w:pPr>
          </w:p>
        </w:tc>
        <w:tc>
          <w:tcPr>
            <w:tcW w:w="900" w:type="dxa"/>
            <w:vAlign w:val="bottom"/>
            <w:vMerge w:val="continue"/>
          </w:tcPr>
          <w:p>
            <w:pPr>
              <w:spacing w:after="0"/>
              <w:rPr>
                <w:sz w:val="8"/>
                <w:szCs w:val="8"/>
                <w:color w:val="auto"/>
              </w:rPr>
            </w:pPr>
          </w:p>
        </w:tc>
        <w:tc>
          <w:tcPr>
            <w:tcW w:w="940" w:type="dxa"/>
            <w:vAlign w:val="bottom"/>
            <w:vMerge w:val="continue"/>
          </w:tcPr>
          <w:p>
            <w:pPr>
              <w:spacing w:after="0"/>
              <w:rPr>
                <w:sz w:val="8"/>
                <w:szCs w:val="8"/>
                <w:color w:val="auto"/>
              </w:rPr>
            </w:pPr>
          </w:p>
        </w:tc>
        <w:tc>
          <w:tcPr>
            <w:tcW w:w="1480" w:type="dxa"/>
            <w:vAlign w:val="bottom"/>
            <w:vMerge w:val="continue"/>
          </w:tcPr>
          <w:p>
            <w:pPr>
              <w:spacing w:after="0"/>
              <w:rPr>
                <w:sz w:val="8"/>
                <w:szCs w:val="8"/>
                <w:color w:val="auto"/>
              </w:rPr>
            </w:pPr>
          </w:p>
        </w:tc>
        <w:tc>
          <w:tcPr>
            <w:tcW w:w="13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35"/>
        </w:trPr>
        <w:tc>
          <w:tcPr>
            <w:tcW w:w="920" w:type="dxa"/>
            <w:vAlign w:val="bottom"/>
          </w:tcPr>
          <w:p>
            <w:pPr>
              <w:spacing w:after="0"/>
              <w:rPr>
                <w:sz w:val="3"/>
                <w:szCs w:val="3"/>
                <w:color w:val="auto"/>
              </w:rPr>
            </w:pPr>
          </w:p>
        </w:tc>
        <w:tc>
          <w:tcPr>
            <w:tcW w:w="860" w:type="dxa"/>
            <w:vAlign w:val="bottom"/>
            <w:tcBorders>
              <w:bottom w:val="single" w:sz="8" w:color="DBDBDB"/>
            </w:tcBorders>
          </w:tcPr>
          <w:p>
            <w:pPr>
              <w:spacing w:after="0"/>
              <w:rPr>
                <w:sz w:val="3"/>
                <w:szCs w:val="3"/>
                <w:color w:val="auto"/>
              </w:rPr>
            </w:pPr>
          </w:p>
        </w:tc>
        <w:tc>
          <w:tcPr>
            <w:tcW w:w="940" w:type="dxa"/>
            <w:vAlign w:val="bottom"/>
            <w:tcBorders>
              <w:bottom w:val="single" w:sz="8" w:color="DBDBDB"/>
            </w:tcBorders>
          </w:tcPr>
          <w:p>
            <w:pPr>
              <w:spacing w:after="0"/>
              <w:rPr>
                <w:sz w:val="3"/>
                <w:szCs w:val="3"/>
                <w:color w:val="auto"/>
              </w:rPr>
            </w:pPr>
          </w:p>
        </w:tc>
        <w:tc>
          <w:tcPr>
            <w:tcW w:w="960" w:type="dxa"/>
            <w:vAlign w:val="bottom"/>
            <w:tcBorders>
              <w:bottom w:val="single" w:sz="8" w:color="DBDBDB"/>
            </w:tcBorders>
          </w:tcPr>
          <w:p>
            <w:pPr>
              <w:spacing w:after="0"/>
              <w:rPr>
                <w:sz w:val="3"/>
                <w:szCs w:val="3"/>
                <w:color w:val="auto"/>
              </w:rPr>
            </w:pPr>
          </w:p>
        </w:tc>
        <w:tc>
          <w:tcPr>
            <w:tcW w:w="960" w:type="dxa"/>
            <w:vAlign w:val="bottom"/>
            <w:tcBorders>
              <w:bottom w:val="single" w:sz="8" w:color="DBDBDB"/>
            </w:tcBorders>
          </w:tcPr>
          <w:p>
            <w:pPr>
              <w:spacing w:after="0"/>
              <w:rPr>
                <w:sz w:val="3"/>
                <w:szCs w:val="3"/>
                <w:color w:val="auto"/>
              </w:rPr>
            </w:pPr>
          </w:p>
        </w:tc>
        <w:tc>
          <w:tcPr>
            <w:tcW w:w="1040" w:type="dxa"/>
            <w:vAlign w:val="bottom"/>
            <w:tcBorders>
              <w:bottom w:val="single" w:sz="8" w:color="DBDBDB"/>
            </w:tcBorders>
          </w:tcPr>
          <w:p>
            <w:pPr>
              <w:spacing w:after="0"/>
              <w:rPr>
                <w:sz w:val="3"/>
                <w:szCs w:val="3"/>
                <w:color w:val="auto"/>
              </w:rPr>
            </w:pPr>
          </w:p>
        </w:tc>
        <w:tc>
          <w:tcPr>
            <w:tcW w:w="900" w:type="dxa"/>
            <w:vAlign w:val="bottom"/>
            <w:tcBorders>
              <w:bottom w:val="single" w:sz="8" w:color="DBDBDB"/>
            </w:tcBorders>
          </w:tcPr>
          <w:p>
            <w:pPr>
              <w:spacing w:after="0"/>
              <w:rPr>
                <w:sz w:val="3"/>
                <w:szCs w:val="3"/>
                <w:color w:val="auto"/>
              </w:rPr>
            </w:pPr>
          </w:p>
        </w:tc>
        <w:tc>
          <w:tcPr>
            <w:tcW w:w="940" w:type="dxa"/>
            <w:vAlign w:val="bottom"/>
            <w:tcBorders>
              <w:bottom w:val="single" w:sz="8" w:color="DBDBDB"/>
            </w:tcBorders>
          </w:tcPr>
          <w:p>
            <w:pPr>
              <w:spacing w:after="0"/>
              <w:rPr>
                <w:sz w:val="3"/>
                <w:szCs w:val="3"/>
                <w:color w:val="auto"/>
              </w:rPr>
            </w:pPr>
          </w:p>
        </w:tc>
        <w:tc>
          <w:tcPr>
            <w:tcW w:w="1480" w:type="dxa"/>
            <w:vAlign w:val="bottom"/>
            <w:tcBorders>
              <w:bottom w:val="single" w:sz="8" w:color="DBDBDB"/>
            </w:tcBorders>
          </w:tcPr>
          <w:p>
            <w:pPr>
              <w:spacing w:after="0"/>
              <w:rPr>
                <w:sz w:val="3"/>
                <w:szCs w:val="3"/>
                <w:color w:val="auto"/>
              </w:rPr>
            </w:pPr>
          </w:p>
        </w:tc>
        <w:tc>
          <w:tcPr>
            <w:tcW w:w="1340" w:type="dxa"/>
            <w:vAlign w:val="bottom"/>
            <w:tcBorders>
              <w:bottom w:val="single" w:sz="8" w:color="DBDBDB"/>
            </w:tcBorders>
          </w:tcPr>
          <w:p>
            <w:pPr>
              <w:spacing w:after="0"/>
              <w:rPr>
                <w:sz w:val="3"/>
                <w:szCs w:val="3"/>
                <w:color w:val="auto"/>
              </w:rPr>
            </w:pPr>
          </w:p>
        </w:tc>
        <w:tc>
          <w:tcPr>
            <w:tcW w:w="0" w:type="dxa"/>
            <w:vAlign w:val="bottom"/>
          </w:tcPr>
          <w:p>
            <w:pPr>
              <w:spacing w:after="0"/>
              <w:rPr>
                <w:sz w:val="1"/>
                <w:szCs w:val="1"/>
                <w:color w:val="auto"/>
              </w:rPr>
            </w:pPr>
          </w:p>
        </w:tc>
      </w:tr>
      <w:tr>
        <w:trPr>
          <w:trHeight w:val="215"/>
        </w:trPr>
        <w:tc>
          <w:tcPr>
            <w:tcW w:w="920" w:type="dxa"/>
            <w:vAlign w:val="bottom"/>
          </w:tcPr>
          <w:p>
            <w:pPr>
              <w:spacing w:after="0"/>
              <w:rPr>
                <w:sz w:val="18"/>
                <w:szCs w:val="18"/>
                <w:color w:val="auto"/>
              </w:rPr>
            </w:pPr>
          </w:p>
        </w:tc>
        <w:tc>
          <w:tcPr>
            <w:tcW w:w="860" w:type="dxa"/>
            <w:vAlign w:val="bottom"/>
          </w:tcPr>
          <w:p>
            <w:pPr>
              <w:jc w:val="right"/>
              <w:ind w:right="87"/>
              <w:spacing w:after="0"/>
              <w:rPr>
                <w:sz w:val="20"/>
                <w:szCs w:val="20"/>
                <w:color w:val="auto"/>
              </w:rPr>
            </w:pPr>
            <w:r>
              <w:rPr>
                <w:rFonts w:ascii="Arial" w:cs="Arial" w:eastAsia="Arial" w:hAnsi="Arial"/>
                <w:sz w:val="14"/>
                <w:szCs w:val="14"/>
                <w:color w:val="auto"/>
              </w:rPr>
              <w:t>8/4/2023</w:t>
            </w:r>
          </w:p>
        </w:tc>
        <w:tc>
          <w:tcPr>
            <w:tcW w:w="940" w:type="dxa"/>
            <w:vAlign w:val="bottom"/>
          </w:tcPr>
          <w:p>
            <w:pPr>
              <w:jc w:val="center"/>
              <w:spacing w:after="0"/>
              <w:rPr>
                <w:sz w:val="20"/>
                <w:szCs w:val="20"/>
                <w:color w:val="auto"/>
              </w:rPr>
            </w:pPr>
            <w:r>
              <w:rPr>
                <w:rFonts w:ascii="Arial" w:cs="Arial" w:eastAsia="Arial" w:hAnsi="Arial"/>
                <w:sz w:val="14"/>
                <w:szCs w:val="14"/>
                <w:color w:val="auto"/>
                <w:w w:val="84"/>
              </w:rPr>
              <w:t>-</w:t>
            </w:r>
          </w:p>
        </w:tc>
        <w:tc>
          <w:tcPr>
            <w:tcW w:w="960" w:type="dxa"/>
            <w:vAlign w:val="bottom"/>
          </w:tcPr>
          <w:p>
            <w:pPr>
              <w:jc w:val="center"/>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388"/>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2,805</w:t>
            </w:r>
          </w:p>
        </w:tc>
        <w:tc>
          <w:tcPr>
            <w:tcW w:w="900" w:type="dxa"/>
            <w:vAlign w:val="bottom"/>
          </w:tcPr>
          <w:p>
            <w:pPr>
              <w:jc w:val="right"/>
              <w:spacing w:after="0"/>
              <w:rPr>
                <w:sz w:val="20"/>
                <w:szCs w:val="20"/>
                <w:color w:val="auto"/>
              </w:rPr>
            </w:pPr>
            <w:r>
              <w:rPr>
                <w:rFonts w:ascii="Arial" w:cs="Arial" w:eastAsia="Arial" w:hAnsi="Arial"/>
                <w:sz w:val="14"/>
                <w:szCs w:val="14"/>
                <w:color w:val="auto"/>
              </w:rPr>
              <w:t>5,609</w:t>
            </w:r>
          </w:p>
        </w:tc>
        <w:tc>
          <w:tcPr>
            <w:tcW w:w="940" w:type="dxa"/>
            <w:vAlign w:val="bottom"/>
          </w:tcPr>
          <w:p>
            <w:pPr>
              <w:jc w:val="right"/>
              <w:spacing w:after="0"/>
              <w:rPr>
                <w:sz w:val="20"/>
                <w:szCs w:val="20"/>
                <w:color w:val="auto"/>
              </w:rPr>
            </w:pPr>
            <w:r>
              <w:rPr>
                <w:rFonts w:ascii="Arial" w:cs="Arial" w:eastAsia="Arial" w:hAnsi="Arial"/>
                <w:sz w:val="14"/>
                <w:szCs w:val="14"/>
                <w:color w:val="auto"/>
              </w:rPr>
              <w:t>11,218</w:t>
            </w:r>
          </w:p>
        </w:tc>
        <w:tc>
          <w:tcPr>
            <w:tcW w:w="1480" w:type="dxa"/>
            <w:vAlign w:val="bottom"/>
          </w:tcPr>
          <w:p>
            <w:pPr>
              <w:jc w:val="center"/>
              <w:ind w:right="7"/>
              <w:spacing w:after="0"/>
              <w:rPr>
                <w:sz w:val="20"/>
                <w:szCs w:val="20"/>
                <w:color w:val="auto"/>
              </w:rPr>
            </w:pPr>
            <w:r>
              <w:rPr>
                <w:rFonts w:ascii="Arial" w:cs="Arial" w:eastAsia="Arial" w:hAnsi="Arial"/>
                <w:sz w:val="14"/>
                <w:szCs w:val="14"/>
                <w:color w:val="auto"/>
                <w:w w:val="84"/>
              </w:rPr>
              <w:t>-</w:t>
            </w:r>
          </w:p>
        </w:tc>
        <w:tc>
          <w:tcPr>
            <w:tcW w:w="1340" w:type="dxa"/>
            <w:vAlign w:val="bottom"/>
          </w:tcPr>
          <w:p>
            <w:pPr>
              <w:jc w:val="right"/>
              <w:spacing w:after="0"/>
              <w:rPr>
                <w:sz w:val="20"/>
                <w:szCs w:val="20"/>
                <w:color w:val="auto"/>
              </w:rPr>
            </w:pPr>
            <w:r>
              <w:rPr>
                <w:rFonts w:ascii="Arial" w:cs="Arial" w:eastAsia="Arial" w:hAnsi="Arial"/>
                <w:sz w:val="14"/>
                <w:szCs w:val="14"/>
                <w:color w:val="auto"/>
              </w:rPr>
              <w:t>924,756</w:t>
            </w:r>
          </w:p>
        </w:tc>
        <w:tc>
          <w:tcPr>
            <w:tcW w:w="0" w:type="dxa"/>
            <w:vAlign w:val="bottom"/>
          </w:tcPr>
          <w:p>
            <w:pPr>
              <w:spacing w:after="0"/>
              <w:rPr>
                <w:sz w:val="1"/>
                <w:szCs w:val="1"/>
                <w:color w:val="auto"/>
              </w:rPr>
            </w:pPr>
          </w:p>
        </w:tc>
      </w:tr>
      <w:tr>
        <w:trPr>
          <w:trHeight w:val="35"/>
        </w:trPr>
        <w:tc>
          <w:tcPr>
            <w:tcW w:w="920" w:type="dxa"/>
            <w:vAlign w:val="bottom"/>
          </w:tcPr>
          <w:p>
            <w:pPr>
              <w:spacing w:after="0"/>
              <w:rPr>
                <w:sz w:val="3"/>
                <w:szCs w:val="3"/>
                <w:color w:val="auto"/>
              </w:rPr>
            </w:pPr>
          </w:p>
        </w:tc>
        <w:tc>
          <w:tcPr>
            <w:tcW w:w="860" w:type="dxa"/>
            <w:vAlign w:val="bottom"/>
            <w:tcBorders>
              <w:bottom w:val="single" w:sz="8" w:color="DBDBDB"/>
            </w:tcBorders>
          </w:tcPr>
          <w:p>
            <w:pPr>
              <w:spacing w:after="0"/>
              <w:rPr>
                <w:sz w:val="3"/>
                <w:szCs w:val="3"/>
                <w:color w:val="auto"/>
              </w:rPr>
            </w:pPr>
          </w:p>
        </w:tc>
        <w:tc>
          <w:tcPr>
            <w:tcW w:w="940" w:type="dxa"/>
            <w:vAlign w:val="bottom"/>
            <w:tcBorders>
              <w:bottom w:val="single" w:sz="8" w:color="DBDBDB"/>
            </w:tcBorders>
          </w:tcPr>
          <w:p>
            <w:pPr>
              <w:spacing w:after="0"/>
              <w:rPr>
                <w:sz w:val="3"/>
                <w:szCs w:val="3"/>
                <w:color w:val="auto"/>
              </w:rPr>
            </w:pPr>
          </w:p>
        </w:tc>
        <w:tc>
          <w:tcPr>
            <w:tcW w:w="960" w:type="dxa"/>
            <w:vAlign w:val="bottom"/>
            <w:tcBorders>
              <w:bottom w:val="single" w:sz="8" w:color="DBDBDB"/>
            </w:tcBorders>
          </w:tcPr>
          <w:p>
            <w:pPr>
              <w:spacing w:after="0"/>
              <w:rPr>
                <w:sz w:val="3"/>
                <w:szCs w:val="3"/>
                <w:color w:val="auto"/>
              </w:rPr>
            </w:pPr>
          </w:p>
        </w:tc>
        <w:tc>
          <w:tcPr>
            <w:tcW w:w="960" w:type="dxa"/>
            <w:vAlign w:val="bottom"/>
            <w:tcBorders>
              <w:bottom w:val="single" w:sz="8" w:color="DBDBDB"/>
            </w:tcBorders>
          </w:tcPr>
          <w:p>
            <w:pPr>
              <w:spacing w:after="0"/>
              <w:rPr>
                <w:sz w:val="3"/>
                <w:szCs w:val="3"/>
                <w:color w:val="auto"/>
              </w:rPr>
            </w:pPr>
          </w:p>
        </w:tc>
        <w:tc>
          <w:tcPr>
            <w:tcW w:w="1040" w:type="dxa"/>
            <w:vAlign w:val="bottom"/>
            <w:tcBorders>
              <w:bottom w:val="single" w:sz="8" w:color="DBDBDB"/>
            </w:tcBorders>
          </w:tcPr>
          <w:p>
            <w:pPr>
              <w:spacing w:after="0"/>
              <w:rPr>
                <w:sz w:val="3"/>
                <w:szCs w:val="3"/>
                <w:color w:val="auto"/>
              </w:rPr>
            </w:pPr>
          </w:p>
        </w:tc>
        <w:tc>
          <w:tcPr>
            <w:tcW w:w="900" w:type="dxa"/>
            <w:vAlign w:val="bottom"/>
            <w:tcBorders>
              <w:bottom w:val="single" w:sz="8" w:color="DBDBDB"/>
            </w:tcBorders>
          </w:tcPr>
          <w:p>
            <w:pPr>
              <w:spacing w:after="0"/>
              <w:rPr>
                <w:sz w:val="3"/>
                <w:szCs w:val="3"/>
                <w:color w:val="auto"/>
              </w:rPr>
            </w:pPr>
          </w:p>
        </w:tc>
        <w:tc>
          <w:tcPr>
            <w:tcW w:w="940" w:type="dxa"/>
            <w:vAlign w:val="bottom"/>
            <w:tcBorders>
              <w:bottom w:val="single" w:sz="8" w:color="DBDBDB"/>
            </w:tcBorders>
          </w:tcPr>
          <w:p>
            <w:pPr>
              <w:spacing w:after="0"/>
              <w:rPr>
                <w:sz w:val="3"/>
                <w:szCs w:val="3"/>
                <w:color w:val="auto"/>
              </w:rPr>
            </w:pPr>
          </w:p>
        </w:tc>
        <w:tc>
          <w:tcPr>
            <w:tcW w:w="1480" w:type="dxa"/>
            <w:vAlign w:val="bottom"/>
            <w:tcBorders>
              <w:bottom w:val="single" w:sz="8" w:color="DBDBDB"/>
            </w:tcBorders>
          </w:tcPr>
          <w:p>
            <w:pPr>
              <w:spacing w:after="0"/>
              <w:rPr>
                <w:sz w:val="3"/>
                <w:szCs w:val="3"/>
                <w:color w:val="auto"/>
              </w:rPr>
            </w:pPr>
          </w:p>
        </w:tc>
        <w:tc>
          <w:tcPr>
            <w:tcW w:w="1340" w:type="dxa"/>
            <w:vAlign w:val="bottom"/>
            <w:tcBorders>
              <w:bottom w:val="single" w:sz="8" w:color="DBDBDB"/>
            </w:tcBorders>
          </w:tcPr>
          <w:p>
            <w:pPr>
              <w:spacing w:after="0"/>
              <w:rPr>
                <w:sz w:val="3"/>
                <w:szCs w:val="3"/>
                <w:color w:val="auto"/>
              </w:rPr>
            </w:pPr>
          </w:p>
        </w:tc>
        <w:tc>
          <w:tcPr>
            <w:tcW w:w="0" w:type="dxa"/>
            <w:vAlign w:val="bottom"/>
          </w:tcPr>
          <w:p>
            <w:pPr>
              <w:spacing w:after="0"/>
              <w:rPr>
                <w:sz w:val="1"/>
                <w:szCs w:val="1"/>
                <w:color w:val="auto"/>
              </w:rPr>
            </w:pPr>
          </w:p>
        </w:tc>
      </w:tr>
      <w:tr>
        <w:trPr>
          <w:trHeight w:val="215"/>
        </w:trPr>
        <w:tc>
          <w:tcPr>
            <w:tcW w:w="920" w:type="dxa"/>
            <w:vAlign w:val="bottom"/>
          </w:tcPr>
          <w:p>
            <w:pPr>
              <w:spacing w:after="0"/>
              <w:rPr>
                <w:sz w:val="18"/>
                <w:szCs w:val="18"/>
                <w:color w:val="auto"/>
              </w:rPr>
            </w:pPr>
          </w:p>
        </w:tc>
        <w:tc>
          <w:tcPr>
            <w:tcW w:w="860" w:type="dxa"/>
            <w:vAlign w:val="bottom"/>
          </w:tcPr>
          <w:p>
            <w:pPr>
              <w:jc w:val="right"/>
              <w:ind w:right="87"/>
              <w:spacing w:after="0"/>
              <w:rPr>
                <w:sz w:val="20"/>
                <w:szCs w:val="20"/>
                <w:color w:val="auto"/>
              </w:rPr>
            </w:pPr>
            <w:r>
              <w:rPr>
                <w:rFonts w:ascii="Arial" w:cs="Arial" w:eastAsia="Arial" w:hAnsi="Arial"/>
                <w:sz w:val="14"/>
                <w:szCs w:val="14"/>
                <w:color w:val="auto"/>
              </w:rPr>
              <w:t>8/4/2023</w:t>
            </w:r>
          </w:p>
        </w:tc>
        <w:tc>
          <w:tcPr>
            <w:tcW w:w="940" w:type="dxa"/>
            <w:vAlign w:val="bottom"/>
          </w:tcPr>
          <w:p>
            <w:pPr>
              <w:jc w:val="center"/>
              <w:spacing w:after="0"/>
              <w:rPr>
                <w:sz w:val="20"/>
                <w:szCs w:val="20"/>
                <w:color w:val="auto"/>
              </w:rPr>
            </w:pPr>
            <w:r>
              <w:rPr>
                <w:rFonts w:ascii="Arial" w:cs="Arial" w:eastAsia="Arial" w:hAnsi="Arial"/>
                <w:sz w:val="14"/>
                <w:szCs w:val="14"/>
                <w:color w:val="auto"/>
                <w:w w:val="84"/>
              </w:rPr>
              <w:t>-</w:t>
            </w:r>
          </w:p>
        </w:tc>
        <w:tc>
          <w:tcPr>
            <w:tcW w:w="960" w:type="dxa"/>
            <w:vAlign w:val="bottom"/>
          </w:tcPr>
          <w:p>
            <w:pPr>
              <w:jc w:val="center"/>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388"/>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2,805</w:t>
            </w:r>
          </w:p>
        </w:tc>
        <w:tc>
          <w:tcPr>
            <w:tcW w:w="900" w:type="dxa"/>
            <w:vAlign w:val="bottom"/>
          </w:tcPr>
          <w:p>
            <w:pPr>
              <w:jc w:val="right"/>
              <w:spacing w:after="0"/>
              <w:rPr>
                <w:sz w:val="20"/>
                <w:szCs w:val="20"/>
                <w:color w:val="auto"/>
              </w:rPr>
            </w:pPr>
            <w:r>
              <w:rPr>
                <w:rFonts w:ascii="Arial" w:cs="Arial" w:eastAsia="Arial" w:hAnsi="Arial"/>
                <w:sz w:val="14"/>
                <w:szCs w:val="14"/>
                <w:color w:val="auto"/>
              </w:rPr>
              <w:t>5,609</w:t>
            </w:r>
          </w:p>
        </w:tc>
        <w:tc>
          <w:tcPr>
            <w:tcW w:w="940" w:type="dxa"/>
            <w:vAlign w:val="bottom"/>
          </w:tcPr>
          <w:p>
            <w:pPr>
              <w:jc w:val="right"/>
              <w:spacing w:after="0"/>
              <w:rPr>
                <w:sz w:val="20"/>
                <w:szCs w:val="20"/>
                <w:color w:val="auto"/>
              </w:rPr>
            </w:pPr>
            <w:r>
              <w:rPr>
                <w:rFonts w:ascii="Arial" w:cs="Arial" w:eastAsia="Arial" w:hAnsi="Arial"/>
                <w:sz w:val="14"/>
                <w:szCs w:val="14"/>
                <w:color w:val="auto"/>
              </w:rPr>
              <w:t>11,218</w:t>
            </w:r>
          </w:p>
        </w:tc>
        <w:tc>
          <w:tcPr>
            <w:tcW w:w="1480" w:type="dxa"/>
            <w:vAlign w:val="bottom"/>
          </w:tcPr>
          <w:p>
            <w:pPr>
              <w:jc w:val="center"/>
              <w:ind w:right="7"/>
              <w:spacing w:after="0"/>
              <w:rPr>
                <w:sz w:val="20"/>
                <w:szCs w:val="20"/>
                <w:color w:val="auto"/>
              </w:rPr>
            </w:pPr>
            <w:r>
              <w:rPr>
                <w:rFonts w:ascii="Arial" w:cs="Arial" w:eastAsia="Arial" w:hAnsi="Arial"/>
                <w:sz w:val="14"/>
                <w:szCs w:val="14"/>
                <w:color w:val="auto"/>
                <w:w w:val="84"/>
              </w:rPr>
              <w:t>-</w:t>
            </w:r>
          </w:p>
        </w:tc>
        <w:tc>
          <w:tcPr>
            <w:tcW w:w="1340" w:type="dxa"/>
            <w:vAlign w:val="bottom"/>
          </w:tcPr>
          <w:p>
            <w:pPr>
              <w:jc w:val="right"/>
              <w:spacing w:after="0"/>
              <w:rPr>
                <w:sz w:val="20"/>
                <w:szCs w:val="20"/>
                <w:color w:val="auto"/>
              </w:rPr>
            </w:pPr>
            <w:r>
              <w:rPr>
                <w:rFonts w:ascii="Arial" w:cs="Arial" w:eastAsia="Arial" w:hAnsi="Arial"/>
                <w:sz w:val="14"/>
                <w:szCs w:val="14"/>
                <w:color w:val="auto"/>
              </w:rPr>
              <w:t>924,756</w:t>
            </w:r>
          </w:p>
        </w:tc>
        <w:tc>
          <w:tcPr>
            <w:tcW w:w="0" w:type="dxa"/>
            <w:vAlign w:val="bottom"/>
          </w:tcPr>
          <w:p>
            <w:pPr>
              <w:spacing w:after="0"/>
              <w:rPr>
                <w:sz w:val="1"/>
                <w:szCs w:val="1"/>
                <w:color w:val="auto"/>
              </w:rPr>
            </w:pPr>
          </w:p>
        </w:tc>
      </w:tr>
      <w:tr>
        <w:trPr>
          <w:trHeight w:val="35"/>
        </w:trPr>
        <w:tc>
          <w:tcPr>
            <w:tcW w:w="920" w:type="dxa"/>
            <w:vAlign w:val="bottom"/>
          </w:tcPr>
          <w:p>
            <w:pPr>
              <w:spacing w:after="0"/>
              <w:rPr>
                <w:sz w:val="3"/>
                <w:szCs w:val="3"/>
                <w:color w:val="auto"/>
              </w:rPr>
            </w:pPr>
          </w:p>
        </w:tc>
        <w:tc>
          <w:tcPr>
            <w:tcW w:w="860" w:type="dxa"/>
            <w:vAlign w:val="bottom"/>
            <w:tcBorders>
              <w:bottom w:val="single" w:sz="8" w:color="DBDBDB"/>
            </w:tcBorders>
          </w:tcPr>
          <w:p>
            <w:pPr>
              <w:spacing w:after="0"/>
              <w:rPr>
                <w:sz w:val="3"/>
                <w:szCs w:val="3"/>
                <w:color w:val="auto"/>
              </w:rPr>
            </w:pPr>
          </w:p>
        </w:tc>
        <w:tc>
          <w:tcPr>
            <w:tcW w:w="940" w:type="dxa"/>
            <w:vAlign w:val="bottom"/>
            <w:tcBorders>
              <w:bottom w:val="single" w:sz="8" w:color="DBDBDB"/>
            </w:tcBorders>
          </w:tcPr>
          <w:p>
            <w:pPr>
              <w:spacing w:after="0"/>
              <w:rPr>
                <w:sz w:val="3"/>
                <w:szCs w:val="3"/>
                <w:color w:val="auto"/>
              </w:rPr>
            </w:pPr>
          </w:p>
        </w:tc>
        <w:tc>
          <w:tcPr>
            <w:tcW w:w="960" w:type="dxa"/>
            <w:vAlign w:val="bottom"/>
            <w:tcBorders>
              <w:bottom w:val="single" w:sz="8" w:color="DBDBDB"/>
            </w:tcBorders>
          </w:tcPr>
          <w:p>
            <w:pPr>
              <w:spacing w:after="0"/>
              <w:rPr>
                <w:sz w:val="3"/>
                <w:szCs w:val="3"/>
                <w:color w:val="auto"/>
              </w:rPr>
            </w:pPr>
          </w:p>
        </w:tc>
        <w:tc>
          <w:tcPr>
            <w:tcW w:w="960" w:type="dxa"/>
            <w:vAlign w:val="bottom"/>
            <w:tcBorders>
              <w:bottom w:val="single" w:sz="8" w:color="DBDBDB"/>
            </w:tcBorders>
          </w:tcPr>
          <w:p>
            <w:pPr>
              <w:spacing w:after="0"/>
              <w:rPr>
                <w:sz w:val="3"/>
                <w:szCs w:val="3"/>
                <w:color w:val="auto"/>
              </w:rPr>
            </w:pPr>
          </w:p>
        </w:tc>
        <w:tc>
          <w:tcPr>
            <w:tcW w:w="1040" w:type="dxa"/>
            <w:vAlign w:val="bottom"/>
            <w:tcBorders>
              <w:bottom w:val="single" w:sz="8" w:color="DBDBDB"/>
            </w:tcBorders>
          </w:tcPr>
          <w:p>
            <w:pPr>
              <w:spacing w:after="0"/>
              <w:rPr>
                <w:sz w:val="3"/>
                <w:szCs w:val="3"/>
                <w:color w:val="auto"/>
              </w:rPr>
            </w:pPr>
          </w:p>
        </w:tc>
        <w:tc>
          <w:tcPr>
            <w:tcW w:w="900" w:type="dxa"/>
            <w:vAlign w:val="bottom"/>
            <w:tcBorders>
              <w:bottom w:val="single" w:sz="8" w:color="DBDBDB"/>
            </w:tcBorders>
          </w:tcPr>
          <w:p>
            <w:pPr>
              <w:spacing w:after="0"/>
              <w:rPr>
                <w:sz w:val="3"/>
                <w:szCs w:val="3"/>
                <w:color w:val="auto"/>
              </w:rPr>
            </w:pPr>
          </w:p>
        </w:tc>
        <w:tc>
          <w:tcPr>
            <w:tcW w:w="940" w:type="dxa"/>
            <w:vAlign w:val="bottom"/>
            <w:tcBorders>
              <w:bottom w:val="single" w:sz="8" w:color="DBDBDB"/>
            </w:tcBorders>
          </w:tcPr>
          <w:p>
            <w:pPr>
              <w:spacing w:after="0"/>
              <w:rPr>
                <w:sz w:val="3"/>
                <w:szCs w:val="3"/>
                <w:color w:val="auto"/>
              </w:rPr>
            </w:pPr>
          </w:p>
        </w:tc>
        <w:tc>
          <w:tcPr>
            <w:tcW w:w="1480" w:type="dxa"/>
            <w:vAlign w:val="bottom"/>
            <w:tcBorders>
              <w:bottom w:val="single" w:sz="8" w:color="DBDBDB"/>
            </w:tcBorders>
          </w:tcPr>
          <w:p>
            <w:pPr>
              <w:spacing w:after="0"/>
              <w:rPr>
                <w:sz w:val="3"/>
                <w:szCs w:val="3"/>
                <w:color w:val="auto"/>
              </w:rPr>
            </w:pPr>
          </w:p>
        </w:tc>
        <w:tc>
          <w:tcPr>
            <w:tcW w:w="1340" w:type="dxa"/>
            <w:vAlign w:val="bottom"/>
            <w:tcBorders>
              <w:bottom w:val="single" w:sz="8" w:color="DBDBDB"/>
            </w:tcBorders>
          </w:tcPr>
          <w:p>
            <w:pPr>
              <w:spacing w:after="0"/>
              <w:rPr>
                <w:sz w:val="3"/>
                <w:szCs w:val="3"/>
                <w:color w:val="auto"/>
              </w:rPr>
            </w:pPr>
          </w:p>
        </w:tc>
        <w:tc>
          <w:tcPr>
            <w:tcW w:w="0" w:type="dxa"/>
            <w:vAlign w:val="bottom"/>
          </w:tcPr>
          <w:p>
            <w:pPr>
              <w:spacing w:after="0"/>
              <w:rPr>
                <w:sz w:val="1"/>
                <w:szCs w:val="1"/>
                <w:color w:val="auto"/>
              </w:rPr>
            </w:pPr>
          </w:p>
        </w:tc>
      </w:tr>
      <w:tr>
        <w:trPr>
          <w:trHeight w:val="215"/>
        </w:trPr>
        <w:tc>
          <w:tcPr>
            <w:tcW w:w="920" w:type="dxa"/>
            <w:vAlign w:val="bottom"/>
          </w:tcPr>
          <w:p>
            <w:pPr>
              <w:spacing w:after="0"/>
              <w:rPr>
                <w:sz w:val="18"/>
                <w:szCs w:val="18"/>
                <w:color w:val="auto"/>
              </w:rPr>
            </w:pPr>
          </w:p>
        </w:tc>
        <w:tc>
          <w:tcPr>
            <w:tcW w:w="860" w:type="dxa"/>
            <w:vAlign w:val="bottom"/>
          </w:tcPr>
          <w:p>
            <w:pPr>
              <w:jc w:val="right"/>
              <w:ind w:right="87"/>
              <w:spacing w:after="0"/>
              <w:rPr>
                <w:sz w:val="20"/>
                <w:szCs w:val="20"/>
                <w:color w:val="auto"/>
              </w:rPr>
            </w:pPr>
            <w:r>
              <w:rPr>
                <w:rFonts w:ascii="Arial" w:cs="Arial" w:eastAsia="Arial" w:hAnsi="Arial"/>
                <w:sz w:val="14"/>
                <w:szCs w:val="14"/>
                <w:color w:val="auto"/>
              </w:rPr>
              <w:t>8/4/2023</w:t>
            </w:r>
          </w:p>
        </w:tc>
        <w:tc>
          <w:tcPr>
            <w:tcW w:w="940" w:type="dxa"/>
            <w:vAlign w:val="bottom"/>
          </w:tcPr>
          <w:p>
            <w:pPr>
              <w:jc w:val="center"/>
              <w:spacing w:after="0"/>
              <w:rPr>
                <w:sz w:val="20"/>
                <w:szCs w:val="20"/>
                <w:color w:val="auto"/>
              </w:rPr>
            </w:pPr>
            <w:r>
              <w:rPr>
                <w:rFonts w:ascii="Arial" w:cs="Arial" w:eastAsia="Arial" w:hAnsi="Arial"/>
                <w:sz w:val="14"/>
                <w:szCs w:val="14"/>
                <w:color w:val="auto"/>
                <w:w w:val="84"/>
              </w:rPr>
              <w:t>-</w:t>
            </w:r>
          </w:p>
        </w:tc>
        <w:tc>
          <w:tcPr>
            <w:tcW w:w="960" w:type="dxa"/>
            <w:vAlign w:val="bottom"/>
          </w:tcPr>
          <w:p>
            <w:pPr>
              <w:jc w:val="center"/>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388"/>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468"/>
              <w:spacing w:after="0"/>
              <w:rPr>
                <w:sz w:val="20"/>
                <w:szCs w:val="20"/>
                <w:color w:val="auto"/>
              </w:rPr>
            </w:pPr>
            <w:r>
              <w:rPr>
                <w:rFonts w:ascii="Arial" w:cs="Arial" w:eastAsia="Arial" w:hAnsi="Arial"/>
                <w:sz w:val="14"/>
                <w:szCs w:val="14"/>
                <w:color w:val="auto"/>
              </w:rPr>
              <w:t>-</w:t>
            </w:r>
          </w:p>
        </w:tc>
        <w:tc>
          <w:tcPr>
            <w:tcW w:w="900" w:type="dxa"/>
            <w:vAlign w:val="bottom"/>
          </w:tcPr>
          <w:p>
            <w:pPr>
              <w:jc w:val="center"/>
              <w:ind w:right="48"/>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388"/>
              <w:spacing w:after="0"/>
              <w:rPr>
                <w:sz w:val="20"/>
                <w:szCs w:val="20"/>
                <w:color w:val="auto"/>
              </w:rPr>
            </w:pPr>
            <w:r>
              <w:rPr>
                <w:rFonts w:ascii="Arial" w:cs="Arial" w:eastAsia="Arial" w:hAnsi="Arial"/>
                <w:sz w:val="14"/>
                <w:szCs w:val="14"/>
                <w:color w:val="auto"/>
              </w:rPr>
              <w:t>-</w:t>
            </w:r>
          </w:p>
        </w:tc>
        <w:tc>
          <w:tcPr>
            <w:tcW w:w="1480" w:type="dxa"/>
            <w:vAlign w:val="bottom"/>
          </w:tcPr>
          <w:p>
            <w:pPr>
              <w:jc w:val="right"/>
              <w:ind w:right="27"/>
              <w:spacing w:after="0"/>
              <w:rPr>
                <w:sz w:val="20"/>
                <w:szCs w:val="20"/>
                <w:color w:val="auto"/>
              </w:rPr>
            </w:pPr>
            <w:r>
              <w:rPr>
                <w:rFonts w:ascii="Arial" w:cs="Arial" w:eastAsia="Arial" w:hAnsi="Arial"/>
                <w:sz w:val="14"/>
                <w:szCs w:val="14"/>
                <w:color w:val="auto"/>
              </w:rPr>
              <w:t>18,695</w:t>
            </w:r>
          </w:p>
        </w:tc>
        <w:tc>
          <w:tcPr>
            <w:tcW w:w="1340" w:type="dxa"/>
            <w:vAlign w:val="bottom"/>
          </w:tcPr>
          <w:p>
            <w:pPr>
              <w:jc w:val="right"/>
              <w:spacing w:after="0"/>
              <w:rPr>
                <w:sz w:val="20"/>
                <w:szCs w:val="20"/>
                <w:color w:val="auto"/>
              </w:rPr>
            </w:pPr>
            <w:r>
              <w:rPr>
                <w:rFonts w:ascii="Arial" w:cs="Arial" w:eastAsia="Arial" w:hAnsi="Arial"/>
                <w:sz w:val="14"/>
                <w:szCs w:val="14"/>
                <w:color w:val="auto"/>
              </w:rPr>
              <w:t>3,121,631</w:t>
            </w:r>
          </w:p>
        </w:tc>
        <w:tc>
          <w:tcPr>
            <w:tcW w:w="0" w:type="dxa"/>
            <w:vAlign w:val="bottom"/>
          </w:tcPr>
          <w:p>
            <w:pPr>
              <w:spacing w:after="0"/>
              <w:rPr>
                <w:sz w:val="1"/>
                <w:szCs w:val="1"/>
                <w:color w:val="auto"/>
              </w:rPr>
            </w:pPr>
          </w:p>
        </w:tc>
      </w:tr>
      <w:tr>
        <w:trPr>
          <w:trHeight w:val="35"/>
        </w:trPr>
        <w:tc>
          <w:tcPr>
            <w:tcW w:w="920" w:type="dxa"/>
            <w:vAlign w:val="bottom"/>
            <w:tcBorders>
              <w:bottom w:val="single" w:sz="8" w:color="DBDBDB"/>
            </w:tcBorders>
          </w:tcPr>
          <w:p>
            <w:pPr>
              <w:spacing w:after="0"/>
              <w:rPr>
                <w:sz w:val="3"/>
                <w:szCs w:val="3"/>
                <w:color w:val="auto"/>
              </w:rPr>
            </w:pPr>
          </w:p>
        </w:tc>
        <w:tc>
          <w:tcPr>
            <w:tcW w:w="860" w:type="dxa"/>
            <w:vAlign w:val="bottom"/>
            <w:tcBorders>
              <w:bottom w:val="single" w:sz="8" w:color="DBDBDB"/>
            </w:tcBorders>
          </w:tcPr>
          <w:p>
            <w:pPr>
              <w:spacing w:after="0"/>
              <w:rPr>
                <w:sz w:val="3"/>
                <w:szCs w:val="3"/>
                <w:color w:val="auto"/>
              </w:rPr>
            </w:pPr>
          </w:p>
        </w:tc>
        <w:tc>
          <w:tcPr>
            <w:tcW w:w="940" w:type="dxa"/>
            <w:vAlign w:val="bottom"/>
            <w:tcBorders>
              <w:bottom w:val="single" w:sz="8" w:color="DBDBDB"/>
            </w:tcBorders>
          </w:tcPr>
          <w:p>
            <w:pPr>
              <w:spacing w:after="0"/>
              <w:rPr>
                <w:sz w:val="3"/>
                <w:szCs w:val="3"/>
                <w:color w:val="auto"/>
              </w:rPr>
            </w:pPr>
          </w:p>
        </w:tc>
        <w:tc>
          <w:tcPr>
            <w:tcW w:w="960" w:type="dxa"/>
            <w:vAlign w:val="bottom"/>
            <w:tcBorders>
              <w:bottom w:val="single" w:sz="8" w:color="DBDBDB"/>
            </w:tcBorders>
          </w:tcPr>
          <w:p>
            <w:pPr>
              <w:spacing w:after="0"/>
              <w:rPr>
                <w:sz w:val="3"/>
                <w:szCs w:val="3"/>
                <w:color w:val="auto"/>
              </w:rPr>
            </w:pPr>
          </w:p>
        </w:tc>
        <w:tc>
          <w:tcPr>
            <w:tcW w:w="960" w:type="dxa"/>
            <w:vAlign w:val="bottom"/>
            <w:tcBorders>
              <w:bottom w:val="single" w:sz="8" w:color="DBDBDB"/>
            </w:tcBorders>
          </w:tcPr>
          <w:p>
            <w:pPr>
              <w:spacing w:after="0"/>
              <w:rPr>
                <w:sz w:val="3"/>
                <w:szCs w:val="3"/>
                <w:color w:val="auto"/>
              </w:rPr>
            </w:pPr>
          </w:p>
        </w:tc>
        <w:tc>
          <w:tcPr>
            <w:tcW w:w="1040" w:type="dxa"/>
            <w:vAlign w:val="bottom"/>
            <w:tcBorders>
              <w:bottom w:val="single" w:sz="8" w:color="DBDBDB"/>
            </w:tcBorders>
          </w:tcPr>
          <w:p>
            <w:pPr>
              <w:spacing w:after="0"/>
              <w:rPr>
                <w:sz w:val="3"/>
                <w:szCs w:val="3"/>
                <w:color w:val="auto"/>
              </w:rPr>
            </w:pPr>
          </w:p>
        </w:tc>
        <w:tc>
          <w:tcPr>
            <w:tcW w:w="900" w:type="dxa"/>
            <w:vAlign w:val="bottom"/>
            <w:tcBorders>
              <w:bottom w:val="single" w:sz="8" w:color="DBDBDB"/>
            </w:tcBorders>
          </w:tcPr>
          <w:p>
            <w:pPr>
              <w:spacing w:after="0"/>
              <w:rPr>
                <w:sz w:val="3"/>
                <w:szCs w:val="3"/>
                <w:color w:val="auto"/>
              </w:rPr>
            </w:pPr>
          </w:p>
        </w:tc>
        <w:tc>
          <w:tcPr>
            <w:tcW w:w="940" w:type="dxa"/>
            <w:vAlign w:val="bottom"/>
            <w:tcBorders>
              <w:bottom w:val="single" w:sz="8" w:color="DBDBDB"/>
            </w:tcBorders>
          </w:tcPr>
          <w:p>
            <w:pPr>
              <w:spacing w:after="0"/>
              <w:rPr>
                <w:sz w:val="3"/>
                <w:szCs w:val="3"/>
                <w:color w:val="auto"/>
              </w:rPr>
            </w:pPr>
          </w:p>
        </w:tc>
        <w:tc>
          <w:tcPr>
            <w:tcW w:w="1480" w:type="dxa"/>
            <w:vAlign w:val="bottom"/>
            <w:tcBorders>
              <w:bottom w:val="single" w:sz="8" w:color="DBDBDB"/>
            </w:tcBorders>
          </w:tcPr>
          <w:p>
            <w:pPr>
              <w:spacing w:after="0"/>
              <w:rPr>
                <w:sz w:val="3"/>
                <w:szCs w:val="3"/>
                <w:color w:val="auto"/>
              </w:rPr>
            </w:pPr>
          </w:p>
        </w:tc>
        <w:tc>
          <w:tcPr>
            <w:tcW w:w="1340" w:type="dxa"/>
            <w:vAlign w:val="bottom"/>
            <w:tcBorders>
              <w:bottom w:val="single" w:sz="8" w:color="DBDBDB"/>
            </w:tcBorders>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920" w:type="dxa"/>
            <w:vAlign w:val="bottom"/>
            <w:shd w:val="clear" w:color="auto" w:fill="E7ECF0"/>
          </w:tcPr>
          <w:p>
            <w:pPr>
              <w:spacing w:after="0" w:line="169" w:lineRule="exact"/>
              <w:rPr>
                <w:sz w:val="20"/>
                <w:szCs w:val="20"/>
                <w:color w:val="auto"/>
              </w:rPr>
            </w:pPr>
            <w:r>
              <w:rPr>
                <w:rFonts w:ascii="Arial" w:cs="Arial" w:eastAsia="Arial" w:hAnsi="Arial"/>
                <w:sz w:val="16"/>
                <w:szCs w:val="16"/>
                <w:color w:val="auto"/>
              </w:rPr>
              <w:t>Gregory R.</w:t>
            </w:r>
          </w:p>
        </w:tc>
        <w:tc>
          <w:tcPr>
            <w:tcW w:w="860" w:type="dxa"/>
            <w:vAlign w:val="bottom"/>
            <w:shd w:val="clear" w:color="auto" w:fill="E7ECF0"/>
          </w:tcPr>
          <w:p>
            <w:pPr>
              <w:jc w:val="right"/>
              <w:ind w:right="87"/>
              <w:spacing w:after="0"/>
              <w:rPr>
                <w:sz w:val="20"/>
                <w:szCs w:val="20"/>
                <w:color w:val="auto"/>
              </w:rPr>
            </w:pPr>
            <w:r>
              <w:rPr>
                <w:rFonts w:ascii="Arial" w:cs="Arial" w:eastAsia="Arial" w:hAnsi="Arial"/>
                <w:sz w:val="14"/>
                <w:szCs w:val="14"/>
                <w:color w:val="auto"/>
              </w:rPr>
              <w:t>8/4/2023</w:t>
            </w:r>
          </w:p>
        </w:tc>
        <w:tc>
          <w:tcPr>
            <w:tcW w:w="940" w:type="dxa"/>
            <w:vAlign w:val="bottom"/>
            <w:shd w:val="clear" w:color="auto" w:fill="E7ECF0"/>
          </w:tcPr>
          <w:p>
            <w:pPr>
              <w:jc w:val="right"/>
              <w:spacing w:after="0"/>
              <w:rPr>
                <w:sz w:val="20"/>
                <w:szCs w:val="20"/>
                <w:color w:val="auto"/>
              </w:rPr>
            </w:pPr>
            <w:r>
              <w:rPr>
                <w:rFonts w:ascii="Arial" w:cs="Arial" w:eastAsia="Arial" w:hAnsi="Arial"/>
                <w:sz w:val="14"/>
                <w:szCs w:val="14"/>
                <w:color w:val="auto"/>
              </w:rPr>
              <w:t>0</w:t>
            </w:r>
          </w:p>
        </w:tc>
        <w:tc>
          <w:tcPr>
            <w:tcW w:w="960" w:type="dxa"/>
            <w:vAlign w:val="bottom"/>
            <w:shd w:val="clear" w:color="auto" w:fill="E7ECF0"/>
          </w:tcPr>
          <w:p>
            <w:pPr>
              <w:jc w:val="right"/>
              <w:spacing w:after="0"/>
              <w:rPr>
                <w:sz w:val="20"/>
                <w:szCs w:val="20"/>
                <w:color w:val="auto"/>
              </w:rPr>
            </w:pPr>
            <w:r>
              <w:rPr>
                <w:rFonts w:ascii="Arial" w:cs="Arial" w:eastAsia="Arial" w:hAnsi="Arial"/>
                <w:sz w:val="14"/>
                <w:szCs w:val="14"/>
                <w:color w:val="auto"/>
              </w:rPr>
              <w:t>586,500</w:t>
            </w:r>
          </w:p>
        </w:tc>
        <w:tc>
          <w:tcPr>
            <w:tcW w:w="960" w:type="dxa"/>
            <w:vAlign w:val="bottom"/>
            <w:shd w:val="clear" w:color="auto" w:fill="E7ECF0"/>
          </w:tcPr>
          <w:p>
            <w:pPr>
              <w:jc w:val="right"/>
              <w:spacing w:after="0"/>
              <w:rPr>
                <w:sz w:val="20"/>
                <w:szCs w:val="20"/>
                <w:color w:val="auto"/>
              </w:rPr>
            </w:pPr>
            <w:r>
              <w:rPr>
                <w:rFonts w:ascii="Arial" w:cs="Arial" w:eastAsia="Arial" w:hAnsi="Arial"/>
                <w:sz w:val="14"/>
                <w:szCs w:val="14"/>
                <w:color w:val="auto"/>
              </w:rPr>
              <w:t>1,173,000</w:t>
            </w:r>
          </w:p>
        </w:tc>
        <w:tc>
          <w:tcPr>
            <w:tcW w:w="1040" w:type="dxa"/>
            <w:vAlign w:val="bottom"/>
            <w:shd w:val="clear" w:color="auto" w:fill="E7ECF0"/>
          </w:tcPr>
          <w:p>
            <w:pPr>
              <w:jc w:val="right"/>
              <w:ind w:right="468"/>
              <w:spacing w:after="0"/>
              <w:rPr>
                <w:sz w:val="20"/>
                <w:szCs w:val="20"/>
                <w:color w:val="auto"/>
              </w:rPr>
            </w:pPr>
            <w:r>
              <w:rPr>
                <w:rFonts w:ascii="Arial" w:cs="Arial" w:eastAsia="Arial" w:hAnsi="Arial"/>
                <w:sz w:val="14"/>
                <w:szCs w:val="14"/>
                <w:color w:val="auto"/>
              </w:rPr>
              <w:t>-</w:t>
            </w:r>
          </w:p>
        </w:tc>
        <w:tc>
          <w:tcPr>
            <w:tcW w:w="900" w:type="dxa"/>
            <w:vAlign w:val="bottom"/>
            <w:shd w:val="clear" w:color="auto" w:fill="E7ECF0"/>
          </w:tcPr>
          <w:p>
            <w:pPr>
              <w:jc w:val="center"/>
              <w:ind w:right="48"/>
              <w:spacing w:after="0"/>
              <w:rPr>
                <w:sz w:val="20"/>
                <w:szCs w:val="20"/>
                <w:color w:val="auto"/>
              </w:rPr>
            </w:pPr>
            <w:r>
              <w:rPr>
                <w:rFonts w:ascii="Arial" w:cs="Arial" w:eastAsia="Arial" w:hAnsi="Arial"/>
                <w:sz w:val="14"/>
                <w:szCs w:val="14"/>
                <w:color w:val="auto"/>
              </w:rPr>
              <w:t>-</w:t>
            </w:r>
          </w:p>
        </w:tc>
        <w:tc>
          <w:tcPr>
            <w:tcW w:w="940" w:type="dxa"/>
            <w:vAlign w:val="bottom"/>
            <w:shd w:val="clear" w:color="auto" w:fill="E7ECF0"/>
          </w:tcPr>
          <w:p>
            <w:pPr>
              <w:jc w:val="right"/>
              <w:ind w:right="388"/>
              <w:spacing w:after="0"/>
              <w:rPr>
                <w:sz w:val="20"/>
                <w:szCs w:val="20"/>
                <w:color w:val="auto"/>
              </w:rPr>
            </w:pPr>
            <w:r>
              <w:rPr>
                <w:rFonts w:ascii="Arial" w:cs="Arial" w:eastAsia="Arial" w:hAnsi="Arial"/>
                <w:sz w:val="14"/>
                <w:szCs w:val="14"/>
                <w:color w:val="auto"/>
              </w:rPr>
              <w:t>-</w:t>
            </w:r>
          </w:p>
        </w:tc>
        <w:tc>
          <w:tcPr>
            <w:tcW w:w="1480" w:type="dxa"/>
            <w:vAlign w:val="bottom"/>
            <w:shd w:val="clear" w:color="auto" w:fill="E7ECF0"/>
          </w:tcPr>
          <w:p>
            <w:pPr>
              <w:jc w:val="center"/>
              <w:ind w:right="7"/>
              <w:spacing w:after="0"/>
              <w:rPr>
                <w:sz w:val="20"/>
                <w:szCs w:val="20"/>
                <w:color w:val="auto"/>
              </w:rPr>
            </w:pPr>
            <w:r>
              <w:rPr>
                <w:rFonts w:ascii="Arial" w:cs="Arial" w:eastAsia="Arial" w:hAnsi="Arial"/>
                <w:sz w:val="14"/>
                <w:szCs w:val="14"/>
                <w:color w:val="auto"/>
                <w:w w:val="84"/>
              </w:rPr>
              <w:t>-</w:t>
            </w:r>
          </w:p>
        </w:tc>
        <w:tc>
          <w:tcPr>
            <w:tcW w:w="1340" w:type="dxa"/>
            <w:vAlign w:val="bottom"/>
            <w:shd w:val="clear" w:color="auto" w:fill="E7ECF0"/>
          </w:tcPr>
          <w:p>
            <w:pPr>
              <w:jc w:val="center"/>
              <w:ind w:right="7"/>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81"/>
        </w:trPr>
        <w:tc>
          <w:tcPr>
            <w:tcW w:w="920" w:type="dxa"/>
            <w:vAlign w:val="bottom"/>
            <w:tcBorders>
              <w:bottom w:val="single" w:sz="8" w:color="E7ECF0"/>
            </w:tcBorders>
            <w:vMerge w:val="restart"/>
            <w:shd w:val="clear" w:color="auto" w:fill="E7ECF0"/>
          </w:tcPr>
          <w:p>
            <w:pPr>
              <w:spacing w:after="0"/>
              <w:rPr>
                <w:sz w:val="20"/>
                <w:szCs w:val="20"/>
                <w:color w:val="auto"/>
              </w:rPr>
            </w:pPr>
            <w:r>
              <w:rPr>
                <w:rFonts w:ascii="Arial" w:cs="Arial" w:eastAsia="Arial" w:hAnsi="Arial"/>
                <w:sz w:val="16"/>
                <w:szCs w:val="16"/>
                <w:color w:val="auto"/>
              </w:rPr>
              <w:t>Adelson</w:t>
            </w:r>
          </w:p>
        </w:tc>
        <w:tc>
          <w:tcPr>
            <w:tcW w:w="860" w:type="dxa"/>
            <w:vAlign w:val="bottom"/>
            <w:tcBorders>
              <w:bottom w:val="single" w:sz="8" w:color="DBDBDB"/>
            </w:tcBorders>
            <w:shd w:val="clear" w:color="auto" w:fill="E7ECF0"/>
          </w:tcPr>
          <w:p>
            <w:pPr>
              <w:spacing w:after="0"/>
              <w:rPr>
                <w:sz w:val="7"/>
                <w:szCs w:val="7"/>
                <w:color w:val="auto"/>
              </w:rPr>
            </w:pPr>
          </w:p>
        </w:tc>
        <w:tc>
          <w:tcPr>
            <w:tcW w:w="940" w:type="dxa"/>
            <w:vAlign w:val="bottom"/>
            <w:tcBorders>
              <w:bottom w:val="single" w:sz="8" w:color="DBDBDB"/>
            </w:tcBorders>
            <w:shd w:val="clear" w:color="auto" w:fill="E7ECF0"/>
          </w:tcPr>
          <w:p>
            <w:pPr>
              <w:spacing w:after="0"/>
              <w:rPr>
                <w:sz w:val="7"/>
                <w:szCs w:val="7"/>
                <w:color w:val="auto"/>
              </w:rPr>
            </w:pPr>
          </w:p>
        </w:tc>
        <w:tc>
          <w:tcPr>
            <w:tcW w:w="960" w:type="dxa"/>
            <w:vAlign w:val="bottom"/>
            <w:tcBorders>
              <w:bottom w:val="single" w:sz="8" w:color="DBDBDB"/>
            </w:tcBorders>
            <w:shd w:val="clear" w:color="auto" w:fill="E7ECF0"/>
          </w:tcPr>
          <w:p>
            <w:pPr>
              <w:spacing w:after="0"/>
              <w:rPr>
                <w:sz w:val="7"/>
                <w:szCs w:val="7"/>
                <w:color w:val="auto"/>
              </w:rPr>
            </w:pPr>
          </w:p>
        </w:tc>
        <w:tc>
          <w:tcPr>
            <w:tcW w:w="960" w:type="dxa"/>
            <w:vAlign w:val="bottom"/>
            <w:tcBorders>
              <w:bottom w:val="single" w:sz="8" w:color="DBDBDB"/>
            </w:tcBorders>
            <w:shd w:val="clear" w:color="auto" w:fill="E7ECF0"/>
          </w:tcPr>
          <w:p>
            <w:pPr>
              <w:spacing w:after="0"/>
              <w:rPr>
                <w:sz w:val="7"/>
                <w:szCs w:val="7"/>
                <w:color w:val="auto"/>
              </w:rPr>
            </w:pPr>
          </w:p>
        </w:tc>
        <w:tc>
          <w:tcPr>
            <w:tcW w:w="1040" w:type="dxa"/>
            <w:vAlign w:val="bottom"/>
            <w:tcBorders>
              <w:bottom w:val="single" w:sz="8" w:color="DBDBDB"/>
            </w:tcBorders>
            <w:shd w:val="clear" w:color="auto" w:fill="E7ECF0"/>
          </w:tcPr>
          <w:p>
            <w:pPr>
              <w:spacing w:after="0"/>
              <w:rPr>
                <w:sz w:val="7"/>
                <w:szCs w:val="7"/>
                <w:color w:val="auto"/>
              </w:rPr>
            </w:pPr>
          </w:p>
        </w:tc>
        <w:tc>
          <w:tcPr>
            <w:tcW w:w="900" w:type="dxa"/>
            <w:vAlign w:val="bottom"/>
            <w:tcBorders>
              <w:bottom w:val="single" w:sz="8" w:color="DBDBDB"/>
            </w:tcBorders>
            <w:shd w:val="clear" w:color="auto" w:fill="E7ECF0"/>
          </w:tcPr>
          <w:p>
            <w:pPr>
              <w:spacing w:after="0"/>
              <w:rPr>
                <w:sz w:val="7"/>
                <w:szCs w:val="7"/>
                <w:color w:val="auto"/>
              </w:rPr>
            </w:pPr>
          </w:p>
        </w:tc>
        <w:tc>
          <w:tcPr>
            <w:tcW w:w="940" w:type="dxa"/>
            <w:vAlign w:val="bottom"/>
            <w:tcBorders>
              <w:bottom w:val="single" w:sz="8" w:color="DBDBDB"/>
            </w:tcBorders>
            <w:shd w:val="clear" w:color="auto" w:fill="E7ECF0"/>
          </w:tcPr>
          <w:p>
            <w:pPr>
              <w:spacing w:after="0"/>
              <w:rPr>
                <w:sz w:val="7"/>
                <w:szCs w:val="7"/>
                <w:color w:val="auto"/>
              </w:rPr>
            </w:pPr>
          </w:p>
        </w:tc>
        <w:tc>
          <w:tcPr>
            <w:tcW w:w="1480" w:type="dxa"/>
            <w:vAlign w:val="bottom"/>
            <w:tcBorders>
              <w:bottom w:val="single" w:sz="8" w:color="DBDBDB"/>
            </w:tcBorders>
            <w:shd w:val="clear" w:color="auto" w:fill="E7ECF0"/>
          </w:tcPr>
          <w:p>
            <w:pPr>
              <w:spacing w:after="0"/>
              <w:rPr>
                <w:sz w:val="7"/>
                <w:szCs w:val="7"/>
                <w:color w:val="auto"/>
              </w:rPr>
            </w:pPr>
          </w:p>
        </w:tc>
        <w:tc>
          <w:tcPr>
            <w:tcW w:w="1340" w:type="dxa"/>
            <w:vAlign w:val="bottom"/>
            <w:tcBorders>
              <w:bottom w:val="single" w:sz="8" w:color="DBDBDB"/>
            </w:tcBorders>
            <w:shd w:val="clear" w:color="auto" w:fill="E7ECF0"/>
          </w:tcPr>
          <w:p>
            <w:pPr>
              <w:spacing w:after="0"/>
              <w:rPr>
                <w:sz w:val="7"/>
                <w:szCs w:val="7"/>
                <w:color w:val="auto"/>
              </w:rPr>
            </w:pPr>
          </w:p>
        </w:tc>
        <w:tc>
          <w:tcPr>
            <w:tcW w:w="0" w:type="dxa"/>
            <w:vAlign w:val="bottom"/>
          </w:tcPr>
          <w:p>
            <w:pPr>
              <w:spacing w:after="0"/>
              <w:rPr>
                <w:sz w:val="1"/>
                <w:szCs w:val="1"/>
                <w:color w:val="auto"/>
              </w:rPr>
            </w:pPr>
          </w:p>
        </w:tc>
      </w:tr>
      <w:tr>
        <w:trPr>
          <w:trHeight w:val="114"/>
        </w:trPr>
        <w:tc>
          <w:tcPr>
            <w:tcW w:w="920" w:type="dxa"/>
            <w:vAlign w:val="bottom"/>
            <w:vMerge w:val="continue"/>
            <w:shd w:val="clear" w:color="auto" w:fill="E7ECF0"/>
          </w:tcPr>
          <w:p>
            <w:pPr>
              <w:spacing w:after="0"/>
              <w:rPr>
                <w:sz w:val="9"/>
                <w:szCs w:val="9"/>
                <w:color w:val="auto"/>
              </w:rPr>
            </w:pPr>
          </w:p>
        </w:tc>
        <w:tc>
          <w:tcPr>
            <w:tcW w:w="860" w:type="dxa"/>
            <w:vAlign w:val="bottom"/>
            <w:vMerge w:val="restart"/>
            <w:shd w:val="clear" w:color="auto" w:fill="E7ECF0"/>
          </w:tcPr>
          <w:p>
            <w:pPr>
              <w:jc w:val="right"/>
              <w:ind w:right="87"/>
              <w:spacing w:after="0"/>
              <w:rPr>
                <w:sz w:val="20"/>
                <w:szCs w:val="20"/>
                <w:color w:val="auto"/>
              </w:rPr>
            </w:pPr>
            <w:r>
              <w:rPr>
                <w:rFonts w:ascii="Arial" w:cs="Arial" w:eastAsia="Arial" w:hAnsi="Arial"/>
                <w:sz w:val="14"/>
                <w:szCs w:val="14"/>
                <w:color w:val="auto"/>
              </w:rPr>
              <w:t>8/4/2023</w:t>
            </w:r>
          </w:p>
        </w:tc>
        <w:tc>
          <w:tcPr>
            <w:tcW w:w="940" w:type="dxa"/>
            <w:vAlign w:val="bottom"/>
            <w:vMerge w:val="restart"/>
            <w:shd w:val="clear" w:color="auto" w:fill="E7ECF0"/>
          </w:tcPr>
          <w:p>
            <w:pPr>
              <w:jc w:val="center"/>
              <w:spacing w:after="0"/>
              <w:rPr>
                <w:sz w:val="20"/>
                <w:szCs w:val="20"/>
                <w:color w:val="auto"/>
              </w:rPr>
            </w:pPr>
            <w:r>
              <w:rPr>
                <w:rFonts w:ascii="Arial" w:cs="Arial" w:eastAsia="Arial" w:hAnsi="Arial"/>
                <w:sz w:val="14"/>
                <w:szCs w:val="14"/>
                <w:color w:val="auto"/>
                <w:w w:val="84"/>
              </w:rPr>
              <w:t>-</w:t>
            </w:r>
          </w:p>
        </w:tc>
        <w:tc>
          <w:tcPr>
            <w:tcW w:w="960" w:type="dxa"/>
            <w:vAlign w:val="bottom"/>
            <w:vMerge w:val="restart"/>
            <w:shd w:val="clear" w:color="auto" w:fill="E7ECF0"/>
          </w:tcPr>
          <w:p>
            <w:pPr>
              <w:jc w:val="center"/>
              <w:spacing w:after="0"/>
              <w:rPr>
                <w:sz w:val="20"/>
                <w:szCs w:val="20"/>
                <w:color w:val="auto"/>
              </w:rPr>
            </w:pPr>
            <w:r>
              <w:rPr>
                <w:rFonts w:ascii="Arial" w:cs="Arial" w:eastAsia="Arial" w:hAnsi="Arial"/>
                <w:sz w:val="14"/>
                <w:szCs w:val="14"/>
                <w:color w:val="auto"/>
              </w:rPr>
              <w:t>-</w:t>
            </w:r>
          </w:p>
        </w:tc>
        <w:tc>
          <w:tcPr>
            <w:tcW w:w="960" w:type="dxa"/>
            <w:vAlign w:val="bottom"/>
            <w:vMerge w:val="restart"/>
            <w:shd w:val="clear" w:color="auto" w:fill="E7ECF0"/>
          </w:tcPr>
          <w:p>
            <w:pPr>
              <w:jc w:val="right"/>
              <w:ind w:right="388"/>
              <w:spacing w:after="0"/>
              <w:rPr>
                <w:sz w:val="20"/>
                <w:szCs w:val="20"/>
                <w:color w:val="auto"/>
              </w:rPr>
            </w:pPr>
            <w:r>
              <w:rPr>
                <w:rFonts w:ascii="Arial" w:cs="Arial" w:eastAsia="Arial" w:hAnsi="Arial"/>
                <w:sz w:val="14"/>
                <w:szCs w:val="14"/>
                <w:color w:val="auto"/>
              </w:rPr>
              <w:t>-</w:t>
            </w:r>
          </w:p>
        </w:tc>
        <w:tc>
          <w:tcPr>
            <w:tcW w:w="1040" w:type="dxa"/>
            <w:vAlign w:val="bottom"/>
            <w:vMerge w:val="restart"/>
            <w:shd w:val="clear" w:color="auto" w:fill="E7ECF0"/>
          </w:tcPr>
          <w:p>
            <w:pPr>
              <w:jc w:val="right"/>
              <w:ind w:right="28"/>
              <w:spacing w:after="0"/>
              <w:rPr>
                <w:sz w:val="20"/>
                <w:szCs w:val="20"/>
                <w:color w:val="auto"/>
              </w:rPr>
            </w:pPr>
            <w:r>
              <w:rPr>
                <w:rFonts w:ascii="Arial" w:cs="Arial" w:eastAsia="Arial" w:hAnsi="Arial"/>
                <w:sz w:val="14"/>
                <w:szCs w:val="14"/>
                <w:color w:val="auto"/>
              </w:rPr>
              <w:t>983</w:t>
            </w:r>
          </w:p>
        </w:tc>
        <w:tc>
          <w:tcPr>
            <w:tcW w:w="900" w:type="dxa"/>
            <w:vAlign w:val="bottom"/>
            <w:vMerge w:val="restart"/>
            <w:shd w:val="clear" w:color="auto" w:fill="E7ECF0"/>
          </w:tcPr>
          <w:p>
            <w:pPr>
              <w:jc w:val="right"/>
              <w:spacing w:after="0"/>
              <w:rPr>
                <w:sz w:val="20"/>
                <w:szCs w:val="20"/>
                <w:color w:val="auto"/>
              </w:rPr>
            </w:pPr>
            <w:r>
              <w:rPr>
                <w:rFonts w:ascii="Arial" w:cs="Arial" w:eastAsia="Arial" w:hAnsi="Arial"/>
                <w:sz w:val="14"/>
                <w:szCs w:val="14"/>
                <w:color w:val="auto"/>
              </w:rPr>
              <w:t>3,930</w:t>
            </w:r>
          </w:p>
        </w:tc>
        <w:tc>
          <w:tcPr>
            <w:tcW w:w="940" w:type="dxa"/>
            <w:vAlign w:val="bottom"/>
            <w:vMerge w:val="restart"/>
            <w:shd w:val="clear" w:color="auto" w:fill="E7ECF0"/>
          </w:tcPr>
          <w:p>
            <w:pPr>
              <w:jc w:val="right"/>
              <w:spacing w:after="0"/>
              <w:rPr>
                <w:sz w:val="20"/>
                <w:szCs w:val="20"/>
                <w:color w:val="auto"/>
              </w:rPr>
            </w:pPr>
            <w:r>
              <w:rPr>
                <w:rFonts w:ascii="Arial" w:cs="Arial" w:eastAsia="Arial" w:hAnsi="Arial"/>
                <w:sz w:val="14"/>
                <w:szCs w:val="14"/>
                <w:color w:val="auto"/>
              </w:rPr>
              <w:t>7,860</w:t>
            </w:r>
          </w:p>
        </w:tc>
        <w:tc>
          <w:tcPr>
            <w:tcW w:w="1480" w:type="dxa"/>
            <w:vAlign w:val="bottom"/>
            <w:vMerge w:val="restart"/>
            <w:shd w:val="clear" w:color="auto" w:fill="E7ECF0"/>
          </w:tcPr>
          <w:p>
            <w:pPr>
              <w:jc w:val="center"/>
              <w:ind w:right="7"/>
              <w:spacing w:after="0"/>
              <w:rPr>
                <w:sz w:val="20"/>
                <w:szCs w:val="20"/>
                <w:color w:val="auto"/>
              </w:rPr>
            </w:pPr>
            <w:r>
              <w:rPr>
                <w:rFonts w:ascii="Arial" w:cs="Arial" w:eastAsia="Arial" w:hAnsi="Arial"/>
                <w:sz w:val="14"/>
                <w:szCs w:val="14"/>
                <w:color w:val="auto"/>
                <w:w w:val="84"/>
              </w:rPr>
              <w:t>-</w:t>
            </w:r>
          </w:p>
        </w:tc>
        <w:tc>
          <w:tcPr>
            <w:tcW w:w="1340" w:type="dxa"/>
            <w:vAlign w:val="bottom"/>
            <w:vMerge w:val="restart"/>
            <w:shd w:val="clear" w:color="auto" w:fill="E7ECF0"/>
          </w:tcPr>
          <w:p>
            <w:pPr>
              <w:jc w:val="right"/>
              <w:spacing w:after="0"/>
              <w:rPr>
                <w:sz w:val="20"/>
                <w:szCs w:val="20"/>
                <w:color w:val="auto"/>
              </w:rPr>
            </w:pPr>
            <w:r>
              <w:rPr>
                <w:rFonts w:ascii="Arial" w:cs="Arial" w:eastAsia="Arial" w:hAnsi="Arial"/>
                <w:sz w:val="14"/>
                <w:szCs w:val="14"/>
                <w:color w:val="auto"/>
              </w:rPr>
              <w:t>877,687</w:t>
            </w:r>
          </w:p>
        </w:tc>
        <w:tc>
          <w:tcPr>
            <w:tcW w:w="0" w:type="dxa"/>
            <w:vAlign w:val="bottom"/>
          </w:tcPr>
          <w:p>
            <w:pPr>
              <w:spacing w:after="0"/>
              <w:rPr>
                <w:sz w:val="1"/>
                <w:szCs w:val="1"/>
                <w:color w:val="auto"/>
              </w:rPr>
            </w:pPr>
          </w:p>
        </w:tc>
      </w:tr>
      <w:tr>
        <w:trPr>
          <w:trHeight w:val="136"/>
        </w:trPr>
        <w:tc>
          <w:tcPr>
            <w:tcW w:w="920" w:type="dxa"/>
            <w:vAlign w:val="bottom"/>
            <w:tcBorders>
              <w:bottom w:val="single" w:sz="8" w:color="E7ECF0"/>
            </w:tcBorders>
            <w:shd w:val="clear" w:color="auto" w:fill="E7ECF0"/>
          </w:tcPr>
          <w:p>
            <w:pPr>
              <w:spacing w:after="0"/>
              <w:rPr>
                <w:sz w:val="11"/>
                <w:szCs w:val="11"/>
                <w:color w:val="auto"/>
              </w:rPr>
            </w:pPr>
          </w:p>
        </w:tc>
        <w:tc>
          <w:tcPr>
            <w:tcW w:w="860" w:type="dxa"/>
            <w:vAlign w:val="bottom"/>
            <w:tcBorders>
              <w:bottom w:val="single" w:sz="8" w:color="E7ECF0"/>
            </w:tcBorders>
            <w:vMerge w:val="continue"/>
            <w:shd w:val="clear" w:color="auto" w:fill="E7ECF0"/>
          </w:tcPr>
          <w:p>
            <w:pPr>
              <w:spacing w:after="0"/>
              <w:rPr>
                <w:sz w:val="11"/>
                <w:szCs w:val="11"/>
                <w:color w:val="auto"/>
              </w:rPr>
            </w:pPr>
          </w:p>
        </w:tc>
        <w:tc>
          <w:tcPr>
            <w:tcW w:w="940" w:type="dxa"/>
            <w:vAlign w:val="bottom"/>
            <w:tcBorders>
              <w:bottom w:val="single" w:sz="8" w:color="E7ECF0"/>
            </w:tcBorders>
            <w:vMerge w:val="continue"/>
            <w:shd w:val="clear" w:color="auto" w:fill="E7ECF0"/>
          </w:tcPr>
          <w:p>
            <w:pPr>
              <w:spacing w:after="0"/>
              <w:rPr>
                <w:sz w:val="11"/>
                <w:szCs w:val="11"/>
                <w:color w:val="auto"/>
              </w:rPr>
            </w:pPr>
          </w:p>
        </w:tc>
        <w:tc>
          <w:tcPr>
            <w:tcW w:w="960" w:type="dxa"/>
            <w:vAlign w:val="bottom"/>
            <w:tcBorders>
              <w:bottom w:val="single" w:sz="8" w:color="E7ECF0"/>
            </w:tcBorders>
            <w:vMerge w:val="continue"/>
            <w:shd w:val="clear" w:color="auto" w:fill="E7ECF0"/>
          </w:tcPr>
          <w:p>
            <w:pPr>
              <w:spacing w:after="0"/>
              <w:rPr>
                <w:sz w:val="11"/>
                <w:szCs w:val="11"/>
                <w:color w:val="auto"/>
              </w:rPr>
            </w:pPr>
          </w:p>
        </w:tc>
        <w:tc>
          <w:tcPr>
            <w:tcW w:w="960" w:type="dxa"/>
            <w:vAlign w:val="bottom"/>
            <w:tcBorders>
              <w:bottom w:val="single" w:sz="8" w:color="E7ECF0"/>
            </w:tcBorders>
            <w:vMerge w:val="continue"/>
            <w:shd w:val="clear" w:color="auto" w:fill="E7ECF0"/>
          </w:tcPr>
          <w:p>
            <w:pPr>
              <w:spacing w:after="0"/>
              <w:rPr>
                <w:sz w:val="11"/>
                <w:szCs w:val="11"/>
                <w:color w:val="auto"/>
              </w:rPr>
            </w:pPr>
          </w:p>
        </w:tc>
        <w:tc>
          <w:tcPr>
            <w:tcW w:w="1040" w:type="dxa"/>
            <w:vAlign w:val="bottom"/>
            <w:tcBorders>
              <w:bottom w:val="single" w:sz="8" w:color="E7ECF0"/>
            </w:tcBorders>
            <w:vMerge w:val="continue"/>
            <w:shd w:val="clear" w:color="auto" w:fill="E7ECF0"/>
          </w:tcPr>
          <w:p>
            <w:pPr>
              <w:spacing w:after="0"/>
              <w:rPr>
                <w:sz w:val="11"/>
                <w:szCs w:val="11"/>
                <w:color w:val="auto"/>
              </w:rPr>
            </w:pPr>
          </w:p>
        </w:tc>
        <w:tc>
          <w:tcPr>
            <w:tcW w:w="900" w:type="dxa"/>
            <w:vAlign w:val="bottom"/>
            <w:tcBorders>
              <w:bottom w:val="single" w:sz="8" w:color="E7ECF0"/>
            </w:tcBorders>
            <w:vMerge w:val="continue"/>
            <w:shd w:val="clear" w:color="auto" w:fill="E7ECF0"/>
          </w:tcPr>
          <w:p>
            <w:pPr>
              <w:spacing w:after="0"/>
              <w:rPr>
                <w:sz w:val="11"/>
                <w:szCs w:val="11"/>
                <w:color w:val="auto"/>
              </w:rPr>
            </w:pPr>
          </w:p>
        </w:tc>
        <w:tc>
          <w:tcPr>
            <w:tcW w:w="940" w:type="dxa"/>
            <w:vAlign w:val="bottom"/>
            <w:tcBorders>
              <w:bottom w:val="single" w:sz="8" w:color="E7ECF0"/>
            </w:tcBorders>
            <w:vMerge w:val="continue"/>
            <w:shd w:val="clear" w:color="auto" w:fill="E7ECF0"/>
          </w:tcPr>
          <w:p>
            <w:pPr>
              <w:spacing w:after="0"/>
              <w:rPr>
                <w:sz w:val="11"/>
                <w:szCs w:val="11"/>
                <w:color w:val="auto"/>
              </w:rPr>
            </w:pPr>
          </w:p>
        </w:tc>
        <w:tc>
          <w:tcPr>
            <w:tcW w:w="1480" w:type="dxa"/>
            <w:vAlign w:val="bottom"/>
            <w:tcBorders>
              <w:bottom w:val="single" w:sz="8" w:color="E7ECF0"/>
            </w:tcBorders>
            <w:vMerge w:val="continue"/>
            <w:shd w:val="clear" w:color="auto" w:fill="E7ECF0"/>
          </w:tcPr>
          <w:p>
            <w:pPr>
              <w:spacing w:after="0"/>
              <w:rPr>
                <w:sz w:val="11"/>
                <w:szCs w:val="11"/>
                <w:color w:val="auto"/>
              </w:rPr>
            </w:pPr>
          </w:p>
        </w:tc>
        <w:tc>
          <w:tcPr>
            <w:tcW w:w="1340" w:type="dxa"/>
            <w:vAlign w:val="bottom"/>
            <w:tcBorders>
              <w:bottom w:val="single" w:sz="8" w:color="E7ECF0"/>
            </w:tcBorders>
            <w:vMerge w:val="continue"/>
            <w:shd w:val="clear" w:color="auto" w:fill="E7ECF0"/>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920" w:type="dxa"/>
            <w:vAlign w:val="bottom"/>
            <w:tcBorders>
              <w:top w:val="single" w:sz="8" w:color="E7ECF0"/>
              <w:bottom w:val="single" w:sz="8" w:color="E7ECF0"/>
            </w:tcBorders>
            <w:shd w:val="clear" w:color="auto" w:fill="E7ECF0"/>
          </w:tcPr>
          <w:p>
            <w:pPr>
              <w:spacing w:after="0"/>
              <w:rPr>
                <w:sz w:val="21"/>
                <w:szCs w:val="21"/>
                <w:color w:val="auto"/>
              </w:rPr>
            </w:pPr>
          </w:p>
        </w:tc>
        <w:tc>
          <w:tcPr>
            <w:tcW w:w="860" w:type="dxa"/>
            <w:vAlign w:val="bottom"/>
            <w:tcBorders>
              <w:top w:val="single" w:sz="8" w:color="DBDBDB"/>
              <w:bottom w:val="single" w:sz="8" w:color="E7ECF0"/>
            </w:tcBorders>
            <w:shd w:val="clear" w:color="auto" w:fill="E7ECF0"/>
          </w:tcPr>
          <w:p>
            <w:pPr>
              <w:jc w:val="right"/>
              <w:ind w:right="87"/>
              <w:spacing w:after="0"/>
              <w:rPr>
                <w:sz w:val="20"/>
                <w:szCs w:val="20"/>
                <w:color w:val="auto"/>
              </w:rPr>
            </w:pPr>
            <w:r>
              <w:rPr>
                <w:rFonts w:ascii="Arial" w:cs="Arial" w:eastAsia="Arial" w:hAnsi="Arial"/>
                <w:sz w:val="14"/>
                <w:szCs w:val="14"/>
                <w:color w:val="auto"/>
              </w:rPr>
              <w:t>8/4/2023</w:t>
            </w:r>
          </w:p>
        </w:tc>
        <w:tc>
          <w:tcPr>
            <w:tcW w:w="940" w:type="dxa"/>
            <w:vAlign w:val="bottom"/>
            <w:tcBorders>
              <w:top w:val="single" w:sz="8" w:color="DBDBDB"/>
              <w:bottom w:val="single" w:sz="8" w:color="E7ECF0"/>
            </w:tcBorders>
            <w:shd w:val="clear" w:color="auto" w:fill="E7ECF0"/>
          </w:tcPr>
          <w:p>
            <w:pPr>
              <w:jc w:val="center"/>
              <w:spacing w:after="0"/>
              <w:rPr>
                <w:sz w:val="20"/>
                <w:szCs w:val="20"/>
                <w:color w:val="auto"/>
              </w:rPr>
            </w:pPr>
            <w:r>
              <w:rPr>
                <w:rFonts w:ascii="Arial" w:cs="Arial" w:eastAsia="Arial" w:hAnsi="Arial"/>
                <w:sz w:val="14"/>
                <w:szCs w:val="14"/>
                <w:color w:val="auto"/>
                <w:w w:val="84"/>
              </w:rPr>
              <w:t>-</w:t>
            </w:r>
          </w:p>
        </w:tc>
        <w:tc>
          <w:tcPr>
            <w:tcW w:w="960" w:type="dxa"/>
            <w:vAlign w:val="bottom"/>
            <w:tcBorders>
              <w:top w:val="single" w:sz="8" w:color="DBDBDB"/>
              <w:bottom w:val="single" w:sz="8" w:color="E7ECF0"/>
            </w:tcBorders>
            <w:shd w:val="clear" w:color="auto" w:fill="E7ECF0"/>
          </w:tcPr>
          <w:p>
            <w:pPr>
              <w:jc w:val="center"/>
              <w:spacing w:after="0"/>
              <w:rPr>
                <w:sz w:val="20"/>
                <w:szCs w:val="20"/>
                <w:color w:val="auto"/>
              </w:rPr>
            </w:pPr>
            <w:r>
              <w:rPr>
                <w:rFonts w:ascii="Arial" w:cs="Arial" w:eastAsia="Arial" w:hAnsi="Arial"/>
                <w:sz w:val="14"/>
                <w:szCs w:val="14"/>
                <w:color w:val="auto"/>
              </w:rPr>
              <w:t>-</w:t>
            </w:r>
          </w:p>
        </w:tc>
        <w:tc>
          <w:tcPr>
            <w:tcW w:w="960" w:type="dxa"/>
            <w:vAlign w:val="bottom"/>
            <w:tcBorders>
              <w:top w:val="single" w:sz="8" w:color="DBDBDB"/>
              <w:bottom w:val="single" w:sz="8" w:color="E7ECF0"/>
            </w:tcBorders>
            <w:shd w:val="clear" w:color="auto" w:fill="E7ECF0"/>
          </w:tcPr>
          <w:p>
            <w:pPr>
              <w:jc w:val="right"/>
              <w:ind w:right="388"/>
              <w:spacing w:after="0"/>
              <w:rPr>
                <w:sz w:val="20"/>
                <w:szCs w:val="20"/>
                <w:color w:val="auto"/>
              </w:rPr>
            </w:pPr>
            <w:r>
              <w:rPr>
                <w:rFonts w:ascii="Arial" w:cs="Arial" w:eastAsia="Arial" w:hAnsi="Arial"/>
                <w:sz w:val="14"/>
                <w:szCs w:val="14"/>
                <w:color w:val="auto"/>
              </w:rPr>
              <w:t>-</w:t>
            </w:r>
          </w:p>
        </w:tc>
        <w:tc>
          <w:tcPr>
            <w:tcW w:w="1040" w:type="dxa"/>
            <w:vAlign w:val="bottom"/>
            <w:tcBorders>
              <w:top w:val="single" w:sz="8" w:color="DBDBDB"/>
              <w:bottom w:val="single" w:sz="8" w:color="E7ECF0"/>
            </w:tcBorders>
            <w:shd w:val="clear" w:color="auto" w:fill="E7ECF0"/>
          </w:tcPr>
          <w:p>
            <w:pPr>
              <w:jc w:val="right"/>
              <w:ind w:right="28"/>
              <w:spacing w:after="0"/>
              <w:rPr>
                <w:sz w:val="20"/>
                <w:szCs w:val="20"/>
                <w:color w:val="auto"/>
              </w:rPr>
            </w:pPr>
            <w:r>
              <w:rPr>
                <w:rFonts w:ascii="Arial" w:cs="Arial" w:eastAsia="Arial" w:hAnsi="Arial"/>
                <w:sz w:val="14"/>
                <w:szCs w:val="14"/>
                <w:color w:val="auto"/>
              </w:rPr>
              <w:t>655</w:t>
            </w:r>
          </w:p>
        </w:tc>
        <w:tc>
          <w:tcPr>
            <w:tcW w:w="900" w:type="dxa"/>
            <w:vAlign w:val="bottom"/>
            <w:tcBorders>
              <w:top w:val="single" w:sz="8" w:color="DBDBDB"/>
              <w:bottom w:val="single" w:sz="8" w:color="E7ECF0"/>
            </w:tcBorders>
            <w:shd w:val="clear" w:color="auto" w:fill="E7ECF0"/>
          </w:tcPr>
          <w:p>
            <w:pPr>
              <w:jc w:val="right"/>
              <w:spacing w:after="0"/>
              <w:rPr>
                <w:sz w:val="20"/>
                <w:szCs w:val="20"/>
                <w:color w:val="auto"/>
              </w:rPr>
            </w:pPr>
            <w:r>
              <w:rPr>
                <w:rFonts w:ascii="Arial" w:cs="Arial" w:eastAsia="Arial" w:hAnsi="Arial"/>
                <w:sz w:val="14"/>
                <w:szCs w:val="14"/>
                <w:color w:val="auto"/>
              </w:rPr>
              <w:t>1,310</w:t>
            </w:r>
          </w:p>
        </w:tc>
        <w:tc>
          <w:tcPr>
            <w:tcW w:w="940" w:type="dxa"/>
            <w:vAlign w:val="bottom"/>
            <w:tcBorders>
              <w:top w:val="single" w:sz="8" w:color="DBDBDB"/>
              <w:bottom w:val="single" w:sz="8" w:color="E7ECF0"/>
            </w:tcBorders>
            <w:shd w:val="clear" w:color="auto" w:fill="E7ECF0"/>
          </w:tcPr>
          <w:p>
            <w:pPr>
              <w:jc w:val="right"/>
              <w:spacing w:after="0"/>
              <w:rPr>
                <w:sz w:val="20"/>
                <w:szCs w:val="20"/>
                <w:color w:val="auto"/>
              </w:rPr>
            </w:pPr>
            <w:r>
              <w:rPr>
                <w:rFonts w:ascii="Arial" w:cs="Arial" w:eastAsia="Arial" w:hAnsi="Arial"/>
                <w:sz w:val="14"/>
                <w:szCs w:val="14"/>
                <w:color w:val="auto"/>
              </w:rPr>
              <w:t>2,620</w:t>
            </w:r>
          </w:p>
        </w:tc>
        <w:tc>
          <w:tcPr>
            <w:tcW w:w="1480" w:type="dxa"/>
            <w:vAlign w:val="bottom"/>
            <w:tcBorders>
              <w:top w:val="single" w:sz="8" w:color="DBDBDB"/>
              <w:bottom w:val="single" w:sz="8" w:color="E7ECF0"/>
            </w:tcBorders>
            <w:shd w:val="clear" w:color="auto" w:fill="E7ECF0"/>
          </w:tcPr>
          <w:p>
            <w:pPr>
              <w:jc w:val="center"/>
              <w:ind w:right="7"/>
              <w:spacing w:after="0"/>
              <w:rPr>
                <w:sz w:val="20"/>
                <w:szCs w:val="20"/>
                <w:color w:val="auto"/>
              </w:rPr>
            </w:pPr>
            <w:r>
              <w:rPr>
                <w:rFonts w:ascii="Arial" w:cs="Arial" w:eastAsia="Arial" w:hAnsi="Arial"/>
                <w:sz w:val="14"/>
                <w:szCs w:val="14"/>
                <w:color w:val="auto"/>
                <w:w w:val="84"/>
              </w:rPr>
              <w:t>-</w:t>
            </w:r>
          </w:p>
        </w:tc>
        <w:tc>
          <w:tcPr>
            <w:tcW w:w="1340" w:type="dxa"/>
            <w:vAlign w:val="bottom"/>
            <w:tcBorders>
              <w:top w:val="single" w:sz="8" w:color="DBDBDB"/>
              <w:bottom w:val="single" w:sz="8" w:color="E7ECF0"/>
            </w:tcBorders>
            <w:shd w:val="clear" w:color="auto" w:fill="E7ECF0"/>
          </w:tcPr>
          <w:p>
            <w:pPr>
              <w:jc w:val="right"/>
              <w:spacing w:after="0"/>
              <w:rPr>
                <w:sz w:val="20"/>
                <w:szCs w:val="20"/>
                <w:color w:val="auto"/>
              </w:rPr>
            </w:pPr>
            <w:r>
              <w:rPr>
                <w:rFonts w:ascii="Arial" w:cs="Arial" w:eastAsia="Arial" w:hAnsi="Arial"/>
                <w:sz w:val="14"/>
                <w:szCs w:val="14"/>
                <w:color w:val="auto"/>
              </w:rPr>
              <w:t>215,980</w:t>
            </w:r>
          </w:p>
        </w:tc>
        <w:tc>
          <w:tcPr>
            <w:tcW w:w="0" w:type="dxa"/>
            <w:vAlign w:val="bottom"/>
          </w:tcPr>
          <w:p>
            <w:pPr>
              <w:spacing w:after="0"/>
              <w:rPr>
                <w:sz w:val="1"/>
                <w:szCs w:val="1"/>
                <w:color w:val="auto"/>
              </w:rPr>
            </w:pPr>
          </w:p>
        </w:tc>
      </w:tr>
      <w:tr>
        <w:trPr>
          <w:trHeight w:val="255"/>
        </w:trPr>
        <w:tc>
          <w:tcPr>
            <w:tcW w:w="920" w:type="dxa"/>
            <w:vAlign w:val="bottom"/>
            <w:tcBorders>
              <w:top w:val="single" w:sz="8" w:color="E7ECF0"/>
              <w:bottom w:val="single" w:sz="8" w:color="E7ECF0"/>
            </w:tcBorders>
            <w:shd w:val="clear" w:color="auto" w:fill="E7ECF0"/>
          </w:tcPr>
          <w:p>
            <w:pPr>
              <w:spacing w:after="0"/>
              <w:rPr>
                <w:sz w:val="21"/>
                <w:szCs w:val="21"/>
                <w:color w:val="auto"/>
              </w:rPr>
            </w:pPr>
          </w:p>
        </w:tc>
        <w:tc>
          <w:tcPr>
            <w:tcW w:w="860" w:type="dxa"/>
            <w:vAlign w:val="bottom"/>
            <w:tcBorders>
              <w:top w:val="single" w:sz="8" w:color="DBDBDB"/>
              <w:bottom w:val="single" w:sz="8" w:color="E7ECF0"/>
            </w:tcBorders>
            <w:shd w:val="clear" w:color="auto" w:fill="E7ECF0"/>
          </w:tcPr>
          <w:p>
            <w:pPr>
              <w:jc w:val="right"/>
              <w:ind w:right="87"/>
              <w:spacing w:after="0"/>
              <w:rPr>
                <w:sz w:val="20"/>
                <w:szCs w:val="20"/>
                <w:color w:val="auto"/>
              </w:rPr>
            </w:pPr>
            <w:r>
              <w:rPr>
                <w:rFonts w:ascii="Arial" w:cs="Arial" w:eastAsia="Arial" w:hAnsi="Arial"/>
                <w:sz w:val="14"/>
                <w:szCs w:val="14"/>
                <w:color w:val="auto"/>
              </w:rPr>
              <w:t>8/4/2023</w:t>
            </w:r>
          </w:p>
        </w:tc>
        <w:tc>
          <w:tcPr>
            <w:tcW w:w="940" w:type="dxa"/>
            <w:vAlign w:val="bottom"/>
            <w:tcBorders>
              <w:top w:val="single" w:sz="8" w:color="DBDBDB"/>
              <w:bottom w:val="single" w:sz="8" w:color="E7ECF0"/>
            </w:tcBorders>
            <w:shd w:val="clear" w:color="auto" w:fill="E7ECF0"/>
          </w:tcPr>
          <w:p>
            <w:pPr>
              <w:jc w:val="center"/>
              <w:spacing w:after="0"/>
              <w:rPr>
                <w:sz w:val="20"/>
                <w:szCs w:val="20"/>
                <w:color w:val="auto"/>
              </w:rPr>
            </w:pPr>
            <w:r>
              <w:rPr>
                <w:rFonts w:ascii="Arial" w:cs="Arial" w:eastAsia="Arial" w:hAnsi="Arial"/>
                <w:sz w:val="14"/>
                <w:szCs w:val="14"/>
                <w:color w:val="auto"/>
                <w:w w:val="84"/>
              </w:rPr>
              <w:t>-</w:t>
            </w:r>
          </w:p>
        </w:tc>
        <w:tc>
          <w:tcPr>
            <w:tcW w:w="960" w:type="dxa"/>
            <w:vAlign w:val="bottom"/>
            <w:tcBorders>
              <w:top w:val="single" w:sz="8" w:color="DBDBDB"/>
              <w:bottom w:val="single" w:sz="8" w:color="E7ECF0"/>
            </w:tcBorders>
            <w:shd w:val="clear" w:color="auto" w:fill="E7ECF0"/>
          </w:tcPr>
          <w:p>
            <w:pPr>
              <w:jc w:val="center"/>
              <w:spacing w:after="0"/>
              <w:rPr>
                <w:sz w:val="20"/>
                <w:szCs w:val="20"/>
                <w:color w:val="auto"/>
              </w:rPr>
            </w:pPr>
            <w:r>
              <w:rPr>
                <w:rFonts w:ascii="Arial" w:cs="Arial" w:eastAsia="Arial" w:hAnsi="Arial"/>
                <w:sz w:val="14"/>
                <w:szCs w:val="14"/>
                <w:color w:val="auto"/>
              </w:rPr>
              <w:t>-</w:t>
            </w:r>
          </w:p>
        </w:tc>
        <w:tc>
          <w:tcPr>
            <w:tcW w:w="960" w:type="dxa"/>
            <w:vAlign w:val="bottom"/>
            <w:tcBorders>
              <w:top w:val="single" w:sz="8" w:color="DBDBDB"/>
              <w:bottom w:val="single" w:sz="8" w:color="E7ECF0"/>
            </w:tcBorders>
            <w:shd w:val="clear" w:color="auto" w:fill="E7ECF0"/>
          </w:tcPr>
          <w:p>
            <w:pPr>
              <w:jc w:val="right"/>
              <w:ind w:right="388"/>
              <w:spacing w:after="0"/>
              <w:rPr>
                <w:sz w:val="20"/>
                <w:szCs w:val="20"/>
                <w:color w:val="auto"/>
              </w:rPr>
            </w:pPr>
            <w:r>
              <w:rPr>
                <w:rFonts w:ascii="Arial" w:cs="Arial" w:eastAsia="Arial" w:hAnsi="Arial"/>
                <w:sz w:val="14"/>
                <w:szCs w:val="14"/>
                <w:color w:val="auto"/>
              </w:rPr>
              <w:t>-</w:t>
            </w:r>
          </w:p>
        </w:tc>
        <w:tc>
          <w:tcPr>
            <w:tcW w:w="1040" w:type="dxa"/>
            <w:vAlign w:val="bottom"/>
            <w:tcBorders>
              <w:top w:val="single" w:sz="8" w:color="DBDBDB"/>
              <w:bottom w:val="single" w:sz="8" w:color="E7ECF0"/>
            </w:tcBorders>
            <w:shd w:val="clear" w:color="auto" w:fill="E7ECF0"/>
          </w:tcPr>
          <w:p>
            <w:pPr>
              <w:jc w:val="right"/>
              <w:ind w:right="28"/>
              <w:spacing w:after="0"/>
              <w:rPr>
                <w:sz w:val="20"/>
                <w:szCs w:val="20"/>
                <w:color w:val="auto"/>
              </w:rPr>
            </w:pPr>
            <w:r>
              <w:rPr>
                <w:rFonts w:ascii="Arial" w:cs="Arial" w:eastAsia="Arial" w:hAnsi="Arial"/>
                <w:sz w:val="14"/>
                <w:szCs w:val="14"/>
                <w:color w:val="auto"/>
              </w:rPr>
              <w:t>655</w:t>
            </w:r>
          </w:p>
        </w:tc>
        <w:tc>
          <w:tcPr>
            <w:tcW w:w="900" w:type="dxa"/>
            <w:vAlign w:val="bottom"/>
            <w:tcBorders>
              <w:top w:val="single" w:sz="8" w:color="DBDBDB"/>
              <w:bottom w:val="single" w:sz="8" w:color="E7ECF0"/>
            </w:tcBorders>
            <w:shd w:val="clear" w:color="auto" w:fill="E7ECF0"/>
          </w:tcPr>
          <w:p>
            <w:pPr>
              <w:jc w:val="right"/>
              <w:spacing w:after="0"/>
              <w:rPr>
                <w:sz w:val="20"/>
                <w:szCs w:val="20"/>
                <w:color w:val="auto"/>
              </w:rPr>
            </w:pPr>
            <w:r>
              <w:rPr>
                <w:rFonts w:ascii="Arial" w:cs="Arial" w:eastAsia="Arial" w:hAnsi="Arial"/>
                <w:sz w:val="14"/>
                <w:szCs w:val="14"/>
                <w:color w:val="auto"/>
              </w:rPr>
              <w:t>1,310</w:t>
            </w:r>
          </w:p>
        </w:tc>
        <w:tc>
          <w:tcPr>
            <w:tcW w:w="940" w:type="dxa"/>
            <w:vAlign w:val="bottom"/>
            <w:tcBorders>
              <w:top w:val="single" w:sz="8" w:color="DBDBDB"/>
              <w:bottom w:val="single" w:sz="8" w:color="E7ECF0"/>
            </w:tcBorders>
            <w:shd w:val="clear" w:color="auto" w:fill="E7ECF0"/>
          </w:tcPr>
          <w:p>
            <w:pPr>
              <w:jc w:val="right"/>
              <w:spacing w:after="0"/>
              <w:rPr>
                <w:sz w:val="20"/>
                <w:szCs w:val="20"/>
                <w:color w:val="auto"/>
              </w:rPr>
            </w:pPr>
            <w:r>
              <w:rPr>
                <w:rFonts w:ascii="Arial" w:cs="Arial" w:eastAsia="Arial" w:hAnsi="Arial"/>
                <w:sz w:val="14"/>
                <w:szCs w:val="14"/>
                <w:color w:val="auto"/>
              </w:rPr>
              <w:t>2,620</w:t>
            </w:r>
          </w:p>
        </w:tc>
        <w:tc>
          <w:tcPr>
            <w:tcW w:w="1480" w:type="dxa"/>
            <w:vAlign w:val="bottom"/>
            <w:tcBorders>
              <w:top w:val="single" w:sz="8" w:color="DBDBDB"/>
              <w:bottom w:val="single" w:sz="8" w:color="E7ECF0"/>
            </w:tcBorders>
            <w:shd w:val="clear" w:color="auto" w:fill="E7ECF0"/>
          </w:tcPr>
          <w:p>
            <w:pPr>
              <w:jc w:val="center"/>
              <w:ind w:right="7"/>
              <w:spacing w:after="0"/>
              <w:rPr>
                <w:sz w:val="20"/>
                <w:szCs w:val="20"/>
                <w:color w:val="auto"/>
              </w:rPr>
            </w:pPr>
            <w:r>
              <w:rPr>
                <w:rFonts w:ascii="Arial" w:cs="Arial" w:eastAsia="Arial" w:hAnsi="Arial"/>
                <w:sz w:val="14"/>
                <w:szCs w:val="14"/>
                <w:color w:val="auto"/>
                <w:w w:val="84"/>
              </w:rPr>
              <w:t>-</w:t>
            </w:r>
          </w:p>
        </w:tc>
        <w:tc>
          <w:tcPr>
            <w:tcW w:w="1340" w:type="dxa"/>
            <w:vAlign w:val="bottom"/>
            <w:tcBorders>
              <w:top w:val="single" w:sz="8" w:color="DBDBDB"/>
              <w:bottom w:val="single" w:sz="8" w:color="E7ECF0"/>
            </w:tcBorders>
            <w:shd w:val="clear" w:color="auto" w:fill="E7ECF0"/>
          </w:tcPr>
          <w:p>
            <w:pPr>
              <w:jc w:val="right"/>
              <w:spacing w:after="0"/>
              <w:rPr>
                <w:sz w:val="20"/>
                <w:szCs w:val="20"/>
                <w:color w:val="auto"/>
              </w:rPr>
            </w:pPr>
            <w:r>
              <w:rPr>
                <w:rFonts w:ascii="Arial" w:cs="Arial" w:eastAsia="Arial" w:hAnsi="Arial"/>
                <w:sz w:val="14"/>
                <w:szCs w:val="14"/>
                <w:color w:val="auto"/>
              </w:rPr>
              <w:t>215,980</w:t>
            </w:r>
          </w:p>
        </w:tc>
        <w:tc>
          <w:tcPr>
            <w:tcW w:w="0" w:type="dxa"/>
            <w:vAlign w:val="bottom"/>
          </w:tcPr>
          <w:p>
            <w:pPr>
              <w:spacing w:after="0"/>
              <w:rPr>
                <w:sz w:val="1"/>
                <w:szCs w:val="1"/>
                <w:color w:val="auto"/>
              </w:rPr>
            </w:pPr>
          </w:p>
        </w:tc>
      </w:tr>
      <w:tr>
        <w:trPr>
          <w:trHeight w:val="255"/>
        </w:trPr>
        <w:tc>
          <w:tcPr>
            <w:tcW w:w="920" w:type="dxa"/>
            <w:vAlign w:val="bottom"/>
            <w:tcBorders>
              <w:top w:val="single" w:sz="8" w:color="E7ECF0"/>
              <w:bottom w:val="single" w:sz="8" w:color="E7ECF0"/>
            </w:tcBorders>
            <w:shd w:val="clear" w:color="auto" w:fill="E7ECF0"/>
          </w:tcPr>
          <w:p>
            <w:pPr>
              <w:spacing w:after="0"/>
              <w:rPr>
                <w:sz w:val="21"/>
                <w:szCs w:val="21"/>
                <w:color w:val="auto"/>
              </w:rPr>
            </w:pPr>
          </w:p>
        </w:tc>
        <w:tc>
          <w:tcPr>
            <w:tcW w:w="860" w:type="dxa"/>
            <w:vAlign w:val="bottom"/>
            <w:tcBorders>
              <w:top w:val="single" w:sz="8" w:color="DBDBDB"/>
              <w:bottom w:val="single" w:sz="8" w:color="E7ECF0"/>
            </w:tcBorders>
            <w:shd w:val="clear" w:color="auto" w:fill="E7ECF0"/>
          </w:tcPr>
          <w:p>
            <w:pPr>
              <w:jc w:val="right"/>
              <w:ind w:right="87"/>
              <w:spacing w:after="0"/>
              <w:rPr>
                <w:sz w:val="20"/>
                <w:szCs w:val="20"/>
                <w:color w:val="auto"/>
              </w:rPr>
            </w:pPr>
            <w:r>
              <w:rPr>
                <w:rFonts w:ascii="Arial" w:cs="Arial" w:eastAsia="Arial" w:hAnsi="Arial"/>
                <w:sz w:val="14"/>
                <w:szCs w:val="14"/>
                <w:color w:val="auto"/>
              </w:rPr>
              <w:t>8/4/2023</w:t>
            </w:r>
          </w:p>
        </w:tc>
        <w:tc>
          <w:tcPr>
            <w:tcW w:w="940" w:type="dxa"/>
            <w:vAlign w:val="bottom"/>
            <w:tcBorders>
              <w:top w:val="single" w:sz="8" w:color="DBDBDB"/>
              <w:bottom w:val="single" w:sz="8" w:color="E7ECF0"/>
            </w:tcBorders>
            <w:shd w:val="clear" w:color="auto" w:fill="E7ECF0"/>
          </w:tcPr>
          <w:p>
            <w:pPr>
              <w:jc w:val="center"/>
              <w:spacing w:after="0"/>
              <w:rPr>
                <w:sz w:val="20"/>
                <w:szCs w:val="20"/>
                <w:color w:val="auto"/>
              </w:rPr>
            </w:pPr>
            <w:r>
              <w:rPr>
                <w:rFonts w:ascii="Arial" w:cs="Arial" w:eastAsia="Arial" w:hAnsi="Arial"/>
                <w:sz w:val="14"/>
                <w:szCs w:val="14"/>
                <w:color w:val="auto"/>
                <w:w w:val="84"/>
              </w:rPr>
              <w:t>-</w:t>
            </w:r>
          </w:p>
        </w:tc>
        <w:tc>
          <w:tcPr>
            <w:tcW w:w="960" w:type="dxa"/>
            <w:vAlign w:val="bottom"/>
            <w:tcBorders>
              <w:top w:val="single" w:sz="8" w:color="DBDBDB"/>
              <w:bottom w:val="single" w:sz="8" w:color="E7ECF0"/>
            </w:tcBorders>
            <w:shd w:val="clear" w:color="auto" w:fill="E7ECF0"/>
          </w:tcPr>
          <w:p>
            <w:pPr>
              <w:jc w:val="center"/>
              <w:spacing w:after="0"/>
              <w:rPr>
                <w:sz w:val="20"/>
                <w:szCs w:val="20"/>
                <w:color w:val="auto"/>
              </w:rPr>
            </w:pPr>
            <w:r>
              <w:rPr>
                <w:rFonts w:ascii="Arial" w:cs="Arial" w:eastAsia="Arial" w:hAnsi="Arial"/>
                <w:sz w:val="14"/>
                <w:szCs w:val="14"/>
                <w:color w:val="auto"/>
              </w:rPr>
              <w:t>-</w:t>
            </w:r>
          </w:p>
        </w:tc>
        <w:tc>
          <w:tcPr>
            <w:tcW w:w="960" w:type="dxa"/>
            <w:vAlign w:val="bottom"/>
            <w:tcBorders>
              <w:top w:val="single" w:sz="8" w:color="DBDBDB"/>
              <w:bottom w:val="single" w:sz="8" w:color="E7ECF0"/>
            </w:tcBorders>
            <w:shd w:val="clear" w:color="auto" w:fill="E7ECF0"/>
          </w:tcPr>
          <w:p>
            <w:pPr>
              <w:jc w:val="right"/>
              <w:ind w:right="388"/>
              <w:spacing w:after="0"/>
              <w:rPr>
                <w:sz w:val="20"/>
                <w:szCs w:val="20"/>
                <w:color w:val="auto"/>
              </w:rPr>
            </w:pPr>
            <w:r>
              <w:rPr>
                <w:rFonts w:ascii="Arial" w:cs="Arial" w:eastAsia="Arial" w:hAnsi="Arial"/>
                <w:sz w:val="14"/>
                <w:szCs w:val="14"/>
                <w:color w:val="auto"/>
              </w:rPr>
              <w:t>-</w:t>
            </w:r>
          </w:p>
        </w:tc>
        <w:tc>
          <w:tcPr>
            <w:tcW w:w="1040" w:type="dxa"/>
            <w:vAlign w:val="bottom"/>
            <w:tcBorders>
              <w:top w:val="single" w:sz="8" w:color="DBDBDB"/>
              <w:bottom w:val="single" w:sz="8" w:color="E7ECF0"/>
            </w:tcBorders>
            <w:shd w:val="clear" w:color="auto" w:fill="E7ECF0"/>
          </w:tcPr>
          <w:p>
            <w:pPr>
              <w:jc w:val="right"/>
              <w:ind w:right="468"/>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DBDBDB"/>
              <w:bottom w:val="single" w:sz="8" w:color="E7ECF0"/>
            </w:tcBorders>
            <w:shd w:val="clear" w:color="auto" w:fill="E7ECF0"/>
          </w:tcPr>
          <w:p>
            <w:pPr>
              <w:jc w:val="center"/>
              <w:ind w:right="48"/>
              <w:spacing w:after="0"/>
              <w:rPr>
                <w:sz w:val="20"/>
                <w:szCs w:val="20"/>
                <w:color w:val="auto"/>
              </w:rPr>
            </w:pPr>
            <w:r>
              <w:rPr>
                <w:rFonts w:ascii="Arial" w:cs="Arial" w:eastAsia="Arial" w:hAnsi="Arial"/>
                <w:sz w:val="14"/>
                <w:szCs w:val="14"/>
                <w:color w:val="auto"/>
              </w:rPr>
              <w:t>-</w:t>
            </w:r>
          </w:p>
        </w:tc>
        <w:tc>
          <w:tcPr>
            <w:tcW w:w="940" w:type="dxa"/>
            <w:vAlign w:val="bottom"/>
            <w:tcBorders>
              <w:top w:val="single" w:sz="8" w:color="DBDBDB"/>
              <w:bottom w:val="single" w:sz="8" w:color="E7ECF0"/>
            </w:tcBorders>
            <w:shd w:val="clear" w:color="auto" w:fill="E7ECF0"/>
          </w:tcPr>
          <w:p>
            <w:pPr>
              <w:jc w:val="right"/>
              <w:ind w:right="388"/>
              <w:spacing w:after="0"/>
              <w:rPr>
                <w:sz w:val="20"/>
                <w:szCs w:val="20"/>
                <w:color w:val="auto"/>
              </w:rPr>
            </w:pPr>
            <w:r>
              <w:rPr>
                <w:rFonts w:ascii="Arial" w:cs="Arial" w:eastAsia="Arial" w:hAnsi="Arial"/>
                <w:sz w:val="14"/>
                <w:szCs w:val="14"/>
                <w:color w:val="auto"/>
              </w:rPr>
              <w:t>-</w:t>
            </w:r>
          </w:p>
        </w:tc>
        <w:tc>
          <w:tcPr>
            <w:tcW w:w="1480" w:type="dxa"/>
            <w:vAlign w:val="bottom"/>
            <w:tcBorders>
              <w:top w:val="single" w:sz="8" w:color="DBDBDB"/>
              <w:bottom w:val="single" w:sz="8" w:color="E7ECF0"/>
            </w:tcBorders>
            <w:shd w:val="clear" w:color="auto" w:fill="E7ECF0"/>
          </w:tcPr>
          <w:p>
            <w:pPr>
              <w:jc w:val="right"/>
              <w:ind w:right="27"/>
              <w:spacing w:after="0"/>
              <w:rPr>
                <w:sz w:val="20"/>
                <w:szCs w:val="20"/>
                <w:color w:val="auto"/>
              </w:rPr>
            </w:pPr>
            <w:r>
              <w:rPr>
                <w:rFonts w:ascii="Arial" w:cs="Arial" w:eastAsia="Arial" w:hAnsi="Arial"/>
                <w:sz w:val="14"/>
                <w:szCs w:val="14"/>
                <w:color w:val="auto"/>
              </w:rPr>
              <w:t>4,367</w:t>
            </w:r>
          </w:p>
        </w:tc>
        <w:tc>
          <w:tcPr>
            <w:tcW w:w="1340" w:type="dxa"/>
            <w:vAlign w:val="bottom"/>
            <w:tcBorders>
              <w:top w:val="single" w:sz="8" w:color="DBDBDB"/>
              <w:bottom w:val="single" w:sz="8" w:color="E7ECF0"/>
            </w:tcBorders>
            <w:shd w:val="clear" w:color="auto" w:fill="E7ECF0"/>
          </w:tcPr>
          <w:p>
            <w:pPr>
              <w:jc w:val="right"/>
              <w:spacing w:after="0"/>
              <w:rPr>
                <w:sz w:val="20"/>
                <w:szCs w:val="20"/>
                <w:color w:val="auto"/>
              </w:rPr>
            </w:pPr>
            <w:r>
              <w:rPr>
                <w:rFonts w:ascii="Arial" w:cs="Arial" w:eastAsia="Arial" w:hAnsi="Arial"/>
                <w:sz w:val="14"/>
                <w:szCs w:val="14"/>
                <w:color w:val="auto"/>
              </w:rPr>
              <w:t>729,189</w:t>
            </w:r>
          </w:p>
        </w:tc>
        <w:tc>
          <w:tcPr>
            <w:tcW w:w="0" w:type="dxa"/>
            <w:vAlign w:val="bottom"/>
          </w:tcPr>
          <w:p>
            <w:pPr>
              <w:spacing w:after="0"/>
              <w:rPr>
                <w:sz w:val="1"/>
                <w:szCs w:val="1"/>
                <w:color w:val="auto"/>
              </w:rPr>
            </w:pPr>
          </w:p>
        </w:tc>
      </w:tr>
      <w:tr>
        <w:trPr>
          <w:trHeight w:val="169"/>
        </w:trPr>
        <w:tc>
          <w:tcPr>
            <w:tcW w:w="920" w:type="dxa"/>
            <w:vAlign w:val="bottom"/>
            <w:tcBorders>
              <w:top w:val="single" w:sz="8" w:color="DBDBDB"/>
            </w:tcBorders>
          </w:tcPr>
          <w:p>
            <w:pPr>
              <w:spacing w:after="0" w:line="169" w:lineRule="exact"/>
              <w:rPr>
                <w:sz w:val="20"/>
                <w:szCs w:val="20"/>
                <w:color w:val="auto"/>
              </w:rPr>
            </w:pPr>
            <w:r>
              <w:rPr>
                <w:rFonts w:ascii="Arial" w:cs="Arial" w:eastAsia="Arial" w:hAnsi="Arial"/>
                <w:sz w:val="16"/>
                <w:szCs w:val="16"/>
                <w:color w:val="auto"/>
              </w:rPr>
              <w:t>Mimi L.</w:t>
            </w:r>
          </w:p>
        </w:tc>
        <w:tc>
          <w:tcPr>
            <w:tcW w:w="860" w:type="dxa"/>
            <w:vAlign w:val="bottom"/>
            <w:tcBorders>
              <w:top w:val="single" w:sz="8" w:color="DBDBDB"/>
            </w:tcBorders>
          </w:tcPr>
          <w:p>
            <w:pPr>
              <w:jc w:val="right"/>
              <w:ind w:right="87"/>
              <w:spacing w:after="0"/>
              <w:rPr>
                <w:sz w:val="20"/>
                <w:szCs w:val="20"/>
                <w:color w:val="auto"/>
              </w:rPr>
            </w:pPr>
            <w:r>
              <w:rPr>
                <w:rFonts w:ascii="Arial" w:cs="Arial" w:eastAsia="Arial" w:hAnsi="Arial"/>
                <w:sz w:val="14"/>
                <w:szCs w:val="14"/>
                <w:color w:val="auto"/>
              </w:rPr>
              <w:t>8/4/2023</w:t>
            </w:r>
          </w:p>
        </w:tc>
        <w:tc>
          <w:tcPr>
            <w:tcW w:w="940" w:type="dxa"/>
            <w:vAlign w:val="bottom"/>
            <w:tcBorders>
              <w:top w:val="single" w:sz="8" w:color="DBDBDB"/>
            </w:tcBorders>
          </w:tcPr>
          <w:p>
            <w:pPr>
              <w:jc w:val="right"/>
              <w:spacing w:after="0"/>
              <w:rPr>
                <w:sz w:val="20"/>
                <w:szCs w:val="20"/>
                <w:color w:val="auto"/>
              </w:rPr>
            </w:pPr>
            <w:r>
              <w:rPr>
                <w:rFonts w:ascii="Arial" w:cs="Arial" w:eastAsia="Arial" w:hAnsi="Arial"/>
                <w:sz w:val="14"/>
                <w:szCs w:val="14"/>
                <w:color w:val="auto"/>
              </w:rPr>
              <w:t>0</w:t>
            </w:r>
          </w:p>
        </w:tc>
        <w:tc>
          <w:tcPr>
            <w:tcW w:w="960" w:type="dxa"/>
            <w:vAlign w:val="bottom"/>
            <w:tcBorders>
              <w:top w:val="single" w:sz="8" w:color="DBDBDB"/>
            </w:tcBorders>
          </w:tcPr>
          <w:p>
            <w:pPr>
              <w:jc w:val="right"/>
              <w:spacing w:after="0"/>
              <w:rPr>
                <w:sz w:val="20"/>
                <w:szCs w:val="20"/>
                <w:color w:val="auto"/>
              </w:rPr>
            </w:pPr>
            <w:r>
              <w:rPr>
                <w:rFonts w:ascii="Arial" w:cs="Arial" w:eastAsia="Arial" w:hAnsi="Arial"/>
                <w:sz w:val="14"/>
                <w:szCs w:val="14"/>
                <w:color w:val="auto"/>
              </w:rPr>
              <w:t>517,750</w:t>
            </w:r>
          </w:p>
        </w:tc>
        <w:tc>
          <w:tcPr>
            <w:tcW w:w="960" w:type="dxa"/>
            <w:vAlign w:val="bottom"/>
            <w:tcBorders>
              <w:top w:val="single" w:sz="8" w:color="DBDBDB"/>
            </w:tcBorders>
          </w:tcPr>
          <w:p>
            <w:pPr>
              <w:jc w:val="right"/>
              <w:spacing w:after="0"/>
              <w:rPr>
                <w:sz w:val="20"/>
                <w:szCs w:val="20"/>
                <w:color w:val="auto"/>
              </w:rPr>
            </w:pPr>
            <w:r>
              <w:rPr>
                <w:rFonts w:ascii="Arial" w:cs="Arial" w:eastAsia="Arial" w:hAnsi="Arial"/>
                <w:sz w:val="14"/>
                <w:szCs w:val="14"/>
                <w:color w:val="auto"/>
              </w:rPr>
              <w:t>1,035,500</w:t>
            </w:r>
          </w:p>
        </w:tc>
        <w:tc>
          <w:tcPr>
            <w:tcW w:w="1040" w:type="dxa"/>
            <w:vAlign w:val="bottom"/>
            <w:tcBorders>
              <w:top w:val="single" w:sz="8" w:color="DBDBDB"/>
            </w:tcBorders>
          </w:tcPr>
          <w:p>
            <w:pPr>
              <w:jc w:val="right"/>
              <w:ind w:right="468"/>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DBDBDB"/>
            </w:tcBorders>
          </w:tcPr>
          <w:p>
            <w:pPr>
              <w:jc w:val="center"/>
              <w:ind w:right="48"/>
              <w:spacing w:after="0"/>
              <w:rPr>
                <w:sz w:val="20"/>
                <w:szCs w:val="20"/>
                <w:color w:val="auto"/>
              </w:rPr>
            </w:pPr>
            <w:r>
              <w:rPr>
                <w:rFonts w:ascii="Arial" w:cs="Arial" w:eastAsia="Arial" w:hAnsi="Arial"/>
                <w:sz w:val="14"/>
                <w:szCs w:val="14"/>
                <w:color w:val="auto"/>
              </w:rPr>
              <w:t>-</w:t>
            </w:r>
          </w:p>
        </w:tc>
        <w:tc>
          <w:tcPr>
            <w:tcW w:w="940" w:type="dxa"/>
            <w:vAlign w:val="bottom"/>
            <w:tcBorders>
              <w:top w:val="single" w:sz="8" w:color="DBDBDB"/>
            </w:tcBorders>
          </w:tcPr>
          <w:p>
            <w:pPr>
              <w:jc w:val="right"/>
              <w:ind w:right="388"/>
              <w:spacing w:after="0"/>
              <w:rPr>
                <w:sz w:val="20"/>
                <w:szCs w:val="20"/>
                <w:color w:val="auto"/>
              </w:rPr>
            </w:pPr>
            <w:r>
              <w:rPr>
                <w:rFonts w:ascii="Arial" w:cs="Arial" w:eastAsia="Arial" w:hAnsi="Arial"/>
                <w:sz w:val="14"/>
                <w:szCs w:val="14"/>
                <w:color w:val="auto"/>
              </w:rPr>
              <w:t>-</w:t>
            </w:r>
          </w:p>
        </w:tc>
        <w:tc>
          <w:tcPr>
            <w:tcW w:w="1480" w:type="dxa"/>
            <w:vAlign w:val="bottom"/>
            <w:tcBorders>
              <w:top w:val="single" w:sz="8" w:color="DBDBDB"/>
            </w:tcBorders>
          </w:tcPr>
          <w:p>
            <w:pPr>
              <w:jc w:val="center"/>
              <w:ind w:right="7"/>
              <w:spacing w:after="0"/>
              <w:rPr>
                <w:sz w:val="20"/>
                <w:szCs w:val="20"/>
                <w:color w:val="auto"/>
              </w:rPr>
            </w:pPr>
            <w:r>
              <w:rPr>
                <w:rFonts w:ascii="Arial" w:cs="Arial" w:eastAsia="Arial" w:hAnsi="Arial"/>
                <w:sz w:val="14"/>
                <w:szCs w:val="14"/>
                <w:color w:val="auto"/>
                <w:w w:val="84"/>
              </w:rPr>
              <w:t>-</w:t>
            </w:r>
          </w:p>
        </w:tc>
        <w:tc>
          <w:tcPr>
            <w:tcW w:w="1340" w:type="dxa"/>
            <w:vAlign w:val="bottom"/>
            <w:tcBorders>
              <w:top w:val="single" w:sz="8" w:color="DBDBDB"/>
            </w:tcBorders>
          </w:tcPr>
          <w:p>
            <w:pPr>
              <w:jc w:val="center"/>
              <w:ind w:right="7"/>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81"/>
        </w:trPr>
        <w:tc>
          <w:tcPr>
            <w:tcW w:w="920" w:type="dxa"/>
            <w:vAlign w:val="bottom"/>
            <w:vMerge w:val="restart"/>
          </w:tcPr>
          <w:p>
            <w:pPr>
              <w:spacing w:after="0"/>
              <w:rPr>
                <w:sz w:val="20"/>
                <w:szCs w:val="20"/>
                <w:color w:val="auto"/>
              </w:rPr>
            </w:pPr>
            <w:r>
              <w:rPr>
                <w:rFonts w:ascii="Arial" w:cs="Arial" w:eastAsia="Arial" w:hAnsi="Arial"/>
                <w:sz w:val="16"/>
                <w:szCs w:val="16"/>
                <w:color w:val="auto"/>
              </w:rPr>
              <w:t>Carsley</w:t>
            </w:r>
          </w:p>
        </w:tc>
        <w:tc>
          <w:tcPr>
            <w:tcW w:w="860" w:type="dxa"/>
            <w:vAlign w:val="bottom"/>
            <w:tcBorders>
              <w:bottom w:val="single" w:sz="8" w:color="DBDBDB"/>
            </w:tcBorders>
          </w:tcPr>
          <w:p>
            <w:pPr>
              <w:spacing w:after="0"/>
              <w:rPr>
                <w:sz w:val="7"/>
                <w:szCs w:val="7"/>
                <w:color w:val="auto"/>
              </w:rPr>
            </w:pPr>
          </w:p>
        </w:tc>
        <w:tc>
          <w:tcPr>
            <w:tcW w:w="940" w:type="dxa"/>
            <w:vAlign w:val="bottom"/>
            <w:tcBorders>
              <w:bottom w:val="single" w:sz="8" w:color="DBDBDB"/>
            </w:tcBorders>
          </w:tcPr>
          <w:p>
            <w:pPr>
              <w:spacing w:after="0"/>
              <w:rPr>
                <w:sz w:val="7"/>
                <w:szCs w:val="7"/>
                <w:color w:val="auto"/>
              </w:rPr>
            </w:pPr>
          </w:p>
        </w:tc>
        <w:tc>
          <w:tcPr>
            <w:tcW w:w="960" w:type="dxa"/>
            <w:vAlign w:val="bottom"/>
            <w:tcBorders>
              <w:bottom w:val="single" w:sz="8" w:color="DBDBDB"/>
            </w:tcBorders>
          </w:tcPr>
          <w:p>
            <w:pPr>
              <w:spacing w:after="0"/>
              <w:rPr>
                <w:sz w:val="7"/>
                <w:szCs w:val="7"/>
                <w:color w:val="auto"/>
              </w:rPr>
            </w:pPr>
          </w:p>
        </w:tc>
        <w:tc>
          <w:tcPr>
            <w:tcW w:w="960" w:type="dxa"/>
            <w:vAlign w:val="bottom"/>
            <w:tcBorders>
              <w:bottom w:val="single" w:sz="8" w:color="DBDBDB"/>
            </w:tcBorders>
          </w:tcPr>
          <w:p>
            <w:pPr>
              <w:spacing w:after="0"/>
              <w:rPr>
                <w:sz w:val="7"/>
                <w:szCs w:val="7"/>
                <w:color w:val="auto"/>
              </w:rPr>
            </w:pPr>
          </w:p>
        </w:tc>
        <w:tc>
          <w:tcPr>
            <w:tcW w:w="1040" w:type="dxa"/>
            <w:vAlign w:val="bottom"/>
            <w:tcBorders>
              <w:bottom w:val="single" w:sz="8" w:color="DBDBDB"/>
            </w:tcBorders>
          </w:tcPr>
          <w:p>
            <w:pPr>
              <w:spacing w:after="0"/>
              <w:rPr>
                <w:sz w:val="7"/>
                <w:szCs w:val="7"/>
                <w:color w:val="auto"/>
              </w:rPr>
            </w:pPr>
          </w:p>
        </w:tc>
        <w:tc>
          <w:tcPr>
            <w:tcW w:w="900" w:type="dxa"/>
            <w:vAlign w:val="bottom"/>
            <w:tcBorders>
              <w:bottom w:val="single" w:sz="8" w:color="DBDBDB"/>
            </w:tcBorders>
          </w:tcPr>
          <w:p>
            <w:pPr>
              <w:spacing w:after="0"/>
              <w:rPr>
                <w:sz w:val="7"/>
                <w:szCs w:val="7"/>
                <w:color w:val="auto"/>
              </w:rPr>
            </w:pPr>
          </w:p>
        </w:tc>
        <w:tc>
          <w:tcPr>
            <w:tcW w:w="940" w:type="dxa"/>
            <w:vAlign w:val="bottom"/>
            <w:tcBorders>
              <w:bottom w:val="single" w:sz="8" w:color="DBDBDB"/>
            </w:tcBorders>
          </w:tcPr>
          <w:p>
            <w:pPr>
              <w:spacing w:after="0"/>
              <w:rPr>
                <w:sz w:val="7"/>
                <w:szCs w:val="7"/>
                <w:color w:val="auto"/>
              </w:rPr>
            </w:pPr>
          </w:p>
        </w:tc>
        <w:tc>
          <w:tcPr>
            <w:tcW w:w="1480" w:type="dxa"/>
            <w:vAlign w:val="bottom"/>
            <w:tcBorders>
              <w:bottom w:val="single" w:sz="8" w:color="DBDBDB"/>
            </w:tcBorders>
          </w:tcPr>
          <w:p>
            <w:pPr>
              <w:spacing w:after="0"/>
              <w:rPr>
                <w:sz w:val="7"/>
                <w:szCs w:val="7"/>
                <w:color w:val="auto"/>
              </w:rPr>
            </w:pPr>
          </w:p>
        </w:tc>
        <w:tc>
          <w:tcPr>
            <w:tcW w:w="1340" w:type="dxa"/>
            <w:vAlign w:val="bottom"/>
            <w:tcBorders>
              <w:bottom w:val="single" w:sz="8" w:color="DBDBDB"/>
            </w:tcBorders>
          </w:tcPr>
          <w:p>
            <w:pPr>
              <w:spacing w:after="0"/>
              <w:rPr>
                <w:sz w:val="7"/>
                <w:szCs w:val="7"/>
                <w:color w:val="auto"/>
              </w:rPr>
            </w:pPr>
          </w:p>
        </w:tc>
        <w:tc>
          <w:tcPr>
            <w:tcW w:w="0" w:type="dxa"/>
            <w:vAlign w:val="bottom"/>
          </w:tcPr>
          <w:p>
            <w:pPr>
              <w:spacing w:after="0"/>
              <w:rPr>
                <w:sz w:val="1"/>
                <w:szCs w:val="1"/>
                <w:color w:val="auto"/>
              </w:rPr>
            </w:pPr>
          </w:p>
        </w:tc>
      </w:tr>
      <w:tr>
        <w:trPr>
          <w:trHeight w:val="114"/>
        </w:trPr>
        <w:tc>
          <w:tcPr>
            <w:tcW w:w="920" w:type="dxa"/>
            <w:vAlign w:val="bottom"/>
            <w:vMerge w:val="continue"/>
          </w:tcPr>
          <w:p>
            <w:pPr>
              <w:spacing w:after="0"/>
              <w:rPr>
                <w:sz w:val="9"/>
                <w:szCs w:val="9"/>
                <w:color w:val="auto"/>
              </w:rPr>
            </w:pPr>
          </w:p>
        </w:tc>
        <w:tc>
          <w:tcPr>
            <w:tcW w:w="860" w:type="dxa"/>
            <w:vAlign w:val="bottom"/>
            <w:vMerge w:val="restart"/>
          </w:tcPr>
          <w:p>
            <w:pPr>
              <w:jc w:val="right"/>
              <w:ind w:right="87"/>
              <w:spacing w:after="0"/>
              <w:rPr>
                <w:sz w:val="20"/>
                <w:szCs w:val="20"/>
                <w:color w:val="auto"/>
              </w:rPr>
            </w:pPr>
            <w:r>
              <w:rPr>
                <w:rFonts w:ascii="Arial" w:cs="Arial" w:eastAsia="Arial" w:hAnsi="Arial"/>
                <w:sz w:val="14"/>
                <w:szCs w:val="14"/>
                <w:color w:val="auto"/>
              </w:rPr>
              <w:t>8/4/2023</w:t>
            </w:r>
          </w:p>
        </w:tc>
        <w:tc>
          <w:tcPr>
            <w:tcW w:w="940" w:type="dxa"/>
            <w:vAlign w:val="bottom"/>
            <w:vMerge w:val="restart"/>
          </w:tcPr>
          <w:p>
            <w:pPr>
              <w:jc w:val="center"/>
              <w:spacing w:after="0"/>
              <w:rPr>
                <w:sz w:val="20"/>
                <w:szCs w:val="20"/>
                <w:color w:val="auto"/>
              </w:rPr>
            </w:pPr>
            <w:r>
              <w:rPr>
                <w:rFonts w:ascii="Arial" w:cs="Arial" w:eastAsia="Arial" w:hAnsi="Arial"/>
                <w:sz w:val="14"/>
                <w:szCs w:val="14"/>
                <w:color w:val="auto"/>
                <w:w w:val="84"/>
              </w:rPr>
              <w:t>-</w:t>
            </w:r>
          </w:p>
        </w:tc>
        <w:tc>
          <w:tcPr>
            <w:tcW w:w="960" w:type="dxa"/>
            <w:vAlign w:val="bottom"/>
            <w:vMerge w:val="restart"/>
          </w:tcPr>
          <w:p>
            <w:pPr>
              <w:jc w:val="center"/>
              <w:spacing w:after="0"/>
              <w:rPr>
                <w:sz w:val="20"/>
                <w:szCs w:val="20"/>
                <w:color w:val="auto"/>
              </w:rPr>
            </w:pPr>
            <w:r>
              <w:rPr>
                <w:rFonts w:ascii="Arial" w:cs="Arial" w:eastAsia="Arial" w:hAnsi="Arial"/>
                <w:sz w:val="14"/>
                <w:szCs w:val="14"/>
                <w:color w:val="auto"/>
              </w:rPr>
              <w:t>-</w:t>
            </w:r>
          </w:p>
        </w:tc>
        <w:tc>
          <w:tcPr>
            <w:tcW w:w="960" w:type="dxa"/>
            <w:vAlign w:val="bottom"/>
            <w:vMerge w:val="restart"/>
          </w:tcPr>
          <w:p>
            <w:pPr>
              <w:jc w:val="right"/>
              <w:ind w:right="388"/>
              <w:spacing w:after="0"/>
              <w:rPr>
                <w:sz w:val="20"/>
                <w:szCs w:val="20"/>
                <w:color w:val="auto"/>
              </w:rPr>
            </w:pPr>
            <w:r>
              <w:rPr>
                <w:rFonts w:ascii="Arial" w:cs="Arial" w:eastAsia="Arial" w:hAnsi="Arial"/>
                <w:sz w:val="14"/>
                <w:szCs w:val="14"/>
                <w:color w:val="auto"/>
              </w:rPr>
              <w:t>-</w:t>
            </w:r>
          </w:p>
        </w:tc>
        <w:tc>
          <w:tcPr>
            <w:tcW w:w="1040" w:type="dxa"/>
            <w:vAlign w:val="bottom"/>
            <w:vMerge w:val="restart"/>
          </w:tcPr>
          <w:p>
            <w:pPr>
              <w:jc w:val="right"/>
              <w:ind w:right="28"/>
              <w:spacing w:after="0"/>
              <w:rPr>
                <w:sz w:val="20"/>
                <w:szCs w:val="20"/>
                <w:color w:val="auto"/>
              </w:rPr>
            </w:pPr>
            <w:r>
              <w:rPr>
                <w:rFonts w:ascii="Arial" w:cs="Arial" w:eastAsia="Arial" w:hAnsi="Arial"/>
                <w:sz w:val="14"/>
                <w:szCs w:val="14"/>
                <w:color w:val="auto"/>
              </w:rPr>
              <w:t>812</w:t>
            </w:r>
          </w:p>
        </w:tc>
        <w:tc>
          <w:tcPr>
            <w:tcW w:w="900" w:type="dxa"/>
            <w:vAlign w:val="bottom"/>
            <w:vMerge w:val="restart"/>
          </w:tcPr>
          <w:p>
            <w:pPr>
              <w:jc w:val="right"/>
              <w:spacing w:after="0"/>
              <w:rPr>
                <w:sz w:val="20"/>
                <w:szCs w:val="20"/>
                <w:color w:val="auto"/>
              </w:rPr>
            </w:pPr>
            <w:r>
              <w:rPr>
                <w:rFonts w:ascii="Arial" w:cs="Arial" w:eastAsia="Arial" w:hAnsi="Arial"/>
                <w:sz w:val="14"/>
                <w:szCs w:val="14"/>
                <w:color w:val="auto"/>
              </w:rPr>
              <w:t>3,247</w:t>
            </w:r>
          </w:p>
        </w:tc>
        <w:tc>
          <w:tcPr>
            <w:tcW w:w="940" w:type="dxa"/>
            <w:vAlign w:val="bottom"/>
            <w:vMerge w:val="restart"/>
          </w:tcPr>
          <w:p>
            <w:pPr>
              <w:jc w:val="right"/>
              <w:spacing w:after="0"/>
              <w:rPr>
                <w:sz w:val="20"/>
                <w:szCs w:val="20"/>
                <w:color w:val="auto"/>
              </w:rPr>
            </w:pPr>
            <w:r>
              <w:rPr>
                <w:rFonts w:ascii="Arial" w:cs="Arial" w:eastAsia="Arial" w:hAnsi="Arial"/>
                <w:sz w:val="14"/>
                <w:szCs w:val="14"/>
                <w:color w:val="auto"/>
              </w:rPr>
              <w:t>6,494</w:t>
            </w:r>
          </w:p>
        </w:tc>
        <w:tc>
          <w:tcPr>
            <w:tcW w:w="1480" w:type="dxa"/>
            <w:vAlign w:val="bottom"/>
            <w:vMerge w:val="restart"/>
          </w:tcPr>
          <w:p>
            <w:pPr>
              <w:jc w:val="center"/>
              <w:ind w:right="7"/>
              <w:spacing w:after="0"/>
              <w:rPr>
                <w:sz w:val="20"/>
                <w:szCs w:val="20"/>
                <w:color w:val="auto"/>
              </w:rPr>
            </w:pPr>
            <w:r>
              <w:rPr>
                <w:rFonts w:ascii="Arial" w:cs="Arial" w:eastAsia="Arial" w:hAnsi="Arial"/>
                <w:sz w:val="14"/>
                <w:szCs w:val="14"/>
                <w:color w:val="auto"/>
                <w:w w:val="84"/>
              </w:rPr>
              <w:t>-</w:t>
            </w:r>
          </w:p>
        </w:tc>
        <w:tc>
          <w:tcPr>
            <w:tcW w:w="1340" w:type="dxa"/>
            <w:vAlign w:val="bottom"/>
            <w:vMerge w:val="restart"/>
          </w:tcPr>
          <w:p>
            <w:pPr>
              <w:jc w:val="right"/>
              <w:spacing w:after="0"/>
              <w:rPr>
                <w:sz w:val="20"/>
                <w:szCs w:val="20"/>
                <w:color w:val="auto"/>
              </w:rPr>
            </w:pPr>
            <w:r>
              <w:rPr>
                <w:rFonts w:ascii="Arial" w:cs="Arial" w:eastAsia="Arial" w:hAnsi="Arial"/>
                <w:sz w:val="14"/>
                <w:szCs w:val="14"/>
                <w:color w:val="auto"/>
              </w:rPr>
              <w:t>725,153</w:t>
            </w:r>
          </w:p>
        </w:tc>
        <w:tc>
          <w:tcPr>
            <w:tcW w:w="0" w:type="dxa"/>
            <w:vAlign w:val="bottom"/>
          </w:tcPr>
          <w:p>
            <w:pPr>
              <w:spacing w:after="0"/>
              <w:rPr>
                <w:sz w:val="1"/>
                <w:szCs w:val="1"/>
                <w:color w:val="auto"/>
              </w:rPr>
            </w:pPr>
          </w:p>
        </w:tc>
      </w:tr>
      <w:tr>
        <w:trPr>
          <w:trHeight w:val="101"/>
        </w:trPr>
        <w:tc>
          <w:tcPr>
            <w:tcW w:w="920" w:type="dxa"/>
            <w:vAlign w:val="bottom"/>
          </w:tcPr>
          <w:p>
            <w:pPr>
              <w:spacing w:after="0"/>
              <w:rPr>
                <w:sz w:val="8"/>
                <w:szCs w:val="8"/>
                <w:color w:val="auto"/>
              </w:rPr>
            </w:pPr>
          </w:p>
        </w:tc>
        <w:tc>
          <w:tcPr>
            <w:tcW w:w="860" w:type="dxa"/>
            <w:vAlign w:val="bottom"/>
            <w:vMerge w:val="continue"/>
          </w:tcPr>
          <w:p>
            <w:pPr>
              <w:spacing w:after="0"/>
              <w:rPr>
                <w:sz w:val="8"/>
                <w:szCs w:val="8"/>
                <w:color w:val="auto"/>
              </w:rPr>
            </w:pPr>
          </w:p>
        </w:tc>
        <w:tc>
          <w:tcPr>
            <w:tcW w:w="940" w:type="dxa"/>
            <w:vAlign w:val="bottom"/>
            <w:vMerge w:val="continue"/>
          </w:tcPr>
          <w:p>
            <w:pPr>
              <w:spacing w:after="0"/>
              <w:rPr>
                <w:sz w:val="8"/>
                <w:szCs w:val="8"/>
                <w:color w:val="auto"/>
              </w:rPr>
            </w:pPr>
          </w:p>
        </w:tc>
        <w:tc>
          <w:tcPr>
            <w:tcW w:w="960" w:type="dxa"/>
            <w:vAlign w:val="bottom"/>
            <w:vMerge w:val="continue"/>
          </w:tcPr>
          <w:p>
            <w:pPr>
              <w:spacing w:after="0"/>
              <w:rPr>
                <w:sz w:val="8"/>
                <w:szCs w:val="8"/>
                <w:color w:val="auto"/>
              </w:rPr>
            </w:pPr>
          </w:p>
        </w:tc>
        <w:tc>
          <w:tcPr>
            <w:tcW w:w="960" w:type="dxa"/>
            <w:vAlign w:val="bottom"/>
            <w:vMerge w:val="continue"/>
          </w:tcPr>
          <w:p>
            <w:pPr>
              <w:spacing w:after="0"/>
              <w:rPr>
                <w:sz w:val="8"/>
                <w:szCs w:val="8"/>
                <w:color w:val="auto"/>
              </w:rPr>
            </w:pPr>
          </w:p>
        </w:tc>
        <w:tc>
          <w:tcPr>
            <w:tcW w:w="1040" w:type="dxa"/>
            <w:vAlign w:val="bottom"/>
            <w:vMerge w:val="continue"/>
          </w:tcPr>
          <w:p>
            <w:pPr>
              <w:spacing w:after="0"/>
              <w:rPr>
                <w:sz w:val="8"/>
                <w:szCs w:val="8"/>
                <w:color w:val="auto"/>
              </w:rPr>
            </w:pPr>
          </w:p>
        </w:tc>
        <w:tc>
          <w:tcPr>
            <w:tcW w:w="900" w:type="dxa"/>
            <w:vAlign w:val="bottom"/>
            <w:vMerge w:val="continue"/>
          </w:tcPr>
          <w:p>
            <w:pPr>
              <w:spacing w:after="0"/>
              <w:rPr>
                <w:sz w:val="8"/>
                <w:szCs w:val="8"/>
                <w:color w:val="auto"/>
              </w:rPr>
            </w:pPr>
          </w:p>
        </w:tc>
        <w:tc>
          <w:tcPr>
            <w:tcW w:w="940" w:type="dxa"/>
            <w:vAlign w:val="bottom"/>
            <w:vMerge w:val="continue"/>
          </w:tcPr>
          <w:p>
            <w:pPr>
              <w:spacing w:after="0"/>
              <w:rPr>
                <w:sz w:val="8"/>
                <w:szCs w:val="8"/>
                <w:color w:val="auto"/>
              </w:rPr>
            </w:pPr>
          </w:p>
        </w:tc>
        <w:tc>
          <w:tcPr>
            <w:tcW w:w="1480" w:type="dxa"/>
            <w:vAlign w:val="bottom"/>
            <w:vMerge w:val="continue"/>
          </w:tcPr>
          <w:p>
            <w:pPr>
              <w:spacing w:after="0"/>
              <w:rPr>
                <w:sz w:val="8"/>
                <w:szCs w:val="8"/>
                <w:color w:val="auto"/>
              </w:rPr>
            </w:pPr>
          </w:p>
        </w:tc>
        <w:tc>
          <w:tcPr>
            <w:tcW w:w="13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35"/>
        </w:trPr>
        <w:tc>
          <w:tcPr>
            <w:tcW w:w="920" w:type="dxa"/>
            <w:vAlign w:val="bottom"/>
          </w:tcPr>
          <w:p>
            <w:pPr>
              <w:spacing w:after="0"/>
              <w:rPr>
                <w:sz w:val="3"/>
                <w:szCs w:val="3"/>
                <w:color w:val="auto"/>
              </w:rPr>
            </w:pPr>
          </w:p>
        </w:tc>
        <w:tc>
          <w:tcPr>
            <w:tcW w:w="860" w:type="dxa"/>
            <w:vAlign w:val="bottom"/>
            <w:tcBorders>
              <w:bottom w:val="single" w:sz="8" w:color="DBDBDB"/>
            </w:tcBorders>
          </w:tcPr>
          <w:p>
            <w:pPr>
              <w:spacing w:after="0"/>
              <w:rPr>
                <w:sz w:val="3"/>
                <w:szCs w:val="3"/>
                <w:color w:val="auto"/>
              </w:rPr>
            </w:pPr>
          </w:p>
        </w:tc>
        <w:tc>
          <w:tcPr>
            <w:tcW w:w="940" w:type="dxa"/>
            <w:vAlign w:val="bottom"/>
            <w:tcBorders>
              <w:bottom w:val="single" w:sz="8" w:color="DBDBDB"/>
            </w:tcBorders>
          </w:tcPr>
          <w:p>
            <w:pPr>
              <w:spacing w:after="0"/>
              <w:rPr>
                <w:sz w:val="3"/>
                <w:szCs w:val="3"/>
                <w:color w:val="auto"/>
              </w:rPr>
            </w:pPr>
          </w:p>
        </w:tc>
        <w:tc>
          <w:tcPr>
            <w:tcW w:w="960" w:type="dxa"/>
            <w:vAlign w:val="bottom"/>
            <w:tcBorders>
              <w:bottom w:val="single" w:sz="8" w:color="DBDBDB"/>
            </w:tcBorders>
          </w:tcPr>
          <w:p>
            <w:pPr>
              <w:spacing w:after="0"/>
              <w:rPr>
                <w:sz w:val="3"/>
                <w:szCs w:val="3"/>
                <w:color w:val="auto"/>
              </w:rPr>
            </w:pPr>
          </w:p>
        </w:tc>
        <w:tc>
          <w:tcPr>
            <w:tcW w:w="960" w:type="dxa"/>
            <w:vAlign w:val="bottom"/>
            <w:tcBorders>
              <w:bottom w:val="single" w:sz="8" w:color="DBDBDB"/>
            </w:tcBorders>
          </w:tcPr>
          <w:p>
            <w:pPr>
              <w:spacing w:after="0"/>
              <w:rPr>
                <w:sz w:val="3"/>
                <w:szCs w:val="3"/>
                <w:color w:val="auto"/>
              </w:rPr>
            </w:pPr>
          </w:p>
        </w:tc>
        <w:tc>
          <w:tcPr>
            <w:tcW w:w="1040" w:type="dxa"/>
            <w:vAlign w:val="bottom"/>
            <w:tcBorders>
              <w:bottom w:val="single" w:sz="8" w:color="DBDBDB"/>
            </w:tcBorders>
          </w:tcPr>
          <w:p>
            <w:pPr>
              <w:spacing w:after="0"/>
              <w:rPr>
                <w:sz w:val="3"/>
                <w:szCs w:val="3"/>
                <w:color w:val="auto"/>
              </w:rPr>
            </w:pPr>
          </w:p>
        </w:tc>
        <w:tc>
          <w:tcPr>
            <w:tcW w:w="900" w:type="dxa"/>
            <w:vAlign w:val="bottom"/>
            <w:tcBorders>
              <w:bottom w:val="single" w:sz="8" w:color="DBDBDB"/>
            </w:tcBorders>
          </w:tcPr>
          <w:p>
            <w:pPr>
              <w:spacing w:after="0"/>
              <w:rPr>
                <w:sz w:val="3"/>
                <w:szCs w:val="3"/>
                <w:color w:val="auto"/>
              </w:rPr>
            </w:pPr>
          </w:p>
        </w:tc>
        <w:tc>
          <w:tcPr>
            <w:tcW w:w="940" w:type="dxa"/>
            <w:vAlign w:val="bottom"/>
            <w:tcBorders>
              <w:bottom w:val="single" w:sz="8" w:color="DBDBDB"/>
            </w:tcBorders>
          </w:tcPr>
          <w:p>
            <w:pPr>
              <w:spacing w:after="0"/>
              <w:rPr>
                <w:sz w:val="3"/>
                <w:szCs w:val="3"/>
                <w:color w:val="auto"/>
              </w:rPr>
            </w:pPr>
          </w:p>
        </w:tc>
        <w:tc>
          <w:tcPr>
            <w:tcW w:w="1480" w:type="dxa"/>
            <w:vAlign w:val="bottom"/>
            <w:tcBorders>
              <w:bottom w:val="single" w:sz="8" w:color="DBDBDB"/>
            </w:tcBorders>
          </w:tcPr>
          <w:p>
            <w:pPr>
              <w:spacing w:after="0"/>
              <w:rPr>
                <w:sz w:val="3"/>
                <w:szCs w:val="3"/>
                <w:color w:val="auto"/>
              </w:rPr>
            </w:pPr>
          </w:p>
        </w:tc>
        <w:tc>
          <w:tcPr>
            <w:tcW w:w="1340" w:type="dxa"/>
            <w:vAlign w:val="bottom"/>
            <w:tcBorders>
              <w:bottom w:val="single" w:sz="8" w:color="DBDBDB"/>
            </w:tcBorders>
          </w:tcPr>
          <w:p>
            <w:pPr>
              <w:spacing w:after="0"/>
              <w:rPr>
                <w:sz w:val="3"/>
                <w:szCs w:val="3"/>
                <w:color w:val="auto"/>
              </w:rPr>
            </w:pPr>
          </w:p>
        </w:tc>
        <w:tc>
          <w:tcPr>
            <w:tcW w:w="0" w:type="dxa"/>
            <w:vAlign w:val="bottom"/>
          </w:tcPr>
          <w:p>
            <w:pPr>
              <w:spacing w:after="0"/>
              <w:rPr>
                <w:sz w:val="1"/>
                <w:szCs w:val="1"/>
                <w:color w:val="auto"/>
              </w:rPr>
            </w:pPr>
          </w:p>
        </w:tc>
      </w:tr>
      <w:tr>
        <w:trPr>
          <w:trHeight w:val="215"/>
        </w:trPr>
        <w:tc>
          <w:tcPr>
            <w:tcW w:w="920" w:type="dxa"/>
            <w:vAlign w:val="bottom"/>
          </w:tcPr>
          <w:p>
            <w:pPr>
              <w:spacing w:after="0"/>
              <w:rPr>
                <w:sz w:val="18"/>
                <w:szCs w:val="18"/>
                <w:color w:val="auto"/>
              </w:rPr>
            </w:pPr>
          </w:p>
        </w:tc>
        <w:tc>
          <w:tcPr>
            <w:tcW w:w="860" w:type="dxa"/>
            <w:vAlign w:val="bottom"/>
          </w:tcPr>
          <w:p>
            <w:pPr>
              <w:jc w:val="right"/>
              <w:ind w:right="87"/>
              <w:spacing w:after="0"/>
              <w:rPr>
                <w:sz w:val="20"/>
                <w:szCs w:val="20"/>
                <w:color w:val="auto"/>
              </w:rPr>
            </w:pPr>
            <w:r>
              <w:rPr>
                <w:rFonts w:ascii="Arial" w:cs="Arial" w:eastAsia="Arial" w:hAnsi="Arial"/>
                <w:sz w:val="14"/>
                <w:szCs w:val="14"/>
                <w:color w:val="auto"/>
              </w:rPr>
              <w:t>8/4/2023</w:t>
            </w:r>
          </w:p>
        </w:tc>
        <w:tc>
          <w:tcPr>
            <w:tcW w:w="940" w:type="dxa"/>
            <w:vAlign w:val="bottom"/>
          </w:tcPr>
          <w:p>
            <w:pPr>
              <w:jc w:val="center"/>
              <w:spacing w:after="0"/>
              <w:rPr>
                <w:sz w:val="20"/>
                <w:szCs w:val="20"/>
                <w:color w:val="auto"/>
              </w:rPr>
            </w:pPr>
            <w:r>
              <w:rPr>
                <w:rFonts w:ascii="Arial" w:cs="Arial" w:eastAsia="Arial" w:hAnsi="Arial"/>
                <w:sz w:val="14"/>
                <w:szCs w:val="14"/>
                <w:color w:val="auto"/>
                <w:w w:val="84"/>
              </w:rPr>
              <w:t>-</w:t>
            </w:r>
          </w:p>
        </w:tc>
        <w:tc>
          <w:tcPr>
            <w:tcW w:w="960" w:type="dxa"/>
            <w:vAlign w:val="bottom"/>
          </w:tcPr>
          <w:p>
            <w:pPr>
              <w:jc w:val="center"/>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388"/>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541</w:t>
            </w:r>
          </w:p>
        </w:tc>
        <w:tc>
          <w:tcPr>
            <w:tcW w:w="900" w:type="dxa"/>
            <w:vAlign w:val="bottom"/>
          </w:tcPr>
          <w:p>
            <w:pPr>
              <w:jc w:val="right"/>
              <w:spacing w:after="0"/>
              <w:rPr>
                <w:sz w:val="20"/>
                <w:szCs w:val="20"/>
                <w:color w:val="auto"/>
              </w:rPr>
            </w:pPr>
            <w:r>
              <w:rPr>
                <w:rFonts w:ascii="Arial" w:cs="Arial" w:eastAsia="Arial" w:hAnsi="Arial"/>
                <w:sz w:val="14"/>
                <w:szCs w:val="14"/>
                <w:color w:val="auto"/>
              </w:rPr>
              <w:t>1,082</w:t>
            </w:r>
          </w:p>
        </w:tc>
        <w:tc>
          <w:tcPr>
            <w:tcW w:w="940" w:type="dxa"/>
            <w:vAlign w:val="bottom"/>
          </w:tcPr>
          <w:p>
            <w:pPr>
              <w:jc w:val="right"/>
              <w:spacing w:after="0"/>
              <w:rPr>
                <w:sz w:val="20"/>
                <w:szCs w:val="20"/>
                <w:color w:val="auto"/>
              </w:rPr>
            </w:pPr>
            <w:r>
              <w:rPr>
                <w:rFonts w:ascii="Arial" w:cs="Arial" w:eastAsia="Arial" w:hAnsi="Arial"/>
                <w:sz w:val="14"/>
                <w:szCs w:val="14"/>
                <w:color w:val="auto"/>
              </w:rPr>
              <w:t>2,164</w:t>
            </w:r>
          </w:p>
        </w:tc>
        <w:tc>
          <w:tcPr>
            <w:tcW w:w="1480" w:type="dxa"/>
            <w:vAlign w:val="bottom"/>
          </w:tcPr>
          <w:p>
            <w:pPr>
              <w:jc w:val="center"/>
              <w:ind w:right="7"/>
              <w:spacing w:after="0"/>
              <w:rPr>
                <w:sz w:val="20"/>
                <w:szCs w:val="20"/>
                <w:color w:val="auto"/>
              </w:rPr>
            </w:pPr>
            <w:r>
              <w:rPr>
                <w:rFonts w:ascii="Arial" w:cs="Arial" w:eastAsia="Arial" w:hAnsi="Arial"/>
                <w:sz w:val="14"/>
                <w:szCs w:val="14"/>
                <w:color w:val="auto"/>
                <w:w w:val="84"/>
              </w:rPr>
              <w:t>-</w:t>
            </w:r>
          </w:p>
        </w:tc>
        <w:tc>
          <w:tcPr>
            <w:tcW w:w="1340" w:type="dxa"/>
            <w:vAlign w:val="bottom"/>
          </w:tcPr>
          <w:p>
            <w:pPr>
              <w:jc w:val="right"/>
              <w:spacing w:after="0"/>
              <w:rPr>
                <w:sz w:val="20"/>
                <w:szCs w:val="20"/>
                <w:color w:val="auto"/>
              </w:rPr>
            </w:pPr>
            <w:r>
              <w:rPr>
                <w:rFonts w:ascii="Arial" w:cs="Arial" w:eastAsia="Arial" w:hAnsi="Arial"/>
                <w:sz w:val="14"/>
                <w:szCs w:val="14"/>
                <w:color w:val="auto"/>
              </w:rPr>
              <w:t>178,389</w:t>
            </w:r>
          </w:p>
        </w:tc>
        <w:tc>
          <w:tcPr>
            <w:tcW w:w="0" w:type="dxa"/>
            <w:vAlign w:val="bottom"/>
          </w:tcPr>
          <w:p>
            <w:pPr>
              <w:spacing w:after="0"/>
              <w:rPr>
                <w:sz w:val="1"/>
                <w:szCs w:val="1"/>
                <w:color w:val="auto"/>
              </w:rPr>
            </w:pPr>
          </w:p>
        </w:tc>
      </w:tr>
      <w:tr>
        <w:trPr>
          <w:trHeight w:val="35"/>
        </w:trPr>
        <w:tc>
          <w:tcPr>
            <w:tcW w:w="920" w:type="dxa"/>
            <w:vAlign w:val="bottom"/>
          </w:tcPr>
          <w:p>
            <w:pPr>
              <w:spacing w:after="0"/>
              <w:rPr>
                <w:sz w:val="3"/>
                <w:szCs w:val="3"/>
                <w:color w:val="auto"/>
              </w:rPr>
            </w:pPr>
          </w:p>
        </w:tc>
        <w:tc>
          <w:tcPr>
            <w:tcW w:w="860" w:type="dxa"/>
            <w:vAlign w:val="bottom"/>
            <w:tcBorders>
              <w:bottom w:val="single" w:sz="8" w:color="DBDBDB"/>
            </w:tcBorders>
          </w:tcPr>
          <w:p>
            <w:pPr>
              <w:spacing w:after="0"/>
              <w:rPr>
                <w:sz w:val="3"/>
                <w:szCs w:val="3"/>
                <w:color w:val="auto"/>
              </w:rPr>
            </w:pPr>
          </w:p>
        </w:tc>
        <w:tc>
          <w:tcPr>
            <w:tcW w:w="940" w:type="dxa"/>
            <w:vAlign w:val="bottom"/>
            <w:tcBorders>
              <w:bottom w:val="single" w:sz="8" w:color="DBDBDB"/>
            </w:tcBorders>
          </w:tcPr>
          <w:p>
            <w:pPr>
              <w:spacing w:after="0"/>
              <w:rPr>
                <w:sz w:val="3"/>
                <w:szCs w:val="3"/>
                <w:color w:val="auto"/>
              </w:rPr>
            </w:pPr>
          </w:p>
        </w:tc>
        <w:tc>
          <w:tcPr>
            <w:tcW w:w="960" w:type="dxa"/>
            <w:vAlign w:val="bottom"/>
            <w:tcBorders>
              <w:bottom w:val="single" w:sz="8" w:color="DBDBDB"/>
            </w:tcBorders>
          </w:tcPr>
          <w:p>
            <w:pPr>
              <w:spacing w:after="0"/>
              <w:rPr>
                <w:sz w:val="3"/>
                <w:szCs w:val="3"/>
                <w:color w:val="auto"/>
              </w:rPr>
            </w:pPr>
          </w:p>
        </w:tc>
        <w:tc>
          <w:tcPr>
            <w:tcW w:w="960" w:type="dxa"/>
            <w:vAlign w:val="bottom"/>
            <w:tcBorders>
              <w:bottom w:val="single" w:sz="8" w:color="DBDBDB"/>
            </w:tcBorders>
          </w:tcPr>
          <w:p>
            <w:pPr>
              <w:spacing w:after="0"/>
              <w:rPr>
                <w:sz w:val="3"/>
                <w:szCs w:val="3"/>
                <w:color w:val="auto"/>
              </w:rPr>
            </w:pPr>
          </w:p>
        </w:tc>
        <w:tc>
          <w:tcPr>
            <w:tcW w:w="1040" w:type="dxa"/>
            <w:vAlign w:val="bottom"/>
            <w:tcBorders>
              <w:bottom w:val="single" w:sz="8" w:color="DBDBDB"/>
            </w:tcBorders>
          </w:tcPr>
          <w:p>
            <w:pPr>
              <w:spacing w:after="0"/>
              <w:rPr>
                <w:sz w:val="3"/>
                <w:szCs w:val="3"/>
                <w:color w:val="auto"/>
              </w:rPr>
            </w:pPr>
          </w:p>
        </w:tc>
        <w:tc>
          <w:tcPr>
            <w:tcW w:w="900" w:type="dxa"/>
            <w:vAlign w:val="bottom"/>
            <w:tcBorders>
              <w:bottom w:val="single" w:sz="8" w:color="DBDBDB"/>
            </w:tcBorders>
          </w:tcPr>
          <w:p>
            <w:pPr>
              <w:spacing w:after="0"/>
              <w:rPr>
                <w:sz w:val="3"/>
                <w:szCs w:val="3"/>
                <w:color w:val="auto"/>
              </w:rPr>
            </w:pPr>
          </w:p>
        </w:tc>
        <w:tc>
          <w:tcPr>
            <w:tcW w:w="940" w:type="dxa"/>
            <w:vAlign w:val="bottom"/>
            <w:tcBorders>
              <w:bottom w:val="single" w:sz="8" w:color="DBDBDB"/>
            </w:tcBorders>
          </w:tcPr>
          <w:p>
            <w:pPr>
              <w:spacing w:after="0"/>
              <w:rPr>
                <w:sz w:val="3"/>
                <w:szCs w:val="3"/>
                <w:color w:val="auto"/>
              </w:rPr>
            </w:pPr>
          </w:p>
        </w:tc>
        <w:tc>
          <w:tcPr>
            <w:tcW w:w="1480" w:type="dxa"/>
            <w:vAlign w:val="bottom"/>
            <w:tcBorders>
              <w:bottom w:val="single" w:sz="8" w:color="DBDBDB"/>
            </w:tcBorders>
          </w:tcPr>
          <w:p>
            <w:pPr>
              <w:spacing w:after="0"/>
              <w:rPr>
                <w:sz w:val="3"/>
                <w:szCs w:val="3"/>
                <w:color w:val="auto"/>
              </w:rPr>
            </w:pPr>
          </w:p>
        </w:tc>
        <w:tc>
          <w:tcPr>
            <w:tcW w:w="1340" w:type="dxa"/>
            <w:vAlign w:val="bottom"/>
            <w:tcBorders>
              <w:bottom w:val="single" w:sz="8" w:color="DBDBDB"/>
            </w:tcBorders>
          </w:tcPr>
          <w:p>
            <w:pPr>
              <w:spacing w:after="0"/>
              <w:rPr>
                <w:sz w:val="3"/>
                <w:szCs w:val="3"/>
                <w:color w:val="auto"/>
              </w:rPr>
            </w:pPr>
          </w:p>
        </w:tc>
        <w:tc>
          <w:tcPr>
            <w:tcW w:w="0" w:type="dxa"/>
            <w:vAlign w:val="bottom"/>
          </w:tcPr>
          <w:p>
            <w:pPr>
              <w:spacing w:after="0"/>
              <w:rPr>
                <w:sz w:val="1"/>
                <w:szCs w:val="1"/>
                <w:color w:val="auto"/>
              </w:rPr>
            </w:pPr>
          </w:p>
        </w:tc>
      </w:tr>
      <w:tr>
        <w:trPr>
          <w:trHeight w:val="215"/>
        </w:trPr>
        <w:tc>
          <w:tcPr>
            <w:tcW w:w="920" w:type="dxa"/>
            <w:vAlign w:val="bottom"/>
          </w:tcPr>
          <w:p>
            <w:pPr>
              <w:spacing w:after="0"/>
              <w:rPr>
                <w:sz w:val="18"/>
                <w:szCs w:val="18"/>
                <w:color w:val="auto"/>
              </w:rPr>
            </w:pPr>
          </w:p>
        </w:tc>
        <w:tc>
          <w:tcPr>
            <w:tcW w:w="860" w:type="dxa"/>
            <w:vAlign w:val="bottom"/>
          </w:tcPr>
          <w:p>
            <w:pPr>
              <w:jc w:val="right"/>
              <w:ind w:right="87"/>
              <w:spacing w:after="0"/>
              <w:rPr>
                <w:sz w:val="20"/>
                <w:szCs w:val="20"/>
                <w:color w:val="auto"/>
              </w:rPr>
            </w:pPr>
            <w:r>
              <w:rPr>
                <w:rFonts w:ascii="Arial" w:cs="Arial" w:eastAsia="Arial" w:hAnsi="Arial"/>
                <w:sz w:val="14"/>
                <w:szCs w:val="14"/>
                <w:color w:val="auto"/>
              </w:rPr>
              <w:t>8/4/2023</w:t>
            </w:r>
          </w:p>
        </w:tc>
        <w:tc>
          <w:tcPr>
            <w:tcW w:w="940" w:type="dxa"/>
            <w:vAlign w:val="bottom"/>
          </w:tcPr>
          <w:p>
            <w:pPr>
              <w:jc w:val="center"/>
              <w:spacing w:after="0"/>
              <w:rPr>
                <w:sz w:val="20"/>
                <w:szCs w:val="20"/>
                <w:color w:val="auto"/>
              </w:rPr>
            </w:pPr>
            <w:r>
              <w:rPr>
                <w:rFonts w:ascii="Arial" w:cs="Arial" w:eastAsia="Arial" w:hAnsi="Arial"/>
                <w:sz w:val="14"/>
                <w:szCs w:val="14"/>
                <w:color w:val="auto"/>
                <w:w w:val="84"/>
              </w:rPr>
              <w:t>-</w:t>
            </w:r>
          </w:p>
        </w:tc>
        <w:tc>
          <w:tcPr>
            <w:tcW w:w="960" w:type="dxa"/>
            <w:vAlign w:val="bottom"/>
          </w:tcPr>
          <w:p>
            <w:pPr>
              <w:jc w:val="center"/>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388"/>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541</w:t>
            </w:r>
          </w:p>
        </w:tc>
        <w:tc>
          <w:tcPr>
            <w:tcW w:w="900" w:type="dxa"/>
            <w:vAlign w:val="bottom"/>
          </w:tcPr>
          <w:p>
            <w:pPr>
              <w:jc w:val="right"/>
              <w:spacing w:after="0"/>
              <w:rPr>
                <w:sz w:val="20"/>
                <w:szCs w:val="20"/>
                <w:color w:val="auto"/>
              </w:rPr>
            </w:pPr>
            <w:r>
              <w:rPr>
                <w:rFonts w:ascii="Arial" w:cs="Arial" w:eastAsia="Arial" w:hAnsi="Arial"/>
                <w:sz w:val="14"/>
                <w:szCs w:val="14"/>
                <w:color w:val="auto"/>
              </w:rPr>
              <w:t>1,082</w:t>
            </w:r>
          </w:p>
        </w:tc>
        <w:tc>
          <w:tcPr>
            <w:tcW w:w="940" w:type="dxa"/>
            <w:vAlign w:val="bottom"/>
          </w:tcPr>
          <w:p>
            <w:pPr>
              <w:jc w:val="right"/>
              <w:spacing w:after="0"/>
              <w:rPr>
                <w:sz w:val="20"/>
                <w:szCs w:val="20"/>
                <w:color w:val="auto"/>
              </w:rPr>
            </w:pPr>
            <w:r>
              <w:rPr>
                <w:rFonts w:ascii="Arial" w:cs="Arial" w:eastAsia="Arial" w:hAnsi="Arial"/>
                <w:sz w:val="14"/>
                <w:szCs w:val="14"/>
                <w:color w:val="auto"/>
              </w:rPr>
              <w:t>2,164</w:t>
            </w:r>
          </w:p>
        </w:tc>
        <w:tc>
          <w:tcPr>
            <w:tcW w:w="1480" w:type="dxa"/>
            <w:vAlign w:val="bottom"/>
          </w:tcPr>
          <w:p>
            <w:pPr>
              <w:jc w:val="center"/>
              <w:ind w:right="7"/>
              <w:spacing w:after="0"/>
              <w:rPr>
                <w:sz w:val="20"/>
                <w:szCs w:val="20"/>
                <w:color w:val="auto"/>
              </w:rPr>
            </w:pPr>
            <w:r>
              <w:rPr>
                <w:rFonts w:ascii="Arial" w:cs="Arial" w:eastAsia="Arial" w:hAnsi="Arial"/>
                <w:sz w:val="14"/>
                <w:szCs w:val="14"/>
                <w:color w:val="auto"/>
                <w:w w:val="84"/>
              </w:rPr>
              <w:t>-</w:t>
            </w:r>
          </w:p>
        </w:tc>
        <w:tc>
          <w:tcPr>
            <w:tcW w:w="1340" w:type="dxa"/>
            <w:vAlign w:val="bottom"/>
          </w:tcPr>
          <w:p>
            <w:pPr>
              <w:jc w:val="right"/>
              <w:spacing w:after="0"/>
              <w:rPr>
                <w:sz w:val="20"/>
                <w:szCs w:val="20"/>
                <w:color w:val="auto"/>
              </w:rPr>
            </w:pPr>
            <w:r>
              <w:rPr>
                <w:rFonts w:ascii="Arial" w:cs="Arial" w:eastAsia="Arial" w:hAnsi="Arial"/>
                <w:sz w:val="14"/>
                <w:szCs w:val="14"/>
                <w:color w:val="auto"/>
              </w:rPr>
              <w:t>178,389</w:t>
            </w:r>
          </w:p>
        </w:tc>
        <w:tc>
          <w:tcPr>
            <w:tcW w:w="0" w:type="dxa"/>
            <w:vAlign w:val="bottom"/>
          </w:tcPr>
          <w:p>
            <w:pPr>
              <w:spacing w:after="0"/>
              <w:rPr>
                <w:sz w:val="1"/>
                <w:szCs w:val="1"/>
                <w:color w:val="auto"/>
              </w:rPr>
            </w:pPr>
          </w:p>
        </w:tc>
      </w:tr>
      <w:tr>
        <w:trPr>
          <w:trHeight w:val="35"/>
        </w:trPr>
        <w:tc>
          <w:tcPr>
            <w:tcW w:w="920" w:type="dxa"/>
            <w:vAlign w:val="bottom"/>
          </w:tcPr>
          <w:p>
            <w:pPr>
              <w:spacing w:after="0"/>
              <w:rPr>
                <w:sz w:val="3"/>
                <w:szCs w:val="3"/>
                <w:color w:val="auto"/>
              </w:rPr>
            </w:pPr>
          </w:p>
        </w:tc>
        <w:tc>
          <w:tcPr>
            <w:tcW w:w="860" w:type="dxa"/>
            <w:vAlign w:val="bottom"/>
            <w:tcBorders>
              <w:bottom w:val="single" w:sz="8" w:color="DBDBDB"/>
            </w:tcBorders>
          </w:tcPr>
          <w:p>
            <w:pPr>
              <w:spacing w:after="0"/>
              <w:rPr>
                <w:sz w:val="3"/>
                <w:szCs w:val="3"/>
                <w:color w:val="auto"/>
              </w:rPr>
            </w:pPr>
          </w:p>
        </w:tc>
        <w:tc>
          <w:tcPr>
            <w:tcW w:w="940" w:type="dxa"/>
            <w:vAlign w:val="bottom"/>
            <w:tcBorders>
              <w:bottom w:val="single" w:sz="8" w:color="DBDBDB"/>
            </w:tcBorders>
          </w:tcPr>
          <w:p>
            <w:pPr>
              <w:spacing w:after="0"/>
              <w:rPr>
                <w:sz w:val="3"/>
                <w:szCs w:val="3"/>
                <w:color w:val="auto"/>
              </w:rPr>
            </w:pPr>
          </w:p>
        </w:tc>
        <w:tc>
          <w:tcPr>
            <w:tcW w:w="960" w:type="dxa"/>
            <w:vAlign w:val="bottom"/>
            <w:tcBorders>
              <w:bottom w:val="single" w:sz="8" w:color="DBDBDB"/>
            </w:tcBorders>
          </w:tcPr>
          <w:p>
            <w:pPr>
              <w:spacing w:after="0"/>
              <w:rPr>
                <w:sz w:val="3"/>
                <w:szCs w:val="3"/>
                <w:color w:val="auto"/>
              </w:rPr>
            </w:pPr>
          </w:p>
        </w:tc>
        <w:tc>
          <w:tcPr>
            <w:tcW w:w="960" w:type="dxa"/>
            <w:vAlign w:val="bottom"/>
            <w:tcBorders>
              <w:bottom w:val="single" w:sz="8" w:color="DBDBDB"/>
            </w:tcBorders>
          </w:tcPr>
          <w:p>
            <w:pPr>
              <w:spacing w:after="0"/>
              <w:rPr>
                <w:sz w:val="3"/>
                <w:szCs w:val="3"/>
                <w:color w:val="auto"/>
              </w:rPr>
            </w:pPr>
          </w:p>
        </w:tc>
        <w:tc>
          <w:tcPr>
            <w:tcW w:w="1040" w:type="dxa"/>
            <w:vAlign w:val="bottom"/>
            <w:tcBorders>
              <w:bottom w:val="single" w:sz="8" w:color="DBDBDB"/>
            </w:tcBorders>
          </w:tcPr>
          <w:p>
            <w:pPr>
              <w:spacing w:after="0"/>
              <w:rPr>
                <w:sz w:val="3"/>
                <w:szCs w:val="3"/>
                <w:color w:val="auto"/>
              </w:rPr>
            </w:pPr>
          </w:p>
        </w:tc>
        <w:tc>
          <w:tcPr>
            <w:tcW w:w="900" w:type="dxa"/>
            <w:vAlign w:val="bottom"/>
            <w:tcBorders>
              <w:bottom w:val="single" w:sz="8" w:color="DBDBDB"/>
            </w:tcBorders>
          </w:tcPr>
          <w:p>
            <w:pPr>
              <w:spacing w:after="0"/>
              <w:rPr>
                <w:sz w:val="3"/>
                <w:szCs w:val="3"/>
                <w:color w:val="auto"/>
              </w:rPr>
            </w:pPr>
          </w:p>
        </w:tc>
        <w:tc>
          <w:tcPr>
            <w:tcW w:w="940" w:type="dxa"/>
            <w:vAlign w:val="bottom"/>
            <w:tcBorders>
              <w:bottom w:val="single" w:sz="8" w:color="DBDBDB"/>
            </w:tcBorders>
          </w:tcPr>
          <w:p>
            <w:pPr>
              <w:spacing w:after="0"/>
              <w:rPr>
                <w:sz w:val="3"/>
                <w:szCs w:val="3"/>
                <w:color w:val="auto"/>
              </w:rPr>
            </w:pPr>
          </w:p>
        </w:tc>
        <w:tc>
          <w:tcPr>
            <w:tcW w:w="1480" w:type="dxa"/>
            <w:vAlign w:val="bottom"/>
            <w:tcBorders>
              <w:bottom w:val="single" w:sz="8" w:color="DBDBDB"/>
            </w:tcBorders>
          </w:tcPr>
          <w:p>
            <w:pPr>
              <w:spacing w:after="0"/>
              <w:rPr>
                <w:sz w:val="3"/>
                <w:szCs w:val="3"/>
                <w:color w:val="auto"/>
              </w:rPr>
            </w:pPr>
          </w:p>
        </w:tc>
        <w:tc>
          <w:tcPr>
            <w:tcW w:w="1340" w:type="dxa"/>
            <w:vAlign w:val="bottom"/>
            <w:tcBorders>
              <w:bottom w:val="single" w:sz="8" w:color="DBDBDB"/>
            </w:tcBorders>
          </w:tcPr>
          <w:p>
            <w:pPr>
              <w:spacing w:after="0"/>
              <w:rPr>
                <w:sz w:val="3"/>
                <w:szCs w:val="3"/>
                <w:color w:val="auto"/>
              </w:rPr>
            </w:pPr>
          </w:p>
        </w:tc>
        <w:tc>
          <w:tcPr>
            <w:tcW w:w="0" w:type="dxa"/>
            <w:vAlign w:val="bottom"/>
          </w:tcPr>
          <w:p>
            <w:pPr>
              <w:spacing w:after="0"/>
              <w:rPr>
                <w:sz w:val="1"/>
                <w:szCs w:val="1"/>
                <w:color w:val="auto"/>
              </w:rPr>
            </w:pPr>
          </w:p>
        </w:tc>
      </w:tr>
      <w:tr>
        <w:trPr>
          <w:trHeight w:val="215"/>
        </w:trPr>
        <w:tc>
          <w:tcPr>
            <w:tcW w:w="920" w:type="dxa"/>
            <w:vAlign w:val="bottom"/>
          </w:tcPr>
          <w:p>
            <w:pPr>
              <w:spacing w:after="0"/>
              <w:rPr>
                <w:sz w:val="18"/>
                <w:szCs w:val="18"/>
                <w:color w:val="auto"/>
              </w:rPr>
            </w:pPr>
          </w:p>
        </w:tc>
        <w:tc>
          <w:tcPr>
            <w:tcW w:w="860" w:type="dxa"/>
            <w:vAlign w:val="bottom"/>
          </w:tcPr>
          <w:p>
            <w:pPr>
              <w:jc w:val="right"/>
              <w:ind w:right="87"/>
              <w:spacing w:after="0"/>
              <w:rPr>
                <w:sz w:val="20"/>
                <w:szCs w:val="20"/>
                <w:color w:val="auto"/>
              </w:rPr>
            </w:pPr>
            <w:r>
              <w:rPr>
                <w:rFonts w:ascii="Arial" w:cs="Arial" w:eastAsia="Arial" w:hAnsi="Arial"/>
                <w:sz w:val="14"/>
                <w:szCs w:val="14"/>
                <w:color w:val="auto"/>
              </w:rPr>
              <w:t>8/4/2023</w:t>
            </w:r>
          </w:p>
        </w:tc>
        <w:tc>
          <w:tcPr>
            <w:tcW w:w="940" w:type="dxa"/>
            <w:vAlign w:val="bottom"/>
          </w:tcPr>
          <w:p>
            <w:pPr>
              <w:jc w:val="center"/>
              <w:spacing w:after="0"/>
              <w:rPr>
                <w:sz w:val="20"/>
                <w:szCs w:val="20"/>
                <w:color w:val="auto"/>
              </w:rPr>
            </w:pPr>
            <w:r>
              <w:rPr>
                <w:rFonts w:ascii="Arial" w:cs="Arial" w:eastAsia="Arial" w:hAnsi="Arial"/>
                <w:sz w:val="14"/>
                <w:szCs w:val="14"/>
                <w:color w:val="auto"/>
                <w:w w:val="84"/>
              </w:rPr>
              <w:t>-</w:t>
            </w:r>
          </w:p>
        </w:tc>
        <w:tc>
          <w:tcPr>
            <w:tcW w:w="960" w:type="dxa"/>
            <w:vAlign w:val="bottom"/>
          </w:tcPr>
          <w:p>
            <w:pPr>
              <w:jc w:val="center"/>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388"/>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468"/>
              <w:spacing w:after="0"/>
              <w:rPr>
                <w:sz w:val="20"/>
                <w:szCs w:val="20"/>
                <w:color w:val="auto"/>
              </w:rPr>
            </w:pPr>
            <w:r>
              <w:rPr>
                <w:rFonts w:ascii="Arial" w:cs="Arial" w:eastAsia="Arial" w:hAnsi="Arial"/>
                <w:sz w:val="14"/>
                <w:szCs w:val="14"/>
                <w:color w:val="auto"/>
              </w:rPr>
              <w:t>-</w:t>
            </w:r>
          </w:p>
        </w:tc>
        <w:tc>
          <w:tcPr>
            <w:tcW w:w="900" w:type="dxa"/>
            <w:vAlign w:val="bottom"/>
          </w:tcPr>
          <w:p>
            <w:pPr>
              <w:jc w:val="center"/>
              <w:ind w:right="48"/>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388"/>
              <w:spacing w:after="0"/>
              <w:rPr>
                <w:sz w:val="20"/>
                <w:szCs w:val="20"/>
                <w:color w:val="auto"/>
              </w:rPr>
            </w:pPr>
            <w:r>
              <w:rPr>
                <w:rFonts w:ascii="Arial" w:cs="Arial" w:eastAsia="Arial" w:hAnsi="Arial"/>
                <w:sz w:val="14"/>
                <w:szCs w:val="14"/>
                <w:color w:val="auto"/>
              </w:rPr>
              <w:t>-</w:t>
            </w:r>
          </w:p>
        </w:tc>
        <w:tc>
          <w:tcPr>
            <w:tcW w:w="1480" w:type="dxa"/>
            <w:vAlign w:val="bottom"/>
          </w:tcPr>
          <w:p>
            <w:pPr>
              <w:jc w:val="right"/>
              <w:ind w:right="27"/>
              <w:spacing w:after="0"/>
              <w:rPr>
                <w:sz w:val="20"/>
                <w:szCs w:val="20"/>
                <w:color w:val="auto"/>
              </w:rPr>
            </w:pPr>
            <w:r>
              <w:rPr>
                <w:rFonts w:ascii="Arial" w:cs="Arial" w:eastAsia="Arial" w:hAnsi="Arial"/>
                <w:sz w:val="14"/>
                <w:szCs w:val="14"/>
                <w:color w:val="auto"/>
              </w:rPr>
              <w:t>3,607</w:t>
            </w:r>
          </w:p>
        </w:tc>
        <w:tc>
          <w:tcPr>
            <w:tcW w:w="1340" w:type="dxa"/>
            <w:vAlign w:val="bottom"/>
          </w:tcPr>
          <w:p>
            <w:pPr>
              <w:jc w:val="right"/>
              <w:spacing w:after="0"/>
              <w:rPr>
                <w:sz w:val="20"/>
                <w:szCs w:val="20"/>
                <w:color w:val="auto"/>
              </w:rPr>
            </w:pPr>
            <w:r>
              <w:rPr>
                <w:rFonts w:ascii="Arial" w:cs="Arial" w:eastAsia="Arial" w:hAnsi="Arial"/>
                <w:sz w:val="14"/>
                <w:szCs w:val="14"/>
                <w:color w:val="auto"/>
              </w:rPr>
              <w:t>602,287</w:t>
            </w:r>
          </w:p>
        </w:tc>
        <w:tc>
          <w:tcPr>
            <w:tcW w:w="0" w:type="dxa"/>
            <w:vAlign w:val="bottom"/>
          </w:tcPr>
          <w:p>
            <w:pPr>
              <w:spacing w:after="0"/>
              <w:rPr>
                <w:sz w:val="1"/>
                <w:szCs w:val="1"/>
                <w:color w:val="auto"/>
              </w:rPr>
            </w:pPr>
          </w:p>
        </w:tc>
      </w:tr>
      <w:tr>
        <w:trPr>
          <w:trHeight w:val="35"/>
        </w:trPr>
        <w:tc>
          <w:tcPr>
            <w:tcW w:w="920" w:type="dxa"/>
            <w:vAlign w:val="bottom"/>
            <w:tcBorders>
              <w:bottom w:val="single" w:sz="8" w:color="E7ECF0"/>
            </w:tcBorders>
          </w:tcPr>
          <w:p>
            <w:pPr>
              <w:spacing w:after="0"/>
              <w:rPr>
                <w:sz w:val="3"/>
                <w:szCs w:val="3"/>
                <w:color w:val="auto"/>
              </w:rPr>
            </w:pPr>
          </w:p>
        </w:tc>
        <w:tc>
          <w:tcPr>
            <w:tcW w:w="860" w:type="dxa"/>
            <w:vAlign w:val="bottom"/>
            <w:tcBorders>
              <w:bottom w:val="single" w:sz="8" w:color="E7ECF0"/>
            </w:tcBorders>
          </w:tcPr>
          <w:p>
            <w:pPr>
              <w:spacing w:after="0"/>
              <w:rPr>
                <w:sz w:val="3"/>
                <w:szCs w:val="3"/>
                <w:color w:val="auto"/>
              </w:rPr>
            </w:pPr>
          </w:p>
        </w:tc>
        <w:tc>
          <w:tcPr>
            <w:tcW w:w="940" w:type="dxa"/>
            <w:vAlign w:val="bottom"/>
            <w:tcBorders>
              <w:bottom w:val="single" w:sz="8" w:color="DBDBDB"/>
            </w:tcBorders>
          </w:tcPr>
          <w:p>
            <w:pPr>
              <w:spacing w:after="0"/>
              <w:rPr>
                <w:sz w:val="3"/>
                <w:szCs w:val="3"/>
                <w:color w:val="auto"/>
              </w:rPr>
            </w:pPr>
          </w:p>
        </w:tc>
        <w:tc>
          <w:tcPr>
            <w:tcW w:w="960" w:type="dxa"/>
            <w:vAlign w:val="bottom"/>
            <w:tcBorders>
              <w:bottom w:val="single" w:sz="8" w:color="DBDBDB"/>
            </w:tcBorders>
          </w:tcPr>
          <w:p>
            <w:pPr>
              <w:spacing w:after="0"/>
              <w:rPr>
                <w:sz w:val="3"/>
                <w:szCs w:val="3"/>
                <w:color w:val="auto"/>
              </w:rPr>
            </w:pPr>
          </w:p>
        </w:tc>
        <w:tc>
          <w:tcPr>
            <w:tcW w:w="960" w:type="dxa"/>
            <w:vAlign w:val="bottom"/>
            <w:tcBorders>
              <w:bottom w:val="single" w:sz="8" w:color="DBDBDB"/>
            </w:tcBorders>
          </w:tcPr>
          <w:p>
            <w:pPr>
              <w:spacing w:after="0"/>
              <w:rPr>
                <w:sz w:val="3"/>
                <w:szCs w:val="3"/>
                <w:color w:val="auto"/>
              </w:rPr>
            </w:pPr>
          </w:p>
        </w:tc>
        <w:tc>
          <w:tcPr>
            <w:tcW w:w="1040" w:type="dxa"/>
            <w:vAlign w:val="bottom"/>
            <w:tcBorders>
              <w:bottom w:val="single" w:sz="8" w:color="DBDBDB"/>
            </w:tcBorders>
          </w:tcPr>
          <w:p>
            <w:pPr>
              <w:spacing w:after="0"/>
              <w:rPr>
                <w:sz w:val="3"/>
                <w:szCs w:val="3"/>
                <w:color w:val="auto"/>
              </w:rPr>
            </w:pPr>
          </w:p>
        </w:tc>
        <w:tc>
          <w:tcPr>
            <w:tcW w:w="900" w:type="dxa"/>
            <w:vAlign w:val="bottom"/>
            <w:tcBorders>
              <w:bottom w:val="single" w:sz="8" w:color="DBDBDB"/>
            </w:tcBorders>
          </w:tcPr>
          <w:p>
            <w:pPr>
              <w:spacing w:after="0"/>
              <w:rPr>
                <w:sz w:val="3"/>
                <w:szCs w:val="3"/>
                <w:color w:val="auto"/>
              </w:rPr>
            </w:pPr>
          </w:p>
        </w:tc>
        <w:tc>
          <w:tcPr>
            <w:tcW w:w="940" w:type="dxa"/>
            <w:vAlign w:val="bottom"/>
            <w:tcBorders>
              <w:bottom w:val="single" w:sz="8" w:color="DBDBDB"/>
            </w:tcBorders>
          </w:tcPr>
          <w:p>
            <w:pPr>
              <w:spacing w:after="0"/>
              <w:rPr>
                <w:sz w:val="3"/>
                <w:szCs w:val="3"/>
                <w:color w:val="auto"/>
              </w:rPr>
            </w:pPr>
          </w:p>
        </w:tc>
        <w:tc>
          <w:tcPr>
            <w:tcW w:w="1480" w:type="dxa"/>
            <w:vAlign w:val="bottom"/>
            <w:tcBorders>
              <w:bottom w:val="single" w:sz="8" w:color="DBDBDB"/>
            </w:tcBorders>
          </w:tcPr>
          <w:p>
            <w:pPr>
              <w:spacing w:after="0"/>
              <w:rPr>
                <w:sz w:val="3"/>
                <w:szCs w:val="3"/>
                <w:color w:val="auto"/>
              </w:rPr>
            </w:pPr>
          </w:p>
        </w:tc>
        <w:tc>
          <w:tcPr>
            <w:tcW w:w="1340" w:type="dxa"/>
            <w:vAlign w:val="bottom"/>
            <w:tcBorders>
              <w:bottom w:val="single" w:sz="8" w:color="DBDBDB"/>
            </w:tcBorders>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920" w:type="dxa"/>
            <w:vAlign w:val="bottom"/>
            <w:shd w:val="clear" w:color="auto" w:fill="E7ECF0"/>
          </w:tcPr>
          <w:p>
            <w:pPr>
              <w:spacing w:after="0" w:line="169" w:lineRule="exact"/>
              <w:rPr>
                <w:sz w:val="20"/>
                <w:szCs w:val="20"/>
                <w:color w:val="auto"/>
              </w:rPr>
            </w:pPr>
            <w:r>
              <w:rPr>
                <w:rFonts w:ascii="Arial" w:cs="Arial" w:eastAsia="Arial" w:hAnsi="Arial"/>
                <w:sz w:val="16"/>
                <w:szCs w:val="16"/>
                <w:color w:val="auto"/>
              </w:rPr>
              <w:t>Craig K.</w:t>
            </w:r>
          </w:p>
        </w:tc>
        <w:tc>
          <w:tcPr>
            <w:tcW w:w="860" w:type="dxa"/>
            <w:vAlign w:val="bottom"/>
            <w:shd w:val="clear" w:color="auto" w:fill="E7ECF0"/>
          </w:tcPr>
          <w:p>
            <w:pPr>
              <w:jc w:val="right"/>
              <w:ind w:right="87"/>
              <w:spacing w:after="0"/>
              <w:rPr>
                <w:sz w:val="20"/>
                <w:szCs w:val="20"/>
                <w:color w:val="auto"/>
              </w:rPr>
            </w:pPr>
            <w:r>
              <w:rPr>
                <w:rFonts w:ascii="Arial" w:cs="Arial" w:eastAsia="Arial" w:hAnsi="Arial"/>
                <w:sz w:val="14"/>
                <w:szCs w:val="14"/>
                <w:color w:val="auto"/>
              </w:rPr>
              <w:t>8/4/2023</w:t>
            </w:r>
          </w:p>
        </w:tc>
        <w:tc>
          <w:tcPr>
            <w:tcW w:w="940" w:type="dxa"/>
            <w:vAlign w:val="bottom"/>
            <w:shd w:val="clear" w:color="auto" w:fill="E7ECF0"/>
          </w:tcPr>
          <w:p>
            <w:pPr>
              <w:jc w:val="right"/>
              <w:spacing w:after="0"/>
              <w:rPr>
                <w:sz w:val="20"/>
                <w:szCs w:val="20"/>
                <w:color w:val="auto"/>
              </w:rPr>
            </w:pPr>
            <w:r>
              <w:rPr>
                <w:rFonts w:ascii="Arial" w:cs="Arial" w:eastAsia="Arial" w:hAnsi="Arial"/>
                <w:sz w:val="14"/>
                <w:szCs w:val="14"/>
                <w:color w:val="auto"/>
              </w:rPr>
              <w:t>0</w:t>
            </w:r>
          </w:p>
        </w:tc>
        <w:tc>
          <w:tcPr>
            <w:tcW w:w="960" w:type="dxa"/>
            <w:vAlign w:val="bottom"/>
            <w:shd w:val="clear" w:color="auto" w:fill="E7ECF0"/>
          </w:tcPr>
          <w:p>
            <w:pPr>
              <w:jc w:val="right"/>
              <w:spacing w:after="0"/>
              <w:rPr>
                <w:sz w:val="20"/>
                <w:szCs w:val="20"/>
                <w:color w:val="auto"/>
              </w:rPr>
            </w:pPr>
            <w:r>
              <w:rPr>
                <w:rFonts w:ascii="Arial" w:cs="Arial" w:eastAsia="Arial" w:hAnsi="Arial"/>
                <w:sz w:val="14"/>
                <w:szCs w:val="14"/>
                <w:color w:val="auto"/>
              </w:rPr>
              <w:t>394,740</w:t>
            </w:r>
          </w:p>
        </w:tc>
        <w:tc>
          <w:tcPr>
            <w:tcW w:w="960" w:type="dxa"/>
            <w:vAlign w:val="bottom"/>
            <w:shd w:val="clear" w:color="auto" w:fill="E7ECF0"/>
          </w:tcPr>
          <w:p>
            <w:pPr>
              <w:jc w:val="right"/>
              <w:spacing w:after="0"/>
              <w:rPr>
                <w:sz w:val="20"/>
                <w:szCs w:val="20"/>
                <w:color w:val="auto"/>
              </w:rPr>
            </w:pPr>
            <w:r>
              <w:rPr>
                <w:rFonts w:ascii="Arial" w:cs="Arial" w:eastAsia="Arial" w:hAnsi="Arial"/>
                <w:sz w:val="14"/>
                <w:szCs w:val="14"/>
                <w:color w:val="auto"/>
              </w:rPr>
              <w:t>789,480</w:t>
            </w:r>
          </w:p>
        </w:tc>
        <w:tc>
          <w:tcPr>
            <w:tcW w:w="1040" w:type="dxa"/>
            <w:vAlign w:val="bottom"/>
            <w:shd w:val="clear" w:color="auto" w:fill="E7ECF0"/>
          </w:tcPr>
          <w:p>
            <w:pPr>
              <w:jc w:val="right"/>
              <w:ind w:right="468"/>
              <w:spacing w:after="0"/>
              <w:rPr>
                <w:sz w:val="20"/>
                <w:szCs w:val="20"/>
                <w:color w:val="auto"/>
              </w:rPr>
            </w:pPr>
            <w:r>
              <w:rPr>
                <w:rFonts w:ascii="Arial" w:cs="Arial" w:eastAsia="Arial" w:hAnsi="Arial"/>
                <w:sz w:val="14"/>
                <w:szCs w:val="14"/>
                <w:color w:val="auto"/>
              </w:rPr>
              <w:t>-</w:t>
            </w:r>
          </w:p>
        </w:tc>
        <w:tc>
          <w:tcPr>
            <w:tcW w:w="900" w:type="dxa"/>
            <w:vAlign w:val="bottom"/>
            <w:shd w:val="clear" w:color="auto" w:fill="E7ECF0"/>
          </w:tcPr>
          <w:p>
            <w:pPr>
              <w:jc w:val="center"/>
              <w:ind w:right="48"/>
              <w:spacing w:after="0"/>
              <w:rPr>
                <w:sz w:val="20"/>
                <w:szCs w:val="20"/>
                <w:color w:val="auto"/>
              </w:rPr>
            </w:pPr>
            <w:r>
              <w:rPr>
                <w:rFonts w:ascii="Arial" w:cs="Arial" w:eastAsia="Arial" w:hAnsi="Arial"/>
                <w:sz w:val="14"/>
                <w:szCs w:val="14"/>
                <w:color w:val="auto"/>
              </w:rPr>
              <w:t>-</w:t>
            </w:r>
          </w:p>
        </w:tc>
        <w:tc>
          <w:tcPr>
            <w:tcW w:w="940" w:type="dxa"/>
            <w:vAlign w:val="bottom"/>
            <w:shd w:val="clear" w:color="auto" w:fill="E7ECF0"/>
          </w:tcPr>
          <w:p>
            <w:pPr>
              <w:jc w:val="right"/>
              <w:ind w:right="388"/>
              <w:spacing w:after="0"/>
              <w:rPr>
                <w:sz w:val="20"/>
                <w:szCs w:val="20"/>
                <w:color w:val="auto"/>
              </w:rPr>
            </w:pPr>
            <w:r>
              <w:rPr>
                <w:rFonts w:ascii="Arial" w:cs="Arial" w:eastAsia="Arial" w:hAnsi="Arial"/>
                <w:sz w:val="14"/>
                <w:szCs w:val="14"/>
                <w:color w:val="auto"/>
              </w:rPr>
              <w:t>-</w:t>
            </w:r>
          </w:p>
        </w:tc>
        <w:tc>
          <w:tcPr>
            <w:tcW w:w="1480" w:type="dxa"/>
            <w:vAlign w:val="bottom"/>
            <w:shd w:val="clear" w:color="auto" w:fill="E7ECF0"/>
          </w:tcPr>
          <w:p>
            <w:pPr>
              <w:jc w:val="center"/>
              <w:ind w:right="7"/>
              <w:spacing w:after="0"/>
              <w:rPr>
                <w:sz w:val="20"/>
                <w:szCs w:val="20"/>
                <w:color w:val="auto"/>
              </w:rPr>
            </w:pPr>
            <w:r>
              <w:rPr>
                <w:rFonts w:ascii="Arial" w:cs="Arial" w:eastAsia="Arial" w:hAnsi="Arial"/>
                <w:sz w:val="14"/>
                <w:szCs w:val="14"/>
                <w:color w:val="auto"/>
                <w:w w:val="84"/>
              </w:rPr>
              <w:t>-</w:t>
            </w:r>
          </w:p>
        </w:tc>
        <w:tc>
          <w:tcPr>
            <w:tcW w:w="1340" w:type="dxa"/>
            <w:vAlign w:val="bottom"/>
            <w:shd w:val="clear" w:color="auto" w:fill="E7ECF0"/>
          </w:tcPr>
          <w:p>
            <w:pPr>
              <w:jc w:val="center"/>
              <w:ind w:right="7"/>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81"/>
        </w:trPr>
        <w:tc>
          <w:tcPr>
            <w:tcW w:w="920" w:type="dxa"/>
            <w:vAlign w:val="bottom"/>
            <w:tcBorders>
              <w:bottom w:val="single" w:sz="8" w:color="E7ECF0"/>
            </w:tcBorders>
            <w:vMerge w:val="restart"/>
            <w:shd w:val="clear" w:color="auto" w:fill="E7ECF0"/>
          </w:tcPr>
          <w:p>
            <w:pPr>
              <w:spacing w:after="0"/>
              <w:rPr>
                <w:sz w:val="20"/>
                <w:szCs w:val="20"/>
                <w:color w:val="auto"/>
              </w:rPr>
            </w:pPr>
            <w:r>
              <w:rPr>
                <w:rFonts w:ascii="Arial" w:cs="Arial" w:eastAsia="Arial" w:hAnsi="Arial"/>
                <w:sz w:val="16"/>
                <w:szCs w:val="16"/>
                <w:color w:val="auto"/>
              </w:rPr>
              <w:t>Morgan</w:t>
            </w:r>
          </w:p>
        </w:tc>
        <w:tc>
          <w:tcPr>
            <w:tcW w:w="860" w:type="dxa"/>
            <w:vAlign w:val="bottom"/>
            <w:tcBorders>
              <w:bottom w:val="single" w:sz="8" w:color="DBDBDB"/>
            </w:tcBorders>
            <w:shd w:val="clear" w:color="auto" w:fill="E7ECF0"/>
          </w:tcPr>
          <w:p>
            <w:pPr>
              <w:spacing w:after="0"/>
              <w:rPr>
                <w:sz w:val="7"/>
                <w:szCs w:val="7"/>
                <w:color w:val="auto"/>
              </w:rPr>
            </w:pPr>
          </w:p>
        </w:tc>
        <w:tc>
          <w:tcPr>
            <w:tcW w:w="940" w:type="dxa"/>
            <w:vAlign w:val="bottom"/>
            <w:tcBorders>
              <w:bottom w:val="single" w:sz="8" w:color="DBDBDB"/>
            </w:tcBorders>
            <w:shd w:val="clear" w:color="auto" w:fill="E7ECF0"/>
          </w:tcPr>
          <w:p>
            <w:pPr>
              <w:spacing w:after="0"/>
              <w:rPr>
                <w:sz w:val="7"/>
                <w:szCs w:val="7"/>
                <w:color w:val="auto"/>
              </w:rPr>
            </w:pPr>
          </w:p>
        </w:tc>
        <w:tc>
          <w:tcPr>
            <w:tcW w:w="960" w:type="dxa"/>
            <w:vAlign w:val="bottom"/>
            <w:tcBorders>
              <w:bottom w:val="single" w:sz="8" w:color="DBDBDB"/>
            </w:tcBorders>
            <w:shd w:val="clear" w:color="auto" w:fill="E7ECF0"/>
          </w:tcPr>
          <w:p>
            <w:pPr>
              <w:spacing w:after="0"/>
              <w:rPr>
                <w:sz w:val="7"/>
                <w:szCs w:val="7"/>
                <w:color w:val="auto"/>
              </w:rPr>
            </w:pPr>
          </w:p>
        </w:tc>
        <w:tc>
          <w:tcPr>
            <w:tcW w:w="960" w:type="dxa"/>
            <w:vAlign w:val="bottom"/>
            <w:tcBorders>
              <w:bottom w:val="single" w:sz="8" w:color="DBDBDB"/>
            </w:tcBorders>
            <w:shd w:val="clear" w:color="auto" w:fill="E7ECF0"/>
          </w:tcPr>
          <w:p>
            <w:pPr>
              <w:spacing w:after="0"/>
              <w:rPr>
                <w:sz w:val="7"/>
                <w:szCs w:val="7"/>
                <w:color w:val="auto"/>
              </w:rPr>
            </w:pPr>
          </w:p>
        </w:tc>
        <w:tc>
          <w:tcPr>
            <w:tcW w:w="1040" w:type="dxa"/>
            <w:vAlign w:val="bottom"/>
            <w:tcBorders>
              <w:bottom w:val="single" w:sz="8" w:color="DBDBDB"/>
            </w:tcBorders>
            <w:shd w:val="clear" w:color="auto" w:fill="E7ECF0"/>
          </w:tcPr>
          <w:p>
            <w:pPr>
              <w:spacing w:after="0"/>
              <w:rPr>
                <w:sz w:val="7"/>
                <w:szCs w:val="7"/>
                <w:color w:val="auto"/>
              </w:rPr>
            </w:pPr>
          </w:p>
        </w:tc>
        <w:tc>
          <w:tcPr>
            <w:tcW w:w="900" w:type="dxa"/>
            <w:vAlign w:val="bottom"/>
            <w:tcBorders>
              <w:bottom w:val="single" w:sz="8" w:color="DBDBDB"/>
            </w:tcBorders>
            <w:shd w:val="clear" w:color="auto" w:fill="E7ECF0"/>
          </w:tcPr>
          <w:p>
            <w:pPr>
              <w:spacing w:after="0"/>
              <w:rPr>
                <w:sz w:val="7"/>
                <w:szCs w:val="7"/>
                <w:color w:val="auto"/>
              </w:rPr>
            </w:pPr>
          </w:p>
        </w:tc>
        <w:tc>
          <w:tcPr>
            <w:tcW w:w="940" w:type="dxa"/>
            <w:vAlign w:val="bottom"/>
            <w:tcBorders>
              <w:bottom w:val="single" w:sz="8" w:color="DBDBDB"/>
            </w:tcBorders>
            <w:shd w:val="clear" w:color="auto" w:fill="E7ECF0"/>
          </w:tcPr>
          <w:p>
            <w:pPr>
              <w:spacing w:after="0"/>
              <w:rPr>
                <w:sz w:val="7"/>
                <w:szCs w:val="7"/>
                <w:color w:val="auto"/>
              </w:rPr>
            </w:pPr>
          </w:p>
        </w:tc>
        <w:tc>
          <w:tcPr>
            <w:tcW w:w="1480" w:type="dxa"/>
            <w:vAlign w:val="bottom"/>
            <w:tcBorders>
              <w:bottom w:val="single" w:sz="8" w:color="DBDBDB"/>
            </w:tcBorders>
            <w:shd w:val="clear" w:color="auto" w:fill="E7ECF0"/>
          </w:tcPr>
          <w:p>
            <w:pPr>
              <w:spacing w:after="0"/>
              <w:rPr>
                <w:sz w:val="7"/>
                <w:szCs w:val="7"/>
                <w:color w:val="auto"/>
              </w:rPr>
            </w:pPr>
          </w:p>
        </w:tc>
        <w:tc>
          <w:tcPr>
            <w:tcW w:w="1340" w:type="dxa"/>
            <w:vAlign w:val="bottom"/>
            <w:tcBorders>
              <w:bottom w:val="single" w:sz="8" w:color="DBDBDB"/>
            </w:tcBorders>
            <w:shd w:val="clear" w:color="auto" w:fill="E7ECF0"/>
          </w:tcPr>
          <w:p>
            <w:pPr>
              <w:spacing w:after="0"/>
              <w:rPr>
                <w:sz w:val="7"/>
                <w:szCs w:val="7"/>
                <w:color w:val="auto"/>
              </w:rPr>
            </w:pPr>
          </w:p>
        </w:tc>
        <w:tc>
          <w:tcPr>
            <w:tcW w:w="0" w:type="dxa"/>
            <w:vAlign w:val="bottom"/>
          </w:tcPr>
          <w:p>
            <w:pPr>
              <w:spacing w:after="0"/>
              <w:rPr>
                <w:sz w:val="1"/>
                <w:szCs w:val="1"/>
                <w:color w:val="auto"/>
              </w:rPr>
            </w:pPr>
          </w:p>
        </w:tc>
      </w:tr>
      <w:tr>
        <w:trPr>
          <w:trHeight w:val="114"/>
        </w:trPr>
        <w:tc>
          <w:tcPr>
            <w:tcW w:w="920" w:type="dxa"/>
            <w:vAlign w:val="bottom"/>
            <w:vMerge w:val="continue"/>
            <w:shd w:val="clear" w:color="auto" w:fill="E7ECF0"/>
          </w:tcPr>
          <w:p>
            <w:pPr>
              <w:spacing w:after="0"/>
              <w:rPr>
                <w:sz w:val="9"/>
                <w:szCs w:val="9"/>
                <w:color w:val="auto"/>
              </w:rPr>
            </w:pPr>
          </w:p>
        </w:tc>
        <w:tc>
          <w:tcPr>
            <w:tcW w:w="860" w:type="dxa"/>
            <w:vAlign w:val="bottom"/>
            <w:vMerge w:val="restart"/>
            <w:shd w:val="clear" w:color="auto" w:fill="E7ECF0"/>
          </w:tcPr>
          <w:p>
            <w:pPr>
              <w:jc w:val="right"/>
              <w:ind w:right="87"/>
              <w:spacing w:after="0"/>
              <w:rPr>
                <w:sz w:val="20"/>
                <w:szCs w:val="20"/>
                <w:color w:val="auto"/>
              </w:rPr>
            </w:pPr>
            <w:r>
              <w:rPr>
                <w:rFonts w:ascii="Arial" w:cs="Arial" w:eastAsia="Arial" w:hAnsi="Arial"/>
                <w:sz w:val="14"/>
                <w:szCs w:val="14"/>
                <w:color w:val="auto"/>
              </w:rPr>
              <w:t>8/4/2023</w:t>
            </w:r>
          </w:p>
        </w:tc>
        <w:tc>
          <w:tcPr>
            <w:tcW w:w="940" w:type="dxa"/>
            <w:vAlign w:val="bottom"/>
            <w:vMerge w:val="restart"/>
            <w:shd w:val="clear" w:color="auto" w:fill="E7ECF0"/>
          </w:tcPr>
          <w:p>
            <w:pPr>
              <w:jc w:val="center"/>
              <w:spacing w:after="0"/>
              <w:rPr>
                <w:sz w:val="20"/>
                <w:szCs w:val="20"/>
                <w:color w:val="auto"/>
              </w:rPr>
            </w:pPr>
            <w:r>
              <w:rPr>
                <w:rFonts w:ascii="Arial" w:cs="Arial" w:eastAsia="Arial" w:hAnsi="Arial"/>
                <w:sz w:val="14"/>
                <w:szCs w:val="14"/>
                <w:color w:val="auto"/>
                <w:w w:val="84"/>
              </w:rPr>
              <w:t>-</w:t>
            </w:r>
          </w:p>
        </w:tc>
        <w:tc>
          <w:tcPr>
            <w:tcW w:w="960" w:type="dxa"/>
            <w:vAlign w:val="bottom"/>
            <w:vMerge w:val="restart"/>
            <w:shd w:val="clear" w:color="auto" w:fill="E7ECF0"/>
          </w:tcPr>
          <w:p>
            <w:pPr>
              <w:jc w:val="center"/>
              <w:spacing w:after="0"/>
              <w:rPr>
                <w:sz w:val="20"/>
                <w:szCs w:val="20"/>
                <w:color w:val="auto"/>
              </w:rPr>
            </w:pPr>
            <w:r>
              <w:rPr>
                <w:rFonts w:ascii="Arial" w:cs="Arial" w:eastAsia="Arial" w:hAnsi="Arial"/>
                <w:sz w:val="14"/>
                <w:szCs w:val="14"/>
                <w:color w:val="auto"/>
              </w:rPr>
              <w:t>-</w:t>
            </w:r>
          </w:p>
        </w:tc>
        <w:tc>
          <w:tcPr>
            <w:tcW w:w="960" w:type="dxa"/>
            <w:vAlign w:val="bottom"/>
            <w:vMerge w:val="restart"/>
            <w:shd w:val="clear" w:color="auto" w:fill="E7ECF0"/>
          </w:tcPr>
          <w:p>
            <w:pPr>
              <w:jc w:val="right"/>
              <w:ind w:right="388"/>
              <w:spacing w:after="0"/>
              <w:rPr>
                <w:sz w:val="20"/>
                <w:szCs w:val="20"/>
                <w:color w:val="auto"/>
              </w:rPr>
            </w:pPr>
            <w:r>
              <w:rPr>
                <w:rFonts w:ascii="Arial" w:cs="Arial" w:eastAsia="Arial" w:hAnsi="Arial"/>
                <w:sz w:val="14"/>
                <w:szCs w:val="14"/>
                <w:color w:val="auto"/>
              </w:rPr>
              <w:t>-</w:t>
            </w:r>
          </w:p>
        </w:tc>
        <w:tc>
          <w:tcPr>
            <w:tcW w:w="1040" w:type="dxa"/>
            <w:vAlign w:val="bottom"/>
            <w:vMerge w:val="restart"/>
            <w:shd w:val="clear" w:color="auto" w:fill="E7ECF0"/>
          </w:tcPr>
          <w:p>
            <w:pPr>
              <w:jc w:val="right"/>
              <w:ind w:right="28"/>
              <w:spacing w:after="0"/>
              <w:rPr>
                <w:sz w:val="20"/>
                <w:szCs w:val="20"/>
                <w:color w:val="auto"/>
              </w:rPr>
            </w:pPr>
            <w:r>
              <w:rPr>
                <w:rFonts w:ascii="Arial" w:cs="Arial" w:eastAsia="Arial" w:hAnsi="Arial"/>
                <w:sz w:val="14"/>
                <w:szCs w:val="14"/>
                <w:color w:val="auto"/>
              </w:rPr>
              <w:t>452</w:t>
            </w:r>
          </w:p>
        </w:tc>
        <w:tc>
          <w:tcPr>
            <w:tcW w:w="900" w:type="dxa"/>
            <w:vAlign w:val="bottom"/>
            <w:vMerge w:val="restart"/>
            <w:shd w:val="clear" w:color="auto" w:fill="E7ECF0"/>
          </w:tcPr>
          <w:p>
            <w:pPr>
              <w:jc w:val="right"/>
              <w:spacing w:after="0"/>
              <w:rPr>
                <w:sz w:val="20"/>
                <w:szCs w:val="20"/>
                <w:color w:val="auto"/>
              </w:rPr>
            </w:pPr>
            <w:r>
              <w:rPr>
                <w:rFonts w:ascii="Arial" w:cs="Arial" w:eastAsia="Arial" w:hAnsi="Arial"/>
                <w:sz w:val="14"/>
                <w:szCs w:val="14"/>
                <w:color w:val="auto"/>
              </w:rPr>
              <w:t>1,808</w:t>
            </w:r>
          </w:p>
        </w:tc>
        <w:tc>
          <w:tcPr>
            <w:tcW w:w="940" w:type="dxa"/>
            <w:vAlign w:val="bottom"/>
            <w:vMerge w:val="restart"/>
            <w:shd w:val="clear" w:color="auto" w:fill="E7ECF0"/>
          </w:tcPr>
          <w:p>
            <w:pPr>
              <w:jc w:val="right"/>
              <w:spacing w:after="0"/>
              <w:rPr>
                <w:sz w:val="20"/>
                <w:szCs w:val="20"/>
                <w:color w:val="auto"/>
              </w:rPr>
            </w:pPr>
            <w:r>
              <w:rPr>
                <w:rFonts w:ascii="Arial" w:cs="Arial" w:eastAsia="Arial" w:hAnsi="Arial"/>
                <w:sz w:val="14"/>
                <w:szCs w:val="14"/>
                <w:color w:val="auto"/>
              </w:rPr>
              <w:t>3,616</w:t>
            </w:r>
          </w:p>
        </w:tc>
        <w:tc>
          <w:tcPr>
            <w:tcW w:w="1480" w:type="dxa"/>
            <w:vAlign w:val="bottom"/>
            <w:vMerge w:val="restart"/>
            <w:shd w:val="clear" w:color="auto" w:fill="E7ECF0"/>
          </w:tcPr>
          <w:p>
            <w:pPr>
              <w:jc w:val="center"/>
              <w:ind w:right="7"/>
              <w:spacing w:after="0"/>
              <w:rPr>
                <w:sz w:val="20"/>
                <w:szCs w:val="20"/>
                <w:color w:val="auto"/>
              </w:rPr>
            </w:pPr>
            <w:r>
              <w:rPr>
                <w:rFonts w:ascii="Arial" w:cs="Arial" w:eastAsia="Arial" w:hAnsi="Arial"/>
                <w:sz w:val="14"/>
                <w:szCs w:val="14"/>
                <w:color w:val="auto"/>
                <w:w w:val="84"/>
              </w:rPr>
              <w:t>-</w:t>
            </w:r>
          </w:p>
        </w:tc>
        <w:tc>
          <w:tcPr>
            <w:tcW w:w="1340" w:type="dxa"/>
            <w:vAlign w:val="bottom"/>
            <w:vMerge w:val="restart"/>
            <w:shd w:val="clear" w:color="auto" w:fill="E7ECF0"/>
          </w:tcPr>
          <w:p>
            <w:pPr>
              <w:jc w:val="right"/>
              <w:spacing w:after="0"/>
              <w:rPr>
                <w:sz w:val="20"/>
                <w:szCs w:val="20"/>
                <w:color w:val="auto"/>
              </w:rPr>
            </w:pPr>
            <w:r>
              <w:rPr>
                <w:rFonts w:ascii="Arial" w:cs="Arial" w:eastAsia="Arial" w:hAnsi="Arial"/>
                <w:sz w:val="14"/>
                <w:szCs w:val="14"/>
                <w:color w:val="auto"/>
              </w:rPr>
              <w:t>403,780</w:t>
            </w:r>
          </w:p>
        </w:tc>
        <w:tc>
          <w:tcPr>
            <w:tcW w:w="0" w:type="dxa"/>
            <w:vAlign w:val="bottom"/>
          </w:tcPr>
          <w:p>
            <w:pPr>
              <w:spacing w:after="0"/>
              <w:rPr>
                <w:sz w:val="1"/>
                <w:szCs w:val="1"/>
                <w:color w:val="auto"/>
              </w:rPr>
            </w:pPr>
          </w:p>
        </w:tc>
      </w:tr>
      <w:tr>
        <w:trPr>
          <w:trHeight w:val="136"/>
        </w:trPr>
        <w:tc>
          <w:tcPr>
            <w:tcW w:w="920" w:type="dxa"/>
            <w:vAlign w:val="bottom"/>
            <w:tcBorders>
              <w:bottom w:val="single" w:sz="8" w:color="E7ECF0"/>
            </w:tcBorders>
            <w:shd w:val="clear" w:color="auto" w:fill="E7ECF0"/>
          </w:tcPr>
          <w:p>
            <w:pPr>
              <w:spacing w:after="0"/>
              <w:rPr>
                <w:sz w:val="11"/>
                <w:szCs w:val="11"/>
                <w:color w:val="auto"/>
              </w:rPr>
            </w:pPr>
          </w:p>
        </w:tc>
        <w:tc>
          <w:tcPr>
            <w:tcW w:w="860" w:type="dxa"/>
            <w:vAlign w:val="bottom"/>
            <w:tcBorders>
              <w:bottom w:val="single" w:sz="8" w:color="E7ECF0"/>
            </w:tcBorders>
            <w:vMerge w:val="continue"/>
            <w:shd w:val="clear" w:color="auto" w:fill="E7ECF0"/>
          </w:tcPr>
          <w:p>
            <w:pPr>
              <w:spacing w:after="0"/>
              <w:rPr>
                <w:sz w:val="11"/>
                <w:szCs w:val="11"/>
                <w:color w:val="auto"/>
              </w:rPr>
            </w:pPr>
          </w:p>
        </w:tc>
        <w:tc>
          <w:tcPr>
            <w:tcW w:w="940" w:type="dxa"/>
            <w:vAlign w:val="bottom"/>
            <w:tcBorders>
              <w:bottom w:val="single" w:sz="8" w:color="E7ECF0"/>
            </w:tcBorders>
            <w:vMerge w:val="continue"/>
            <w:shd w:val="clear" w:color="auto" w:fill="E7ECF0"/>
          </w:tcPr>
          <w:p>
            <w:pPr>
              <w:spacing w:after="0"/>
              <w:rPr>
                <w:sz w:val="11"/>
                <w:szCs w:val="11"/>
                <w:color w:val="auto"/>
              </w:rPr>
            </w:pPr>
          </w:p>
        </w:tc>
        <w:tc>
          <w:tcPr>
            <w:tcW w:w="960" w:type="dxa"/>
            <w:vAlign w:val="bottom"/>
            <w:tcBorders>
              <w:bottom w:val="single" w:sz="8" w:color="E7ECF0"/>
            </w:tcBorders>
            <w:vMerge w:val="continue"/>
            <w:shd w:val="clear" w:color="auto" w:fill="E7ECF0"/>
          </w:tcPr>
          <w:p>
            <w:pPr>
              <w:spacing w:after="0"/>
              <w:rPr>
                <w:sz w:val="11"/>
                <w:szCs w:val="11"/>
                <w:color w:val="auto"/>
              </w:rPr>
            </w:pPr>
          </w:p>
        </w:tc>
        <w:tc>
          <w:tcPr>
            <w:tcW w:w="960" w:type="dxa"/>
            <w:vAlign w:val="bottom"/>
            <w:tcBorders>
              <w:bottom w:val="single" w:sz="8" w:color="E7ECF0"/>
            </w:tcBorders>
            <w:vMerge w:val="continue"/>
            <w:shd w:val="clear" w:color="auto" w:fill="E7ECF0"/>
          </w:tcPr>
          <w:p>
            <w:pPr>
              <w:spacing w:after="0"/>
              <w:rPr>
                <w:sz w:val="11"/>
                <w:szCs w:val="11"/>
                <w:color w:val="auto"/>
              </w:rPr>
            </w:pPr>
          </w:p>
        </w:tc>
        <w:tc>
          <w:tcPr>
            <w:tcW w:w="1040" w:type="dxa"/>
            <w:vAlign w:val="bottom"/>
            <w:tcBorders>
              <w:bottom w:val="single" w:sz="8" w:color="E7ECF0"/>
            </w:tcBorders>
            <w:vMerge w:val="continue"/>
            <w:shd w:val="clear" w:color="auto" w:fill="E7ECF0"/>
          </w:tcPr>
          <w:p>
            <w:pPr>
              <w:spacing w:after="0"/>
              <w:rPr>
                <w:sz w:val="11"/>
                <w:szCs w:val="11"/>
                <w:color w:val="auto"/>
              </w:rPr>
            </w:pPr>
          </w:p>
        </w:tc>
        <w:tc>
          <w:tcPr>
            <w:tcW w:w="900" w:type="dxa"/>
            <w:vAlign w:val="bottom"/>
            <w:tcBorders>
              <w:bottom w:val="single" w:sz="8" w:color="E7ECF0"/>
            </w:tcBorders>
            <w:vMerge w:val="continue"/>
            <w:shd w:val="clear" w:color="auto" w:fill="E7ECF0"/>
          </w:tcPr>
          <w:p>
            <w:pPr>
              <w:spacing w:after="0"/>
              <w:rPr>
                <w:sz w:val="11"/>
                <w:szCs w:val="11"/>
                <w:color w:val="auto"/>
              </w:rPr>
            </w:pPr>
          </w:p>
        </w:tc>
        <w:tc>
          <w:tcPr>
            <w:tcW w:w="940" w:type="dxa"/>
            <w:vAlign w:val="bottom"/>
            <w:tcBorders>
              <w:bottom w:val="single" w:sz="8" w:color="E7ECF0"/>
            </w:tcBorders>
            <w:vMerge w:val="continue"/>
            <w:shd w:val="clear" w:color="auto" w:fill="E7ECF0"/>
          </w:tcPr>
          <w:p>
            <w:pPr>
              <w:spacing w:after="0"/>
              <w:rPr>
                <w:sz w:val="11"/>
                <w:szCs w:val="11"/>
                <w:color w:val="auto"/>
              </w:rPr>
            </w:pPr>
          </w:p>
        </w:tc>
        <w:tc>
          <w:tcPr>
            <w:tcW w:w="1480" w:type="dxa"/>
            <w:vAlign w:val="bottom"/>
            <w:tcBorders>
              <w:bottom w:val="single" w:sz="8" w:color="E7ECF0"/>
            </w:tcBorders>
            <w:vMerge w:val="continue"/>
            <w:shd w:val="clear" w:color="auto" w:fill="E7ECF0"/>
          </w:tcPr>
          <w:p>
            <w:pPr>
              <w:spacing w:after="0"/>
              <w:rPr>
                <w:sz w:val="11"/>
                <w:szCs w:val="11"/>
                <w:color w:val="auto"/>
              </w:rPr>
            </w:pPr>
          </w:p>
        </w:tc>
        <w:tc>
          <w:tcPr>
            <w:tcW w:w="1340" w:type="dxa"/>
            <w:vAlign w:val="bottom"/>
            <w:tcBorders>
              <w:bottom w:val="single" w:sz="8" w:color="E7ECF0"/>
            </w:tcBorders>
            <w:vMerge w:val="continue"/>
            <w:shd w:val="clear" w:color="auto" w:fill="E7ECF0"/>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920" w:type="dxa"/>
            <w:vAlign w:val="bottom"/>
            <w:tcBorders>
              <w:top w:val="single" w:sz="8" w:color="E7ECF0"/>
              <w:bottom w:val="single" w:sz="8" w:color="E7ECF0"/>
            </w:tcBorders>
            <w:shd w:val="clear" w:color="auto" w:fill="E7ECF0"/>
          </w:tcPr>
          <w:p>
            <w:pPr>
              <w:spacing w:after="0"/>
              <w:rPr>
                <w:sz w:val="21"/>
                <w:szCs w:val="21"/>
                <w:color w:val="auto"/>
              </w:rPr>
            </w:pPr>
          </w:p>
        </w:tc>
        <w:tc>
          <w:tcPr>
            <w:tcW w:w="860" w:type="dxa"/>
            <w:vAlign w:val="bottom"/>
            <w:tcBorders>
              <w:top w:val="single" w:sz="8" w:color="DBDBDB"/>
              <w:bottom w:val="single" w:sz="8" w:color="E7ECF0"/>
            </w:tcBorders>
            <w:shd w:val="clear" w:color="auto" w:fill="E7ECF0"/>
          </w:tcPr>
          <w:p>
            <w:pPr>
              <w:jc w:val="right"/>
              <w:ind w:right="87"/>
              <w:spacing w:after="0"/>
              <w:rPr>
                <w:sz w:val="20"/>
                <w:szCs w:val="20"/>
                <w:color w:val="auto"/>
              </w:rPr>
            </w:pPr>
            <w:r>
              <w:rPr>
                <w:rFonts w:ascii="Arial" w:cs="Arial" w:eastAsia="Arial" w:hAnsi="Arial"/>
                <w:sz w:val="14"/>
                <w:szCs w:val="14"/>
                <w:color w:val="auto"/>
              </w:rPr>
              <w:t>8/4/2023</w:t>
            </w:r>
          </w:p>
        </w:tc>
        <w:tc>
          <w:tcPr>
            <w:tcW w:w="940" w:type="dxa"/>
            <w:vAlign w:val="bottom"/>
            <w:tcBorders>
              <w:top w:val="single" w:sz="8" w:color="DBDBDB"/>
              <w:bottom w:val="single" w:sz="8" w:color="E7ECF0"/>
            </w:tcBorders>
            <w:shd w:val="clear" w:color="auto" w:fill="E7ECF0"/>
          </w:tcPr>
          <w:p>
            <w:pPr>
              <w:jc w:val="center"/>
              <w:spacing w:after="0"/>
              <w:rPr>
                <w:sz w:val="20"/>
                <w:szCs w:val="20"/>
                <w:color w:val="auto"/>
              </w:rPr>
            </w:pPr>
            <w:r>
              <w:rPr>
                <w:rFonts w:ascii="Arial" w:cs="Arial" w:eastAsia="Arial" w:hAnsi="Arial"/>
                <w:sz w:val="14"/>
                <w:szCs w:val="14"/>
                <w:color w:val="auto"/>
                <w:w w:val="84"/>
              </w:rPr>
              <w:t>-</w:t>
            </w:r>
          </w:p>
        </w:tc>
        <w:tc>
          <w:tcPr>
            <w:tcW w:w="960" w:type="dxa"/>
            <w:vAlign w:val="bottom"/>
            <w:tcBorders>
              <w:top w:val="single" w:sz="8" w:color="DBDBDB"/>
              <w:bottom w:val="single" w:sz="8" w:color="E7ECF0"/>
            </w:tcBorders>
            <w:shd w:val="clear" w:color="auto" w:fill="E7ECF0"/>
          </w:tcPr>
          <w:p>
            <w:pPr>
              <w:jc w:val="center"/>
              <w:spacing w:after="0"/>
              <w:rPr>
                <w:sz w:val="20"/>
                <w:szCs w:val="20"/>
                <w:color w:val="auto"/>
              </w:rPr>
            </w:pPr>
            <w:r>
              <w:rPr>
                <w:rFonts w:ascii="Arial" w:cs="Arial" w:eastAsia="Arial" w:hAnsi="Arial"/>
                <w:sz w:val="14"/>
                <w:szCs w:val="14"/>
                <w:color w:val="auto"/>
              </w:rPr>
              <w:t>-</w:t>
            </w:r>
          </w:p>
        </w:tc>
        <w:tc>
          <w:tcPr>
            <w:tcW w:w="960" w:type="dxa"/>
            <w:vAlign w:val="bottom"/>
            <w:tcBorders>
              <w:top w:val="single" w:sz="8" w:color="DBDBDB"/>
              <w:bottom w:val="single" w:sz="8" w:color="E7ECF0"/>
            </w:tcBorders>
            <w:shd w:val="clear" w:color="auto" w:fill="E7ECF0"/>
          </w:tcPr>
          <w:p>
            <w:pPr>
              <w:jc w:val="right"/>
              <w:ind w:right="388"/>
              <w:spacing w:after="0"/>
              <w:rPr>
                <w:sz w:val="20"/>
                <w:szCs w:val="20"/>
                <w:color w:val="auto"/>
              </w:rPr>
            </w:pPr>
            <w:r>
              <w:rPr>
                <w:rFonts w:ascii="Arial" w:cs="Arial" w:eastAsia="Arial" w:hAnsi="Arial"/>
                <w:sz w:val="14"/>
                <w:szCs w:val="14"/>
                <w:color w:val="auto"/>
              </w:rPr>
              <w:t>-</w:t>
            </w:r>
          </w:p>
        </w:tc>
        <w:tc>
          <w:tcPr>
            <w:tcW w:w="1040" w:type="dxa"/>
            <w:vAlign w:val="bottom"/>
            <w:tcBorders>
              <w:top w:val="single" w:sz="8" w:color="DBDBDB"/>
              <w:bottom w:val="single" w:sz="8" w:color="E7ECF0"/>
            </w:tcBorders>
            <w:shd w:val="clear" w:color="auto" w:fill="E7ECF0"/>
          </w:tcPr>
          <w:p>
            <w:pPr>
              <w:jc w:val="right"/>
              <w:ind w:right="28"/>
              <w:spacing w:after="0"/>
              <w:rPr>
                <w:sz w:val="20"/>
                <w:szCs w:val="20"/>
                <w:color w:val="auto"/>
              </w:rPr>
            </w:pPr>
            <w:r>
              <w:rPr>
                <w:rFonts w:ascii="Arial" w:cs="Arial" w:eastAsia="Arial" w:hAnsi="Arial"/>
                <w:sz w:val="14"/>
                <w:szCs w:val="14"/>
                <w:color w:val="auto"/>
              </w:rPr>
              <w:t>302</w:t>
            </w:r>
          </w:p>
        </w:tc>
        <w:tc>
          <w:tcPr>
            <w:tcW w:w="900" w:type="dxa"/>
            <w:vAlign w:val="bottom"/>
            <w:tcBorders>
              <w:top w:val="single" w:sz="8" w:color="DBDBDB"/>
              <w:bottom w:val="single" w:sz="8" w:color="E7ECF0"/>
            </w:tcBorders>
            <w:shd w:val="clear" w:color="auto" w:fill="E7ECF0"/>
          </w:tcPr>
          <w:p>
            <w:pPr>
              <w:jc w:val="right"/>
              <w:spacing w:after="0"/>
              <w:rPr>
                <w:sz w:val="20"/>
                <w:szCs w:val="20"/>
                <w:color w:val="auto"/>
              </w:rPr>
            </w:pPr>
            <w:r>
              <w:rPr>
                <w:rFonts w:ascii="Arial" w:cs="Arial" w:eastAsia="Arial" w:hAnsi="Arial"/>
                <w:sz w:val="14"/>
                <w:szCs w:val="14"/>
                <w:color w:val="auto"/>
              </w:rPr>
              <w:t>603</w:t>
            </w:r>
          </w:p>
        </w:tc>
        <w:tc>
          <w:tcPr>
            <w:tcW w:w="940" w:type="dxa"/>
            <w:vAlign w:val="bottom"/>
            <w:tcBorders>
              <w:top w:val="single" w:sz="8" w:color="DBDBDB"/>
              <w:bottom w:val="single" w:sz="8" w:color="E7ECF0"/>
            </w:tcBorders>
            <w:shd w:val="clear" w:color="auto" w:fill="E7ECF0"/>
          </w:tcPr>
          <w:p>
            <w:pPr>
              <w:jc w:val="right"/>
              <w:spacing w:after="0"/>
              <w:rPr>
                <w:sz w:val="20"/>
                <w:szCs w:val="20"/>
                <w:color w:val="auto"/>
              </w:rPr>
            </w:pPr>
            <w:r>
              <w:rPr>
                <w:rFonts w:ascii="Arial" w:cs="Arial" w:eastAsia="Arial" w:hAnsi="Arial"/>
                <w:sz w:val="14"/>
                <w:szCs w:val="14"/>
                <w:color w:val="auto"/>
              </w:rPr>
              <w:t>1,206</w:t>
            </w:r>
          </w:p>
        </w:tc>
        <w:tc>
          <w:tcPr>
            <w:tcW w:w="1480" w:type="dxa"/>
            <w:vAlign w:val="bottom"/>
            <w:tcBorders>
              <w:top w:val="single" w:sz="8" w:color="DBDBDB"/>
              <w:bottom w:val="single" w:sz="8" w:color="E7ECF0"/>
            </w:tcBorders>
            <w:shd w:val="clear" w:color="auto" w:fill="E7ECF0"/>
          </w:tcPr>
          <w:p>
            <w:pPr>
              <w:jc w:val="center"/>
              <w:ind w:right="7"/>
              <w:spacing w:after="0"/>
              <w:rPr>
                <w:sz w:val="20"/>
                <w:szCs w:val="20"/>
                <w:color w:val="auto"/>
              </w:rPr>
            </w:pPr>
            <w:r>
              <w:rPr>
                <w:rFonts w:ascii="Arial" w:cs="Arial" w:eastAsia="Arial" w:hAnsi="Arial"/>
                <w:sz w:val="14"/>
                <w:szCs w:val="14"/>
                <w:color w:val="auto"/>
                <w:w w:val="84"/>
              </w:rPr>
              <w:t>-</w:t>
            </w:r>
          </w:p>
        </w:tc>
        <w:tc>
          <w:tcPr>
            <w:tcW w:w="1340" w:type="dxa"/>
            <w:vAlign w:val="bottom"/>
            <w:tcBorders>
              <w:top w:val="single" w:sz="8" w:color="DBDBDB"/>
              <w:bottom w:val="single" w:sz="8" w:color="E7ECF0"/>
            </w:tcBorders>
            <w:shd w:val="clear" w:color="auto" w:fill="E7ECF0"/>
          </w:tcPr>
          <w:p>
            <w:pPr>
              <w:jc w:val="right"/>
              <w:spacing w:after="0"/>
              <w:rPr>
                <w:sz w:val="20"/>
                <w:szCs w:val="20"/>
                <w:color w:val="auto"/>
              </w:rPr>
            </w:pPr>
            <w:r>
              <w:rPr>
                <w:rFonts w:ascii="Arial" w:cs="Arial" w:eastAsia="Arial" w:hAnsi="Arial"/>
                <w:sz w:val="14"/>
                <w:szCs w:val="14"/>
                <w:color w:val="auto"/>
              </w:rPr>
              <w:t>99,417</w:t>
            </w:r>
          </w:p>
        </w:tc>
        <w:tc>
          <w:tcPr>
            <w:tcW w:w="0" w:type="dxa"/>
            <w:vAlign w:val="bottom"/>
          </w:tcPr>
          <w:p>
            <w:pPr>
              <w:spacing w:after="0"/>
              <w:rPr>
                <w:sz w:val="1"/>
                <w:szCs w:val="1"/>
                <w:color w:val="auto"/>
              </w:rPr>
            </w:pPr>
          </w:p>
        </w:tc>
      </w:tr>
      <w:tr>
        <w:trPr>
          <w:trHeight w:val="255"/>
        </w:trPr>
        <w:tc>
          <w:tcPr>
            <w:tcW w:w="920" w:type="dxa"/>
            <w:vAlign w:val="bottom"/>
            <w:tcBorders>
              <w:top w:val="single" w:sz="8" w:color="E7ECF0"/>
              <w:bottom w:val="single" w:sz="8" w:color="E7ECF0"/>
            </w:tcBorders>
            <w:shd w:val="clear" w:color="auto" w:fill="E7ECF0"/>
          </w:tcPr>
          <w:p>
            <w:pPr>
              <w:spacing w:after="0"/>
              <w:rPr>
                <w:sz w:val="21"/>
                <w:szCs w:val="21"/>
                <w:color w:val="auto"/>
              </w:rPr>
            </w:pPr>
          </w:p>
        </w:tc>
        <w:tc>
          <w:tcPr>
            <w:tcW w:w="860" w:type="dxa"/>
            <w:vAlign w:val="bottom"/>
            <w:tcBorders>
              <w:top w:val="single" w:sz="8" w:color="DBDBDB"/>
              <w:bottom w:val="single" w:sz="8" w:color="E7ECF0"/>
            </w:tcBorders>
            <w:shd w:val="clear" w:color="auto" w:fill="E7ECF0"/>
          </w:tcPr>
          <w:p>
            <w:pPr>
              <w:jc w:val="right"/>
              <w:ind w:right="87"/>
              <w:spacing w:after="0"/>
              <w:rPr>
                <w:sz w:val="20"/>
                <w:szCs w:val="20"/>
                <w:color w:val="auto"/>
              </w:rPr>
            </w:pPr>
            <w:r>
              <w:rPr>
                <w:rFonts w:ascii="Arial" w:cs="Arial" w:eastAsia="Arial" w:hAnsi="Arial"/>
                <w:sz w:val="14"/>
                <w:szCs w:val="14"/>
                <w:color w:val="auto"/>
              </w:rPr>
              <w:t>8/4/2023</w:t>
            </w:r>
          </w:p>
        </w:tc>
        <w:tc>
          <w:tcPr>
            <w:tcW w:w="940" w:type="dxa"/>
            <w:vAlign w:val="bottom"/>
            <w:tcBorders>
              <w:top w:val="single" w:sz="8" w:color="DBDBDB"/>
              <w:bottom w:val="single" w:sz="8" w:color="E7ECF0"/>
            </w:tcBorders>
            <w:shd w:val="clear" w:color="auto" w:fill="E7ECF0"/>
          </w:tcPr>
          <w:p>
            <w:pPr>
              <w:jc w:val="center"/>
              <w:spacing w:after="0"/>
              <w:rPr>
                <w:sz w:val="20"/>
                <w:szCs w:val="20"/>
                <w:color w:val="auto"/>
              </w:rPr>
            </w:pPr>
            <w:r>
              <w:rPr>
                <w:rFonts w:ascii="Arial" w:cs="Arial" w:eastAsia="Arial" w:hAnsi="Arial"/>
                <w:sz w:val="14"/>
                <w:szCs w:val="14"/>
                <w:color w:val="auto"/>
                <w:w w:val="84"/>
              </w:rPr>
              <w:t>-</w:t>
            </w:r>
          </w:p>
        </w:tc>
        <w:tc>
          <w:tcPr>
            <w:tcW w:w="960" w:type="dxa"/>
            <w:vAlign w:val="bottom"/>
            <w:tcBorders>
              <w:top w:val="single" w:sz="8" w:color="DBDBDB"/>
              <w:bottom w:val="single" w:sz="8" w:color="E7ECF0"/>
            </w:tcBorders>
            <w:shd w:val="clear" w:color="auto" w:fill="E7ECF0"/>
          </w:tcPr>
          <w:p>
            <w:pPr>
              <w:jc w:val="center"/>
              <w:spacing w:after="0"/>
              <w:rPr>
                <w:sz w:val="20"/>
                <w:szCs w:val="20"/>
                <w:color w:val="auto"/>
              </w:rPr>
            </w:pPr>
            <w:r>
              <w:rPr>
                <w:rFonts w:ascii="Arial" w:cs="Arial" w:eastAsia="Arial" w:hAnsi="Arial"/>
                <w:sz w:val="14"/>
                <w:szCs w:val="14"/>
                <w:color w:val="auto"/>
              </w:rPr>
              <w:t>-</w:t>
            </w:r>
          </w:p>
        </w:tc>
        <w:tc>
          <w:tcPr>
            <w:tcW w:w="960" w:type="dxa"/>
            <w:vAlign w:val="bottom"/>
            <w:tcBorders>
              <w:top w:val="single" w:sz="8" w:color="DBDBDB"/>
              <w:bottom w:val="single" w:sz="8" w:color="E7ECF0"/>
            </w:tcBorders>
            <w:shd w:val="clear" w:color="auto" w:fill="E7ECF0"/>
          </w:tcPr>
          <w:p>
            <w:pPr>
              <w:jc w:val="right"/>
              <w:ind w:right="388"/>
              <w:spacing w:after="0"/>
              <w:rPr>
                <w:sz w:val="20"/>
                <w:szCs w:val="20"/>
                <w:color w:val="auto"/>
              </w:rPr>
            </w:pPr>
            <w:r>
              <w:rPr>
                <w:rFonts w:ascii="Arial" w:cs="Arial" w:eastAsia="Arial" w:hAnsi="Arial"/>
                <w:sz w:val="14"/>
                <w:szCs w:val="14"/>
                <w:color w:val="auto"/>
              </w:rPr>
              <w:t>-</w:t>
            </w:r>
          </w:p>
        </w:tc>
        <w:tc>
          <w:tcPr>
            <w:tcW w:w="1040" w:type="dxa"/>
            <w:vAlign w:val="bottom"/>
            <w:tcBorders>
              <w:top w:val="single" w:sz="8" w:color="DBDBDB"/>
              <w:bottom w:val="single" w:sz="8" w:color="E7ECF0"/>
            </w:tcBorders>
            <w:shd w:val="clear" w:color="auto" w:fill="E7ECF0"/>
          </w:tcPr>
          <w:p>
            <w:pPr>
              <w:jc w:val="right"/>
              <w:ind w:right="28"/>
              <w:spacing w:after="0"/>
              <w:rPr>
                <w:sz w:val="20"/>
                <w:szCs w:val="20"/>
                <w:color w:val="auto"/>
              </w:rPr>
            </w:pPr>
            <w:r>
              <w:rPr>
                <w:rFonts w:ascii="Arial" w:cs="Arial" w:eastAsia="Arial" w:hAnsi="Arial"/>
                <w:sz w:val="14"/>
                <w:szCs w:val="14"/>
                <w:color w:val="auto"/>
              </w:rPr>
              <w:t>302</w:t>
            </w:r>
          </w:p>
        </w:tc>
        <w:tc>
          <w:tcPr>
            <w:tcW w:w="900" w:type="dxa"/>
            <w:vAlign w:val="bottom"/>
            <w:tcBorders>
              <w:top w:val="single" w:sz="8" w:color="DBDBDB"/>
              <w:bottom w:val="single" w:sz="8" w:color="E7ECF0"/>
            </w:tcBorders>
            <w:shd w:val="clear" w:color="auto" w:fill="E7ECF0"/>
          </w:tcPr>
          <w:p>
            <w:pPr>
              <w:jc w:val="right"/>
              <w:spacing w:after="0"/>
              <w:rPr>
                <w:sz w:val="20"/>
                <w:szCs w:val="20"/>
                <w:color w:val="auto"/>
              </w:rPr>
            </w:pPr>
            <w:r>
              <w:rPr>
                <w:rFonts w:ascii="Arial" w:cs="Arial" w:eastAsia="Arial" w:hAnsi="Arial"/>
                <w:sz w:val="14"/>
                <w:szCs w:val="14"/>
                <w:color w:val="auto"/>
              </w:rPr>
              <w:t>603</w:t>
            </w:r>
          </w:p>
        </w:tc>
        <w:tc>
          <w:tcPr>
            <w:tcW w:w="940" w:type="dxa"/>
            <w:vAlign w:val="bottom"/>
            <w:tcBorders>
              <w:top w:val="single" w:sz="8" w:color="DBDBDB"/>
              <w:bottom w:val="single" w:sz="8" w:color="E7ECF0"/>
            </w:tcBorders>
            <w:shd w:val="clear" w:color="auto" w:fill="E7ECF0"/>
          </w:tcPr>
          <w:p>
            <w:pPr>
              <w:jc w:val="right"/>
              <w:spacing w:after="0"/>
              <w:rPr>
                <w:sz w:val="20"/>
                <w:szCs w:val="20"/>
                <w:color w:val="auto"/>
              </w:rPr>
            </w:pPr>
            <w:r>
              <w:rPr>
                <w:rFonts w:ascii="Arial" w:cs="Arial" w:eastAsia="Arial" w:hAnsi="Arial"/>
                <w:sz w:val="14"/>
                <w:szCs w:val="14"/>
                <w:color w:val="auto"/>
              </w:rPr>
              <w:t>1,206</w:t>
            </w:r>
          </w:p>
        </w:tc>
        <w:tc>
          <w:tcPr>
            <w:tcW w:w="1480" w:type="dxa"/>
            <w:vAlign w:val="bottom"/>
            <w:tcBorders>
              <w:top w:val="single" w:sz="8" w:color="DBDBDB"/>
              <w:bottom w:val="single" w:sz="8" w:color="E7ECF0"/>
            </w:tcBorders>
            <w:shd w:val="clear" w:color="auto" w:fill="E7ECF0"/>
          </w:tcPr>
          <w:p>
            <w:pPr>
              <w:jc w:val="center"/>
              <w:ind w:right="7"/>
              <w:spacing w:after="0"/>
              <w:rPr>
                <w:sz w:val="20"/>
                <w:szCs w:val="20"/>
                <w:color w:val="auto"/>
              </w:rPr>
            </w:pPr>
            <w:r>
              <w:rPr>
                <w:rFonts w:ascii="Arial" w:cs="Arial" w:eastAsia="Arial" w:hAnsi="Arial"/>
                <w:sz w:val="14"/>
                <w:szCs w:val="14"/>
                <w:color w:val="auto"/>
                <w:w w:val="84"/>
              </w:rPr>
              <w:t>-</w:t>
            </w:r>
          </w:p>
        </w:tc>
        <w:tc>
          <w:tcPr>
            <w:tcW w:w="1340" w:type="dxa"/>
            <w:vAlign w:val="bottom"/>
            <w:tcBorders>
              <w:top w:val="single" w:sz="8" w:color="DBDBDB"/>
              <w:bottom w:val="single" w:sz="8" w:color="E7ECF0"/>
            </w:tcBorders>
            <w:shd w:val="clear" w:color="auto" w:fill="E7ECF0"/>
          </w:tcPr>
          <w:p>
            <w:pPr>
              <w:jc w:val="right"/>
              <w:spacing w:after="0"/>
              <w:rPr>
                <w:sz w:val="20"/>
                <w:szCs w:val="20"/>
                <w:color w:val="auto"/>
              </w:rPr>
            </w:pPr>
            <w:r>
              <w:rPr>
                <w:rFonts w:ascii="Arial" w:cs="Arial" w:eastAsia="Arial" w:hAnsi="Arial"/>
                <w:sz w:val="14"/>
                <w:szCs w:val="14"/>
                <w:color w:val="auto"/>
              </w:rPr>
              <w:t>99,417</w:t>
            </w:r>
          </w:p>
        </w:tc>
        <w:tc>
          <w:tcPr>
            <w:tcW w:w="0" w:type="dxa"/>
            <w:vAlign w:val="bottom"/>
          </w:tcPr>
          <w:p>
            <w:pPr>
              <w:spacing w:after="0"/>
              <w:rPr>
                <w:sz w:val="1"/>
                <w:szCs w:val="1"/>
                <w:color w:val="auto"/>
              </w:rPr>
            </w:pPr>
          </w:p>
        </w:tc>
      </w:tr>
      <w:tr>
        <w:trPr>
          <w:trHeight w:val="255"/>
        </w:trPr>
        <w:tc>
          <w:tcPr>
            <w:tcW w:w="920" w:type="dxa"/>
            <w:vAlign w:val="bottom"/>
            <w:tcBorders>
              <w:top w:val="single" w:sz="8" w:color="E7ECF0"/>
              <w:bottom w:val="single" w:sz="8" w:color="E7ECF0"/>
            </w:tcBorders>
            <w:shd w:val="clear" w:color="auto" w:fill="E7ECF0"/>
          </w:tcPr>
          <w:p>
            <w:pPr>
              <w:spacing w:after="0"/>
              <w:rPr>
                <w:sz w:val="21"/>
                <w:szCs w:val="21"/>
                <w:color w:val="auto"/>
              </w:rPr>
            </w:pPr>
          </w:p>
        </w:tc>
        <w:tc>
          <w:tcPr>
            <w:tcW w:w="860" w:type="dxa"/>
            <w:vAlign w:val="bottom"/>
            <w:tcBorders>
              <w:top w:val="single" w:sz="8" w:color="DBDBDB"/>
              <w:bottom w:val="single" w:sz="8" w:color="E7ECF0"/>
            </w:tcBorders>
            <w:shd w:val="clear" w:color="auto" w:fill="E7ECF0"/>
          </w:tcPr>
          <w:p>
            <w:pPr>
              <w:jc w:val="right"/>
              <w:ind w:right="87"/>
              <w:spacing w:after="0"/>
              <w:rPr>
                <w:sz w:val="20"/>
                <w:szCs w:val="20"/>
                <w:color w:val="auto"/>
              </w:rPr>
            </w:pPr>
            <w:r>
              <w:rPr>
                <w:rFonts w:ascii="Arial" w:cs="Arial" w:eastAsia="Arial" w:hAnsi="Arial"/>
                <w:sz w:val="14"/>
                <w:szCs w:val="14"/>
                <w:color w:val="auto"/>
              </w:rPr>
              <w:t>8/4/2023</w:t>
            </w:r>
          </w:p>
        </w:tc>
        <w:tc>
          <w:tcPr>
            <w:tcW w:w="940" w:type="dxa"/>
            <w:vAlign w:val="bottom"/>
            <w:tcBorders>
              <w:top w:val="single" w:sz="8" w:color="DBDBDB"/>
              <w:bottom w:val="single" w:sz="8" w:color="E7ECF0"/>
            </w:tcBorders>
            <w:shd w:val="clear" w:color="auto" w:fill="E7ECF0"/>
          </w:tcPr>
          <w:p>
            <w:pPr>
              <w:jc w:val="center"/>
              <w:spacing w:after="0"/>
              <w:rPr>
                <w:sz w:val="20"/>
                <w:szCs w:val="20"/>
                <w:color w:val="auto"/>
              </w:rPr>
            </w:pPr>
            <w:r>
              <w:rPr>
                <w:rFonts w:ascii="Arial" w:cs="Arial" w:eastAsia="Arial" w:hAnsi="Arial"/>
                <w:sz w:val="14"/>
                <w:szCs w:val="14"/>
                <w:color w:val="auto"/>
                <w:w w:val="84"/>
              </w:rPr>
              <w:t>-</w:t>
            </w:r>
          </w:p>
        </w:tc>
        <w:tc>
          <w:tcPr>
            <w:tcW w:w="960" w:type="dxa"/>
            <w:vAlign w:val="bottom"/>
            <w:tcBorders>
              <w:top w:val="single" w:sz="8" w:color="DBDBDB"/>
              <w:bottom w:val="single" w:sz="8" w:color="E7ECF0"/>
            </w:tcBorders>
            <w:shd w:val="clear" w:color="auto" w:fill="E7ECF0"/>
          </w:tcPr>
          <w:p>
            <w:pPr>
              <w:jc w:val="center"/>
              <w:spacing w:after="0"/>
              <w:rPr>
                <w:sz w:val="20"/>
                <w:szCs w:val="20"/>
                <w:color w:val="auto"/>
              </w:rPr>
            </w:pPr>
            <w:r>
              <w:rPr>
                <w:rFonts w:ascii="Arial" w:cs="Arial" w:eastAsia="Arial" w:hAnsi="Arial"/>
                <w:sz w:val="14"/>
                <w:szCs w:val="14"/>
                <w:color w:val="auto"/>
              </w:rPr>
              <w:t>-</w:t>
            </w:r>
          </w:p>
        </w:tc>
        <w:tc>
          <w:tcPr>
            <w:tcW w:w="960" w:type="dxa"/>
            <w:vAlign w:val="bottom"/>
            <w:tcBorders>
              <w:top w:val="single" w:sz="8" w:color="DBDBDB"/>
              <w:bottom w:val="single" w:sz="8" w:color="E7ECF0"/>
            </w:tcBorders>
            <w:shd w:val="clear" w:color="auto" w:fill="E7ECF0"/>
          </w:tcPr>
          <w:p>
            <w:pPr>
              <w:jc w:val="right"/>
              <w:ind w:right="388"/>
              <w:spacing w:after="0"/>
              <w:rPr>
                <w:sz w:val="20"/>
                <w:szCs w:val="20"/>
                <w:color w:val="auto"/>
              </w:rPr>
            </w:pPr>
            <w:r>
              <w:rPr>
                <w:rFonts w:ascii="Arial" w:cs="Arial" w:eastAsia="Arial" w:hAnsi="Arial"/>
                <w:sz w:val="14"/>
                <w:szCs w:val="14"/>
                <w:color w:val="auto"/>
              </w:rPr>
              <w:t>-</w:t>
            </w:r>
          </w:p>
        </w:tc>
        <w:tc>
          <w:tcPr>
            <w:tcW w:w="1040" w:type="dxa"/>
            <w:vAlign w:val="bottom"/>
            <w:tcBorders>
              <w:top w:val="single" w:sz="8" w:color="DBDBDB"/>
              <w:bottom w:val="single" w:sz="8" w:color="E7ECF0"/>
            </w:tcBorders>
            <w:shd w:val="clear" w:color="auto" w:fill="E7ECF0"/>
          </w:tcPr>
          <w:p>
            <w:pPr>
              <w:jc w:val="right"/>
              <w:ind w:right="468"/>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DBDBDB"/>
              <w:bottom w:val="single" w:sz="8" w:color="E7ECF0"/>
            </w:tcBorders>
            <w:shd w:val="clear" w:color="auto" w:fill="E7ECF0"/>
          </w:tcPr>
          <w:p>
            <w:pPr>
              <w:jc w:val="center"/>
              <w:ind w:right="48"/>
              <w:spacing w:after="0"/>
              <w:rPr>
                <w:sz w:val="20"/>
                <w:szCs w:val="20"/>
                <w:color w:val="auto"/>
              </w:rPr>
            </w:pPr>
            <w:r>
              <w:rPr>
                <w:rFonts w:ascii="Arial" w:cs="Arial" w:eastAsia="Arial" w:hAnsi="Arial"/>
                <w:sz w:val="14"/>
                <w:szCs w:val="14"/>
                <w:color w:val="auto"/>
              </w:rPr>
              <w:t>-</w:t>
            </w:r>
          </w:p>
        </w:tc>
        <w:tc>
          <w:tcPr>
            <w:tcW w:w="940" w:type="dxa"/>
            <w:vAlign w:val="bottom"/>
            <w:tcBorders>
              <w:top w:val="single" w:sz="8" w:color="DBDBDB"/>
              <w:bottom w:val="single" w:sz="8" w:color="E7ECF0"/>
            </w:tcBorders>
            <w:shd w:val="clear" w:color="auto" w:fill="E7ECF0"/>
          </w:tcPr>
          <w:p>
            <w:pPr>
              <w:jc w:val="right"/>
              <w:ind w:right="388"/>
              <w:spacing w:after="0"/>
              <w:rPr>
                <w:sz w:val="20"/>
                <w:szCs w:val="20"/>
                <w:color w:val="auto"/>
              </w:rPr>
            </w:pPr>
            <w:r>
              <w:rPr>
                <w:rFonts w:ascii="Arial" w:cs="Arial" w:eastAsia="Arial" w:hAnsi="Arial"/>
                <w:sz w:val="14"/>
                <w:szCs w:val="14"/>
                <w:color w:val="auto"/>
              </w:rPr>
              <w:t>-</w:t>
            </w:r>
          </w:p>
        </w:tc>
        <w:tc>
          <w:tcPr>
            <w:tcW w:w="1480" w:type="dxa"/>
            <w:vAlign w:val="bottom"/>
            <w:tcBorders>
              <w:top w:val="single" w:sz="8" w:color="DBDBDB"/>
              <w:bottom w:val="single" w:sz="8" w:color="E7ECF0"/>
            </w:tcBorders>
            <w:shd w:val="clear" w:color="auto" w:fill="E7ECF0"/>
          </w:tcPr>
          <w:p>
            <w:pPr>
              <w:jc w:val="right"/>
              <w:ind w:right="27"/>
              <w:spacing w:after="0"/>
              <w:rPr>
                <w:sz w:val="20"/>
                <w:szCs w:val="20"/>
                <w:color w:val="auto"/>
              </w:rPr>
            </w:pPr>
            <w:r>
              <w:rPr>
                <w:rFonts w:ascii="Arial" w:cs="Arial" w:eastAsia="Arial" w:hAnsi="Arial"/>
                <w:sz w:val="14"/>
                <w:szCs w:val="14"/>
                <w:color w:val="auto"/>
              </w:rPr>
              <w:t>2,009</w:t>
            </w:r>
          </w:p>
        </w:tc>
        <w:tc>
          <w:tcPr>
            <w:tcW w:w="1340" w:type="dxa"/>
            <w:vAlign w:val="bottom"/>
            <w:tcBorders>
              <w:top w:val="single" w:sz="8" w:color="DBDBDB"/>
              <w:bottom w:val="single" w:sz="8" w:color="E7ECF0"/>
            </w:tcBorders>
            <w:shd w:val="clear" w:color="auto" w:fill="E7ECF0"/>
          </w:tcPr>
          <w:p>
            <w:pPr>
              <w:jc w:val="right"/>
              <w:spacing w:after="0"/>
              <w:rPr>
                <w:sz w:val="20"/>
                <w:szCs w:val="20"/>
                <w:color w:val="auto"/>
              </w:rPr>
            </w:pPr>
            <w:r>
              <w:rPr>
                <w:rFonts w:ascii="Arial" w:cs="Arial" w:eastAsia="Arial" w:hAnsi="Arial"/>
                <w:sz w:val="14"/>
                <w:szCs w:val="14"/>
                <w:color w:val="auto"/>
              </w:rPr>
              <w:t>335,458</w:t>
            </w:r>
          </w:p>
        </w:tc>
        <w:tc>
          <w:tcPr>
            <w:tcW w:w="0" w:type="dxa"/>
            <w:vAlign w:val="bottom"/>
          </w:tcPr>
          <w:p>
            <w:pPr>
              <w:spacing w:after="0"/>
              <w:rPr>
                <w:sz w:val="1"/>
                <w:szCs w:val="1"/>
                <w:color w:val="auto"/>
              </w:rPr>
            </w:pPr>
          </w:p>
        </w:tc>
      </w:tr>
      <w:tr>
        <w:trPr>
          <w:trHeight w:val="169"/>
        </w:trPr>
        <w:tc>
          <w:tcPr>
            <w:tcW w:w="920" w:type="dxa"/>
            <w:vAlign w:val="bottom"/>
            <w:tcBorders>
              <w:top w:val="single" w:sz="8" w:color="DBDBDB"/>
            </w:tcBorders>
          </w:tcPr>
          <w:p>
            <w:pPr>
              <w:spacing w:after="0" w:line="169" w:lineRule="exact"/>
              <w:rPr>
                <w:sz w:val="20"/>
                <w:szCs w:val="20"/>
                <w:color w:val="auto"/>
              </w:rPr>
            </w:pPr>
            <w:r>
              <w:rPr>
                <w:rFonts w:ascii="Arial" w:cs="Arial" w:eastAsia="Arial" w:hAnsi="Arial"/>
                <w:sz w:val="16"/>
                <w:szCs w:val="16"/>
                <w:color w:val="auto"/>
              </w:rPr>
              <w:t>Stacey E.</w:t>
            </w:r>
          </w:p>
        </w:tc>
        <w:tc>
          <w:tcPr>
            <w:tcW w:w="860" w:type="dxa"/>
            <w:vAlign w:val="bottom"/>
            <w:tcBorders>
              <w:top w:val="single" w:sz="8" w:color="DBDBDB"/>
            </w:tcBorders>
          </w:tcPr>
          <w:p>
            <w:pPr>
              <w:jc w:val="right"/>
              <w:ind w:right="87"/>
              <w:spacing w:after="0"/>
              <w:rPr>
                <w:sz w:val="20"/>
                <w:szCs w:val="20"/>
                <w:color w:val="auto"/>
              </w:rPr>
            </w:pPr>
            <w:r>
              <w:rPr>
                <w:rFonts w:ascii="Arial" w:cs="Arial" w:eastAsia="Arial" w:hAnsi="Arial"/>
                <w:sz w:val="14"/>
                <w:szCs w:val="14"/>
                <w:color w:val="auto"/>
              </w:rPr>
              <w:t>8/4/2023</w:t>
            </w:r>
          </w:p>
        </w:tc>
        <w:tc>
          <w:tcPr>
            <w:tcW w:w="940" w:type="dxa"/>
            <w:vAlign w:val="bottom"/>
            <w:tcBorders>
              <w:top w:val="single" w:sz="8" w:color="DBDBDB"/>
            </w:tcBorders>
          </w:tcPr>
          <w:p>
            <w:pPr>
              <w:jc w:val="right"/>
              <w:spacing w:after="0"/>
              <w:rPr>
                <w:sz w:val="20"/>
                <w:szCs w:val="20"/>
                <w:color w:val="auto"/>
              </w:rPr>
            </w:pPr>
            <w:r>
              <w:rPr>
                <w:rFonts w:ascii="Arial" w:cs="Arial" w:eastAsia="Arial" w:hAnsi="Arial"/>
                <w:sz w:val="14"/>
                <w:szCs w:val="14"/>
                <w:color w:val="auto"/>
              </w:rPr>
              <w:t>0</w:t>
            </w:r>
          </w:p>
        </w:tc>
        <w:tc>
          <w:tcPr>
            <w:tcW w:w="960" w:type="dxa"/>
            <w:vAlign w:val="bottom"/>
            <w:tcBorders>
              <w:top w:val="single" w:sz="8" w:color="DBDBDB"/>
            </w:tcBorders>
          </w:tcPr>
          <w:p>
            <w:pPr>
              <w:jc w:val="right"/>
              <w:spacing w:after="0"/>
              <w:rPr>
                <w:sz w:val="20"/>
                <w:szCs w:val="20"/>
                <w:color w:val="auto"/>
              </w:rPr>
            </w:pPr>
            <w:r>
              <w:rPr>
                <w:rFonts w:ascii="Arial" w:cs="Arial" w:eastAsia="Arial" w:hAnsi="Arial"/>
                <w:sz w:val="14"/>
                <w:szCs w:val="14"/>
                <w:color w:val="auto"/>
              </w:rPr>
              <w:t>195,330</w:t>
            </w:r>
          </w:p>
        </w:tc>
        <w:tc>
          <w:tcPr>
            <w:tcW w:w="960" w:type="dxa"/>
            <w:vAlign w:val="bottom"/>
            <w:tcBorders>
              <w:top w:val="single" w:sz="8" w:color="DBDBDB"/>
            </w:tcBorders>
          </w:tcPr>
          <w:p>
            <w:pPr>
              <w:jc w:val="right"/>
              <w:spacing w:after="0"/>
              <w:rPr>
                <w:sz w:val="20"/>
                <w:szCs w:val="20"/>
                <w:color w:val="auto"/>
              </w:rPr>
            </w:pPr>
            <w:r>
              <w:rPr>
                <w:rFonts w:ascii="Arial" w:cs="Arial" w:eastAsia="Arial" w:hAnsi="Arial"/>
                <w:sz w:val="14"/>
                <w:szCs w:val="14"/>
                <w:color w:val="auto"/>
              </w:rPr>
              <w:t>390,660</w:t>
            </w:r>
          </w:p>
        </w:tc>
        <w:tc>
          <w:tcPr>
            <w:tcW w:w="1040" w:type="dxa"/>
            <w:vAlign w:val="bottom"/>
            <w:tcBorders>
              <w:top w:val="single" w:sz="8" w:color="DBDBDB"/>
            </w:tcBorders>
          </w:tcPr>
          <w:p>
            <w:pPr>
              <w:jc w:val="right"/>
              <w:ind w:right="468"/>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DBDBDB"/>
            </w:tcBorders>
          </w:tcPr>
          <w:p>
            <w:pPr>
              <w:jc w:val="center"/>
              <w:ind w:right="48"/>
              <w:spacing w:after="0"/>
              <w:rPr>
                <w:sz w:val="20"/>
                <w:szCs w:val="20"/>
                <w:color w:val="auto"/>
              </w:rPr>
            </w:pPr>
            <w:r>
              <w:rPr>
                <w:rFonts w:ascii="Arial" w:cs="Arial" w:eastAsia="Arial" w:hAnsi="Arial"/>
                <w:sz w:val="14"/>
                <w:szCs w:val="14"/>
                <w:color w:val="auto"/>
              </w:rPr>
              <w:t>-</w:t>
            </w:r>
          </w:p>
        </w:tc>
        <w:tc>
          <w:tcPr>
            <w:tcW w:w="940" w:type="dxa"/>
            <w:vAlign w:val="bottom"/>
            <w:tcBorders>
              <w:top w:val="single" w:sz="8" w:color="DBDBDB"/>
            </w:tcBorders>
          </w:tcPr>
          <w:p>
            <w:pPr>
              <w:jc w:val="right"/>
              <w:ind w:right="388"/>
              <w:spacing w:after="0"/>
              <w:rPr>
                <w:sz w:val="20"/>
                <w:szCs w:val="20"/>
                <w:color w:val="auto"/>
              </w:rPr>
            </w:pPr>
            <w:r>
              <w:rPr>
                <w:rFonts w:ascii="Arial" w:cs="Arial" w:eastAsia="Arial" w:hAnsi="Arial"/>
                <w:sz w:val="14"/>
                <w:szCs w:val="14"/>
                <w:color w:val="auto"/>
              </w:rPr>
              <w:t>-</w:t>
            </w:r>
          </w:p>
        </w:tc>
        <w:tc>
          <w:tcPr>
            <w:tcW w:w="1480" w:type="dxa"/>
            <w:vAlign w:val="bottom"/>
            <w:tcBorders>
              <w:top w:val="single" w:sz="8" w:color="DBDBDB"/>
            </w:tcBorders>
          </w:tcPr>
          <w:p>
            <w:pPr>
              <w:jc w:val="center"/>
              <w:ind w:right="7"/>
              <w:spacing w:after="0"/>
              <w:rPr>
                <w:sz w:val="20"/>
                <w:szCs w:val="20"/>
                <w:color w:val="auto"/>
              </w:rPr>
            </w:pPr>
            <w:r>
              <w:rPr>
                <w:rFonts w:ascii="Arial" w:cs="Arial" w:eastAsia="Arial" w:hAnsi="Arial"/>
                <w:sz w:val="14"/>
                <w:szCs w:val="14"/>
                <w:color w:val="auto"/>
                <w:w w:val="84"/>
              </w:rPr>
              <w:t>-</w:t>
            </w:r>
          </w:p>
        </w:tc>
        <w:tc>
          <w:tcPr>
            <w:tcW w:w="1340" w:type="dxa"/>
            <w:vAlign w:val="bottom"/>
            <w:tcBorders>
              <w:top w:val="single" w:sz="8" w:color="DBDBDB"/>
            </w:tcBorders>
          </w:tcPr>
          <w:p>
            <w:pPr>
              <w:jc w:val="center"/>
              <w:ind w:right="7"/>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81"/>
        </w:trPr>
        <w:tc>
          <w:tcPr>
            <w:tcW w:w="920" w:type="dxa"/>
            <w:vAlign w:val="bottom"/>
            <w:vMerge w:val="restart"/>
          </w:tcPr>
          <w:p>
            <w:pPr>
              <w:spacing w:after="0"/>
              <w:rPr>
                <w:sz w:val="20"/>
                <w:szCs w:val="20"/>
                <w:color w:val="auto"/>
              </w:rPr>
            </w:pPr>
            <w:r>
              <w:rPr>
                <w:rFonts w:ascii="Arial" w:cs="Arial" w:eastAsia="Arial" w:hAnsi="Arial"/>
                <w:sz w:val="16"/>
                <w:szCs w:val="16"/>
                <w:color w:val="auto"/>
              </w:rPr>
              <w:t>Zengel</w:t>
            </w:r>
          </w:p>
        </w:tc>
        <w:tc>
          <w:tcPr>
            <w:tcW w:w="860" w:type="dxa"/>
            <w:vAlign w:val="bottom"/>
            <w:tcBorders>
              <w:bottom w:val="single" w:sz="8" w:color="DBDBDB"/>
            </w:tcBorders>
          </w:tcPr>
          <w:p>
            <w:pPr>
              <w:spacing w:after="0"/>
              <w:rPr>
                <w:sz w:val="7"/>
                <w:szCs w:val="7"/>
                <w:color w:val="auto"/>
              </w:rPr>
            </w:pPr>
          </w:p>
        </w:tc>
        <w:tc>
          <w:tcPr>
            <w:tcW w:w="940" w:type="dxa"/>
            <w:vAlign w:val="bottom"/>
            <w:tcBorders>
              <w:bottom w:val="single" w:sz="8" w:color="DBDBDB"/>
            </w:tcBorders>
          </w:tcPr>
          <w:p>
            <w:pPr>
              <w:spacing w:after="0"/>
              <w:rPr>
                <w:sz w:val="7"/>
                <w:szCs w:val="7"/>
                <w:color w:val="auto"/>
              </w:rPr>
            </w:pPr>
          </w:p>
        </w:tc>
        <w:tc>
          <w:tcPr>
            <w:tcW w:w="960" w:type="dxa"/>
            <w:vAlign w:val="bottom"/>
            <w:tcBorders>
              <w:bottom w:val="single" w:sz="8" w:color="DBDBDB"/>
            </w:tcBorders>
          </w:tcPr>
          <w:p>
            <w:pPr>
              <w:spacing w:after="0"/>
              <w:rPr>
                <w:sz w:val="7"/>
                <w:szCs w:val="7"/>
                <w:color w:val="auto"/>
              </w:rPr>
            </w:pPr>
          </w:p>
        </w:tc>
        <w:tc>
          <w:tcPr>
            <w:tcW w:w="960" w:type="dxa"/>
            <w:vAlign w:val="bottom"/>
            <w:tcBorders>
              <w:bottom w:val="single" w:sz="8" w:color="DBDBDB"/>
            </w:tcBorders>
          </w:tcPr>
          <w:p>
            <w:pPr>
              <w:spacing w:after="0"/>
              <w:rPr>
                <w:sz w:val="7"/>
                <w:szCs w:val="7"/>
                <w:color w:val="auto"/>
              </w:rPr>
            </w:pPr>
          </w:p>
        </w:tc>
        <w:tc>
          <w:tcPr>
            <w:tcW w:w="1040" w:type="dxa"/>
            <w:vAlign w:val="bottom"/>
            <w:tcBorders>
              <w:bottom w:val="single" w:sz="8" w:color="DBDBDB"/>
            </w:tcBorders>
          </w:tcPr>
          <w:p>
            <w:pPr>
              <w:spacing w:after="0"/>
              <w:rPr>
                <w:sz w:val="7"/>
                <w:szCs w:val="7"/>
                <w:color w:val="auto"/>
              </w:rPr>
            </w:pPr>
          </w:p>
        </w:tc>
        <w:tc>
          <w:tcPr>
            <w:tcW w:w="900" w:type="dxa"/>
            <w:vAlign w:val="bottom"/>
            <w:tcBorders>
              <w:bottom w:val="single" w:sz="8" w:color="DBDBDB"/>
            </w:tcBorders>
          </w:tcPr>
          <w:p>
            <w:pPr>
              <w:spacing w:after="0"/>
              <w:rPr>
                <w:sz w:val="7"/>
                <w:szCs w:val="7"/>
                <w:color w:val="auto"/>
              </w:rPr>
            </w:pPr>
          </w:p>
        </w:tc>
        <w:tc>
          <w:tcPr>
            <w:tcW w:w="940" w:type="dxa"/>
            <w:vAlign w:val="bottom"/>
            <w:tcBorders>
              <w:bottom w:val="single" w:sz="8" w:color="DBDBDB"/>
            </w:tcBorders>
          </w:tcPr>
          <w:p>
            <w:pPr>
              <w:spacing w:after="0"/>
              <w:rPr>
                <w:sz w:val="7"/>
                <w:szCs w:val="7"/>
                <w:color w:val="auto"/>
              </w:rPr>
            </w:pPr>
          </w:p>
        </w:tc>
        <w:tc>
          <w:tcPr>
            <w:tcW w:w="1480" w:type="dxa"/>
            <w:vAlign w:val="bottom"/>
            <w:tcBorders>
              <w:bottom w:val="single" w:sz="8" w:color="DBDBDB"/>
            </w:tcBorders>
          </w:tcPr>
          <w:p>
            <w:pPr>
              <w:spacing w:after="0"/>
              <w:rPr>
                <w:sz w:val="7"/>
                <w:szCs w:val="7"/>
                <w:color w:val="auto"/>
              </w:rPr>
            </w:pPr>
          </w:p>
        </w:tc>
        <w:tc>
          <w:tcPr>
            <w:tcW w:w="1340" w:type="dxa"/>
            <w:vAlign w:val="bottom"/>
            <w:tcBorders>
              <w:bottom w:val="single" w:sz="8" w:color="DBDBDB"/>
            </w:tcBorders>
          </w:tcPr>
          <w:p>
            <w:pPr>
              <w:spacing w:after="0"/>
              <w:rPr>
                <w:sz w:val="7"/>
                <w:szCs w:val="7"/>
                <w:color w:val="auto"/>
              </w:rPr>
            </w:pPr>
          </w:p>
        </w:tc>
        <w:tc>
          <w:tcPr>
            <w:tcW w:w="0" w:type="dxa"/>
            <w:vAlign w:val="bottom"/>
          </w:tcPr>
          <w:p>
            <w:pPr>
              <w:spacing w:after="0"/>
              <w:rPr>
                <w:sz w:val="1"/>
                <w:szCs w:val="1"/>
                <w:color w:val="auto"/>
              </w:rPr>
            </w:pPr>
          </w:p>
        </w:tc>
      </w:tr>
      <w:tr>
        <w:trPr>
          <w:trHeight w:val="114"/>
        </w:trPr>
        <w:tc>
          <w:tcPr>
            <w:tcW w:w="920" w:type="dxa"/>
            <w:vAlign w:val="bottom"/>
            <w:vMerge w:val="continue"/>
          </w:tcPr>
          <w:p>
            <w:pPr>
              <w:spacing w:after="0"/>
              <w:rPr>
                <w:sz w:val="9"/>
                <w:szCs w:val="9"/>
                <w:color w:val="auto"/>
              </w:rPr>
            </w:pPr>
          </w:p>
        </w:tc>
        <w:tc>
          <w:tcPr>
            <w:tcW w:w="860" w:type="dxa"/>
            <w:vAlign w:val="bottom"/>
            <w:vMerge w:val="restart"/>
          </w:tcPr>
          <w:p>
            <w:pPr>
              <w:jc w:val="right"/>
              <w:ind w:right="87"/>
              <w:spacing w:after="0"/>
              <w:rPr>
                <w:sz w:val="20"/>
                <w:szCs w:val="20"/>
                <w:color w:val="auto"/>
              </w:rPr>
            </w:pPr>
            <w:r>
              <w:rPr>
                <w:rFonts w:ascii="Arial" w:cs="Arial" w:eastAsia="Arial" w:hAnsi="Arial"/>
                <w:sz w:val="14"/>
                <w:szCs w:val="14"/>
                <w:color w:val="auto"/>
              </w:rPr>
              <w:t>8/4/2023</w:t>
            </w:r>
          </w:p>
        </w:tc>
        <w:tc>
          <w:tcPr>
            <w:tcW w:w="940" w:type="dxa"/>
            <w:vAlign w:val="bottom"/>
            <w:vMerge w:val="restart"/>
          </w:tcPr>
          <w:p>
            <w:pPr>
              <w:jc w:val="center"/>
              <w:spacing w:after="0"/>
              <w:rPr>
                <w:sz w:val="20"/>
                <w:szCs w:val="20"/>
                <w:color w:val="auto"/>
              </w:rPr>
            </w:pPr>
            <w:r>
              <w:rPr>
                <w:rFonts w:ascii="Arial" w:cs="Arial" w:eastAsia="Arial" w:hAnsi="Arial"/>
                <w:sz w:val="14"/>
                <w:szCs w:val="14"/>
                <w:color w:val="auto"/>
                <w:w w:val="84"/>
              </w:rPr>
              <w:t>-</w:t>
            </w:r>
          </w:p>
        </w:tc>
        <w:tc>
          <w:tcPr>
            <w:tcW w:w="960" w:type="dxa"/>
            <w:vAlign w:val="bottom"/>
            <w:vMerge w:val="restart"/>
          </w:tcPr>
          <w:p>
            <w:pPr>
              <w:jc w:val="center"/>
              <w:spacing w:after="0"/>
              <w:rPr>
                <w:sz w:val="20"/>
                <w:szCs w:val="20"/>
                <w:color w:val="auto"/>
              </w:rPr>
            </w:pPr>
            <w:r>
              <w:rPr>
                <w:rFonts w:ascii="Arial" w:cs="Arial" w:eastAsia="Arial" w:hAnsi="Arial"/>
                <w:sz w:val="14"/>
                <w:szCs w:val="14"/>
                <w:color w:val="auto"/>
              </w:rPr>
              <w:t>-</w:t>
            </w:r>
          </w:p>
        </w:tc>
        <w:tc>
          <w:tcPr>
            <w:tcW w:w="960" w:type="dxa"/>
            <w:vAlign w:val="bottom"/>
            <w:vMerge w:val="restart"/>
          </w:tcPr>
          <w:p>
            <w:pPr>
              <w:jc w:val="right"/>
              <w:ind w:right="388"/>
              <w:spacing w:after="0"/>
              <w:rPr>
                <w:sz w:val="20"/>
                <w:szCs w:val="20"/>
                <w:color w:val="auto"/>
              </w:rPr>
            </w:pPr>
            <w:r>
              <w:rPr>
                <w:rFonts w:ascii="Arial" w:cs="Arial" w:eastAsia="Arial" w:hAnsi="Arial"/>
                <w:sz w:val="14"/>
                <w:szCs w:val="14"/>
                <w:color w:val="auto"/>
              </w:rPr>
              <w:t>-</w:t>
            </w:r>
          </w:p>
        </w:tc>
        <w:tc>
          <w:tcPr>
            <w:tcW w:w="1040" w:type="dxa"/>
            <w:vAlign w:val="bottom"/>
            <w:vMerge w:val="restart"/>
          </w:tcPr>
          <w:p>
            <w:pPr>
              <w:jc w:val="right"/>
              <w:ind w:right="28"/>
              <w:spacing w:after="0"/>
              <w:rPr>
                <w:sz w:val="20"/>
                <w:szCs w:val="20"/>
                <w:color w:val="auto"/>
              </w:rPr>
            </w:pPr>
            <w:r>
              <w:rPr>
                <w:rFonts w:ascii="Arial" w:cs="Arial" w:eastAsia="Arial" w:hAnsi="Arial"/>
                <w:sz w:val="14"/>
                <w:szCs w:val="14"/>
                <w:color w:val="auto"/>
              </w:rPr>
              <w:t>181</w:t>
            </w:r>
          </w:p>
        </w:tc>
        <w:tc>
          <w:tcPr>
            <w:tcW w:w="900" w:type="dxa"/>
            <w:vAlign w:val="bottom"/>
            <w:vMerge w:val="restart"/>
          </w:tcPr>
          <w:p>
            <w:pPr>
              <w:jc w:val="right"/>
              <w:spacing w:after="0"/>
              <w:rPr>
                <w:sz w:val="20"/>
                <w:szCs w:val="20"/>
                <w:color w:val="auto"/>
              </w:rPr>
            </w:pPr>
            <w:r>
              <w:rPr>
                <w:rFonts w:ascii="Arial" w:cs="Arial" w:eastAsia="Arial" w:hAnsi="Arial"/>
                <w:sz w:val="14"/>
                <w:szCs w:val="14"/>
                <w:color w:val="auto"/>
              </w:rPr>
              <w:t>724</w:t>
            </w:r>
          </w:p>
        </w:tc>
        <w:tc>
          <w:tcPr>
            <w:tcW w:w="940" w:type="dxa"/>
            <w:vAlign w:val="bottom"/>
            <w:vMerge w:val="restart"/>
          </w:tcPr>
          <w:p>
            <w:pPr>
              <w:jc w:val="right"/>
              <w:spacing w:after="0"/>
              <w:rPr>
                <w:sz w:val="20"/>
                <w:szCs w:val="20"/>
                <w:color w:val="auto"/>
              </w:rPr>
            </w:pPr>
            <w:r>
              <w:rPr>
                <w:rFonts w:ascii="Arial" w:cs="Arial" w:eastAsia="Arial" w:hAnsi="Arial"/>
                <w:sz w:val="14"/>
                <w:szCs w:val="14"/>
                <w:color w:val="auto"/>
              </w:rPr>
              <w:t>1,448</w:t>
            </w:r>
          </w:p>
        </w:tc>
        <w:tc>
          <w:tcPr>
            <w:tcW w:w="1480" w:type="dxa"/>
            <w:vAlign w:val="bottom"/>
            <w:vMerge w:val="restart"/>
          </w:tcPr>
          <w:p>
            <w:pPr>
              <w:jc w:val="center"/>
              <w:ind w:right="7"/>
              <w:spacing w:after="0"/>
              <w:rPr>
                <w:sz w:val="20"/>
                <w:szCs w:val="20"/>
                <w:color w:val="auto"/>
              </w:rPr>
            </w:pPr>
            <w:r>
              <w:rPr>
                <w:rFonts w:ascii="Arial" w:cs="Arial" w:eastAsia="Arial" w:hAnsi="Arial"/>
                <w:sz w:val="14"/>
                <w:szCs w:val="14"/>
                <w:color w:val="auto"/>
                <w:w w:val="84"/>
              </w:rPr>
              <w:t>-</w:t>
            </w:r>
          </w:p>
        </w:tc>
        <w:tc>
          <w:tcPr>
            <w:tcW w:w="1340" w:type="dxa"/>
            <w:vAlign w:val="bottom"/>
            <w:vMerge w:val="restart"/>
          </w:tcPr>
          <w:p>
            <w:pPr>
              <w:jc w:val="right"/>
              <w:spacing w:after="0"/>
              <w:rPr>
                <w:sz w:val="20"/>
                <w:szCs w:val="20"/>
                <w:color w:val="auto"/>
              </w:rPr>
            </w:pPr>
            <w:r>
              <w:rPr>
                <w:rFonts w:ascii="Arial" w:cs="Arial" w:eastAsia="Arial" w:hAnsi="Arial"/>
                <w:sz w:val="14"/>
                <w:szCs w:val="14"/>
                <w:color w:val="auto"/>
              </w:rPr>
              <w:t>161,690</w:t>
            </w:r>
          </w:p>
        </w:tc>
        <w:tc>
          <w:tcPr>
            <w:tcW w:w="0" w:type="dxa"/>
            <w:vAlign w:val="bottom"/>
          </w:tcPr>
          <w:p>
            <w:pPr>
              <w:spacing w:after="0"/>
              <w:rPr>
                <w:sz w:val="1"/>
                <w:szCs w:val="1"/>
                <w:color w:val="auto"/>
              </w:rPr>
            </w:pPr>
          </w:p>
        </w:tc>
      </w:tr>
      <w:tr>
        <w:trPr>
          <w:trHeight w:val="101"/>
        </w:trPr>
        <w:tc>
          <w:tcPr>
            <w:tcW w:w="920" w:type="dxa"/>
            <w:vAlign w:val="bottom"/>
          </w:tcPr>
          <w:p>
            <w:pPr>
              <w:spacing w:after="0"/>
              <w:rPr>
                <w:sz w:val="8"/>
                <w:szCs w:val="8"/>
                <w:color w:val="auto"/>
              </w:rPr>
            </w:pPr>
          </w:p>
        </w:tc>
        <w:tc>
          <w:tcPr>
            <w:tcW w:w="860" w:type="dxa"/>
            <w:vAlign w:val="bottom"/>
            <w:vMerge w:val="continue"/>
          </w:tcPr>
          <w:p>
            <w:pPr>
              <w:spacing w:after="0"/>
              <w:rPr>
                <w:sz w:val="8"/>
                <w:szCs w:val="8"/>
                <w:color w:val="auto"/>
              </w:rPr>
            </w:pPr>
          </w:p>
        </w:tc>
        <w:tc>
          <w:tcPr>
            <w:tcW w:w="940" w:type="dxa"/>
            <w:vAlign w:val="bottom"/>
            <w:vMerge w:val="continue"/>
          </w:tcPr>
          <w:p>
            <w:pPr>
              <w:spacing w:after="0"/>
              <w:rPr>
                <w:sz w:val="8"/>
                <w:szCs w:val="8"/>
                <w:color w:val="auto"/>
              </w:rPr>
            </w:pPr>
          </w:p>
        </w:tc>
        <w:tc>
          <w:tcPr>
            <w:tcW w:w="960" w:type="dxa"/>
            <w:vAlign w:val="bottom"/>
            <w:vMerge w:val="continue"/>
          </w:tcPr>
          <w:p>
            <w:pPr>
              <w:spacing w:after="0"/>
              <w:rPr>
                <w:sz w:val="8"/>
                <w:szCs w:val="8"/>
                <w:color w:val="auto"/>
              </w:rPr>
            </w:pPr>
          </w:p>
        </w:tc>
        <w:tc>
          <w:tcPr>
            <w:tcW w:w="960" w:type="dxa"/>
            <w:vAlign w:val="bottom"/>
            <w:vMerge w:val="continue"/>
          </w:tcPr>
          <w:p>
            <w:pPr>
              <w:spacing w:after="0"/>
              <w:rPr>
                <w:sz w:val="8"/>
                <w:szCs w:val="8"/>
                <w:color w:val="auto"/>
              </w:rPr>
            </w:pPr>
          </w:p>
        </w:tc>
        <w:tc>
          <w:tcPr>
            <w:tcW w:w="1040" w:type="dxa"/>
            <w:vAlign w:val="bottom"/>
            <w:vMerge w:val="continue"/>
          </w:tcPr>
          <w:p>
            <w:pPr>
              <w:spacing w:after="0"/>
              <w:rPr>
                <w:sz w:val="8"/>
                <w:szCs w:val="8"/>
                <w:color w:val="auto"/>
              </w:rPr>
            </w:pPr>
          </w:p>
        </w:tc>
        <w:tc>
          <w:tcPr>
            <w:tcW w:w="900" w:type="dxa"/>
            <w:vAlign w:val="bottom"/>
            <w:vMerge w:val="continue"/>
          </w:tcPr>
          <w:p>
            <w:pPr>
              <w:spacing w:after="0"/>
              <w:rPr>
                <w:sz w:val="8"/>
                <w:szCs w:val="8"/>
                <w:color w:val="auto"/>
              </w:rPr>
            </w:pPr>
          </w:p>
        </w:tc>
        <w:tc>
          <w:tcPr>
            <w:tcW w:w="940" w:type="dxa"/>
            <w:vAlign w:val="bottom"/>
            <w:vMerge w:val="continue"/>
          </w:tcPr>
          <w:p>
            <w:pPr>
              <w:spacing w:after="0"/>
              <w:rPr>
                <w:sz w:val="8"/>
                <w:szCs w:val="8"/>
                <w:color w:val="auto"/>
              </w:rPr>
            </w:pPr>
          </w:p>
        </w:tc>
        <w:tc>
          <w:tcPr>
            <w:tcW w:w="1480" w:type="dxa"/>
            <w:vAlign w:val="bottom"/>
            <w:vMerge w:val="continue"/>
          </w:tcPr>
          <w:p>
            <w:pPr>
              <w:spacing w:after="0"/>
              <w:rPr>
                <w:sz w:val="8"/>
                <w:szCs w:val="8"/>
                <w:color w:val="auto"/>
              </w:rPr>
            </w:pPr>
          </w:p>
        </w:tc>
        <w:tc>
          <w:tcPr>
            <w:tcW w:w="13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35"/>
        </w:trPr>
        <w:tc>
          <w:tcPr>
            <w:tcW w:w="920" w:type="dxa"/>
            <w:vAlign w:val="bottom"/>
          </w:tcPr>
          <w:p>
            <w:pPr>
              <w:spacing w:after="0"/>
              <w:rPr>
                <w:sz w:val="3"/>
                <w:szCs w:val="3"/>
                <w:color w:val="auto"/>
              </w:rPr>
            </w:pPr>
          </w:p>
        </w:tc>
        <w:tc>
          <w:tcPr>
            <w:tcW w:w="860" w:type="dxa"/>
            <w:vAlign w:val="bottom"/>
            <w:tcBorders>
              <w:bottom w:val="single" w:sz="8" w:color="DBDBDB"/>
            </w:tcBorders>
          </w:tcPr>
          <w:p>
            <w:pPr>
              <w:spacing w:after="0"/>
              <w:rPr>
                <w:sz w:val="3"/>
                <w:szCs w:val="3"/>
                <w:color w:val="auto"/>
              </w:rPr>
            </w:pPr>
          </w:p>
        </w:tc>
        <w:tc>
          <w:tcPr>
            <w:tcW w:w="940" w:type="dxa"/>
            <w:vAlign w:val="bottom"/>
            <w:tcBorders>
              <w:bottom w:val="single" w:sz="8" w:color="DBDBDB"/>
            </w:tcBorders>
          </w:tcPr>
          <w:p>
            <w:pPr>
              <w:spacing w:after="0"/>
              <w:rPr>
                <w:sz w:val="3"/>
                <w:szCs w:val="3"/>
                <w:color w:val="auto"/>
              </w:rPr>
            </w:pPr>
          </w:p>
        </w:tc>
        <w:tc>
          <w:tcPr>
            <w:tcW w:w="960" w:type="dxa"/>
            <w:vAlign w:val="bottom"/>
            <w:tcBorders>
              <w:bottom w:val="single" w:sz="8" w:color="DBDBDB"/>
            </w:tcBorders>
          </w:tcPr>
          <w:p>
            <w:pPr>
              <w:spacing w:after="0"/>
              <w:rPr>
                <w:sz w:val="3"/>
                <w:szCs w:val="3"/>
                <w:color w:val="auto"/>
              </w:rPr>
            </w:pPr>
          </w:p>
        </w:tc>
        <w:tc>
          <w:tcPr>
            <w:tcW w:w="960" w:type="dxa"/>
            <w:vAlign w:val="bottom"/>
            <w:tcBorders>
              <w:bottom w:val="single" w:sz="8" w:color="DBDBDB"/>
            </w:tcBorders>
          </w:tcPr>
          <w:p>
            <w:pPr>
              <w:spacing w:after="0"/>
              <w:rPr>
                <w:sz w:val="3"/>
                <w:szCs w:val="3"/>
                <w:color w:val="auto"/>
              </w:rPr>
            </w:pPr>
          </w:p>
        </w:tc>
        <w:tc>
          <w:tcPr>
            <w:tcW w:w="1040" w:type="dxa"/>
            <w:vAlign w:val="bottom"/>
            <w:tcBorders>
              <w:bottom w:val="single" w:sz="8" w:color="DBDBDB"/>
            </w:tcBorders>
          </w:tcPr>
          <w:p>
            <w:pPr>
              <w:spacing w:after="0"/>
              <w:rPr>
                <w:sz w:val="3"/>
                <w:szCs w:val="3"/>
                <w:color w:val="auto"/>
              </w:rPr>
            </w:pPr>
          </w:p>
        </w:tc>
        <w:tc>
          <w:tcPr>
            <w:tcW w:w="900" w:type="dxa"/>
            <w:vAlign w:val="bottom"/>
            <w:tcBorders>
              <w:bottom w:val="single" w:sz="8" w:color="DBDBDB"/>
            </w:tcBorders>
          </w:tcPr>
          <w:p>
            <w:pPr>
              <w:spacing w:after="0"/>
              <w:rPr>
                <w:sz w:val="3"/>
                <w:szCs w:val="3"/>
                <w:color w:val="auto"/>
              </w:rPr>
            </w:pPr>
          </w:p>
        </w:tc>
        <w:tc>
          <w:tcPr>
            <w:tcW w:w="940" w:type="dxa"/>
            <w:vAlign w:val="bottom"/>
            <w:tcBorders>
              <w:bottom w:val="single" w:sz="8" w:color="DBDBDB"/>
            </w:tcBorders>
          </w:tcPr>
          <w:p>
            <w:pPr>
              <w:spacing w:after="0"/>
              <w:rPr>
                <w:sz w:val="3"/>
                <w:szCs w:val="3"/>
                <w:color w:val="auto"/>
              </w:rPr>
            </w:pPr>
          </w:p>
        </w:tc>
        <w:tc>
          <w:tcPr>
            <w:tcW w:w="1480" w:type="dxa"/>
            <w:vAlign w:val="bottom"/>
            <w:tcBorders>
              <w:bottom w:val="single" w:sz="8" w:color="DBDBDB"/>
            </w:tcBorders>
          </w:tcPr>
          <w:p>
            <w:pPr>
              <w:spacing w:after="0"/>
              <w:rPr>
                <w:sz w:val="3"/>
                <w:szCs w:val="3"/>
                <w:color w:val="auto"/>
              </w:rPr>
            </w:pPr>
          </w:p>
        </w:tc>
        <w:tc>
          <w:tcPr>
            <w:tcW w:w="1340" w:type="dxa"/>
            <w:vAlign w:val="bottom"/>
            <w:tcBorders>
              <w:bottom w:val="single" w:sz="8" w:color="DBDBDB"/>
            </w:tcBorders>
          </w:tcPr>
          <w:p>
            <w:pPr>
              <w:spacing w:after="0"/>
              <w:rPr>
                <w:sz w:val="3"/>
                <w:szCs w:val="3"/>
                <w:color w:val="auto"/>
              </w:rPr>
            </w:pPr>
          </w:p>
        </w:tc>
        <w:tc>
          <w:tcPr>
            <w:tcW w:w="0" w:type="dxa"/>
            <w:vAlign w:val="bottom"/>
          </w:tcPr>
          <w:p>
            <w:pPr>
              <w:spacing w:after="0"/>
              <w:rPr>
                <w:sz w:val="1"/>
                <w:szCs w:val="1"/>
                <w:color w:val="auto"/>
              </w:rPr>
            </w:pPr>
          </w:p>
        </w:tc>
      </w:tr>
      <w:tr>
        <w:trPr>
          <w:trHeight w:val="215"/>
        </w:trPr>
        <w:tc>
          <w:tcPr>
            <w:tcW w:w="920" w:type="dxa"/>
            <w:vAlign w:val="bottom"/>
          </w:tcPr>
          <w:p>
            <w:pPr>
              <w:spacing w:after="0"/>
              <w:rPr>
                <w:sz w:val="18"/>
                <w:szCs w:val="18"/>
                <w:color w:val="auto"/>
              </w:rPr>
            </w:pPr>
          </w:p>
        </w:tc>
        <w:tc>
          <w:tcPr>
            <w:tcW w:w="860" w:type="dxa"/>
            <w:vAlign w:val="bottom"/>
          </w:tcPr>
          <w:p>
            <w:pPr>
              <w:jc w:val="right"/>
              <w:ind w:right="87"/>
              <w:spacing w:after="0"/>
              <w:rPr>
                <w:sz w:val="20"/>
                <w:szCs w:val="20"/>
                <w:color w:val="auto"/>
              </w:rPr>
            </w:pPr>
            <w:r>
              <w:rPr>
                <w:rFonts w:ascii="Arial" w:cs="Arial" w:eastAsia="Arial" w:hAnsi="Arial"/>
                <w:sz w:val="14"/>
                <w:szCs w:val="14"/>
                <w:color w:val="auto"/>
              </w:rPr>
              <w:t>8/4/2023</w:t>
            </w:r>
          </w:p>
        </w:tc>
        <w:tc>
          <w:tcPr>
            <w:tcW w:w="940" w:type="dxa"/>
            <w:vAlign w:val="bottom"/>
          </w:tcPr>
          <w:p>
            <w:pPr>
              <w:jc w:val="center"/>
              <w:spacing w:after="0"/>
              <w:rPr>
                <w:sz w:val="20"/>
                <w:szCs w:val="20"/>
                <w:color w:val="auto"/>
              </w:rPr>
            </w:pPr>
            <w:r>
              <w:rPr>
                <w:rFonts w:ascii="Arial" w:cs="Arial" w:eastAsia="Arial" w:hAnsi="Arial"/>
                <w:sz w:val="14"/>
                <w:szCs w:val="14"/>
                <w:color w:val="auto"/>
                <w:w w:val="84"/>
              </w:rPr>
              <w:t>-</w:t>
            </w:r>
          </w:p>
        </w:tc>
        <w:tc>
          <w:tcPr>
            <w:tcW w:w="960" w:type="dxa"/>
            <w:vAlign w:val="bottom"/>
          </w:tcPr>
          <w:p>
            <w:pPr>
              <w:jc w:val="center"/>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388"/>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121</w:t>
            </w:r>
          </w:p>
        </w:tc>
        <w:tc>
          <w:tcPr>
            <w:tcW w:w="900" w:type="dxa"/>
            <w:vAlign w:val="bottom"/>
          </w:tcPr>
          <w:p>
            <w:pPr>
              <w:jc w:val="right"/>
              <w:spacing w:after="0"/>
              <w:rPr>
                <w:sz w:val="20"/>
                <w:szCs w:val="20"/>
                <w:color w:val="auto"/>
              </w:rPr>
            </w:pPr>
            <w:r>
              <w:rPr>
                <w:rFonts w:ascii="Arial" w:cs="Arial" w:eastAsia="Arial" w:hAnsi="Arial"/>
                <w:sz w:val="14"/>
                <w:szCs w:val="14"/>
                <w:color w:val="auto"/>
              </w:rPr>
              <w:t>242</w:t>
            </w:r>
          </w:p>
        </w:tc>
        <w:tc>
          <w:tcPr>
            <w:tcW w:w="940" w:type="dxa"/>
            <w:vAlign w:val="bottom"/>
          </w:tcPr>
          <w:p>
            <w:pPr>
              <w:jc w:val="right"/>
              <w:spacing w:after="0"/>
              <w:rPr>
                <w:sz w:val="20"/>
                <w:szCs w:val="20"/>
                <w:color w:val="auto"/>
              </w:rPr>
            </w:pPr>
            <w:r>
              <w:rPr>
                <w:rFonts w:ascii="Arial" w:cs="Arial" w:eastAsia="Arial" w:hAnsi="Arial"/>
                <w:sz w:val="14"/>
                <w:szCs w:val="14"/>
                <w:color w:val="auto"/>
              </w:rPr>
              <w:t>484</w:t>
            </w:r>
          </w:p>
        </w:tc>
        <w:tc>
          <w:tcPr>
            <w:tcW w:w="1480" w:type="dxa"/>
            <w:vAlign w:val="bottom"/>
          </w:tcPr>
          <w:p>
            <w:pPr>
              <w:jc w:val="center"/>
              <w:ind w:right="7"/>
              <w:spacing w:after="0"/>
              <w:rPr>
                <w:sz w:val="20"/>
                <w:szCs w:val="20"/>
                <w:color w:val="auto"/>
              </w:rPr>
            </w:pPr>
            <w:r>
              <w:rPr>
                <w:rFonts w:ascii="Arial" w:cs="Arial" w:eastAsia="Arial" w:hAnsi="Arial"/>
                <w:sz w:val="14"/>
                <w:szCs w:val="14"/>
                <w:color w:val="auto"/>
                <w:w w:val="84"/>
              </w:rPr>
              <w:t>-</w:t>
            </w:r>
          </w:p>
        </w:tc>
        <w:tc>
          <w:tcPr>
            <w:tcW w:w="1340" w:type="dxa"/>
            <w:vAlign w:val="bottom"/>
          </w:tcPr>
          <w:p>
            <w:pPr>
              <w:jc w:val="right"/>
              <w:spacing w:after="0"/>
              <w:rPr>
                <w:sz w:val="20"/>
                <w:szCs w:val="20"/>
                <w:color w:val="auto"/>
              </w:rPr>
            </w:pPr>
            <w:r>
              <w:rPr>
                <w:rFonts w:ascii="Arial" w:cs="Arial" w:eastAsia="Arial" w:hAnsi="Arial"/>
                <w:sz w:val="14"/>
                <w:szCs w:val="14"/>
                <w:color w:val="auto"/>
              </w:rPr>
              <w:t>39,899</w:t>
            </w:r>
          </w:p>
        </w:tc>
        <w:tc>
          <w:tcPr>
            <w:tcW w:w="0" w:type="dxa"/>
            <w:vAlign w:val="bottom"/>
          </w:tcPr>
          <w:p>
            <w:pPr>
              <w:spacing w:after="0"/>
              <w:rPr>
                <w:sz w:val="1"/>
                <w:szCs w:val="1"/>
                <w:color w:val="auto"/>
              </w:rPr>
            </w:pPr>
          </w:p>
        </w:tc>
      </w:tr>
      <w:tr>
        <w:trPr>
          <w:trHeight w:val="35"/>
        </w:trPr>
        <w:tc>
          <w:tcPr>
            <w:tcW w:w="920" w:type="dxa"/>
            <w:vAlign w:val="bottom"/>
          </w:tcPr>
          <w:p>
            <w:pPr>
              <w:spacing w:after="0"/>
              <w:rPr>
                <w:sz w:val="3"/>
                <w:szCs w:val="3"/>
                <w:color w:val="auto"/>
              </w:rPr>
            </w:pPr>
          </w:p>
        </w:tc>
        <w:tc>
          <w:tcPr>
            <w:tcW w:w="860" w:type="dxa"/>
            <w:vAlign w:val="bottom"/>
            <w:tcBorders>
              <w:bottom w:val="single" w:sz="8" w:color="DBDBDB"/>
            </w:tcBorders>
          </w:tcPr>
          <w:p>
            <w:pPr>
              <w:spacing w:after="0"/>
              <w:rPr>
                <w:sz w:val="3"/>
                <w:szCs w:val="3"/>
                <w:color w:val="auto"/>
              </w:rPr>
            </w:pPr>
          </w:p>
        </w:tc>
        <w:tc>
          <w:tcPr>
            <w:tcW w:w="940" w:type="dxa"/>
            <w:vAlign w:val="bottom"/>
            <w:tcBorders>
              <w:bottom w:val="single" w:sz="8" w:color="DBDBDB"/>
            </w:tcBorders>
          </w:tcPr>
          <w:p>
            <w:pPr>
              <w:spacing w:after="0"/>
              <w:rPr>
                <w:sz w:val="3"/>
                <w:szCs w:val="3"/>
                <w:color w:val="auto"/>
              </w:rPr>
            </w:pPr>
          </w:p>
        </w:tc>
        <w:tc>
          <w:tcPr>
            <w:tcW w:w="960" w:type="dxa"/>
            <w:vAlign w:val="bottom"/>
            <w:tcBorders>
              <w:bottom w:val="single" w:sz="8" w:color="DBDBDB"/>
            </w:tcBorders>
          </w:tcPr>
          <w:p>
            <w:pPr>
              <w:spacing w:after="0"/>
              <w:rPr>
                <w:sz w:val="3"/>
                <w:szCs w:val="3"/>
                <w:color w:val="auto"/>
              </w:rPr>
            </w:pPr>
          </w:p>
        </w:tc>
        <w:tc>
          <w:tcPr>
            <w:tcW w:w="960" w:type="dxa"/>
            <w:vAlign w:val="bottom"/>
            <w:tcBorders>
              <w:bottom w:val="single" w:sz="8" w:color="DBDBDB"/>
            </w:tcBorders>
          </w:tcPr>
          <w:p>
            <w:pPr>
              <w:spacing w:after="0"/>
              <w:rPr>
                <w:sz w:val="3"/>
                <w:szCs w:val="3"/>
                <w:color w:val="auto"/>
              </w:rPr>
            </w:pPr>
          </w:p>
        </w:tc>
        <w:tc>
          <w:tcPr>
            <w:tcW w:w="1040" w:type="dxa"/>
            <w:vAlign w:val="bottom"/>
            <w:tcBorders>
              <w:bottom w:val="single" w:sz="8" w:color="DBDBDB"/>
            </w:tcBorders>
          </w:tcPr>
          <w:p>
            <w:pPr>
              <w:spacing w:after="0"/>
              <w:rPr>
                <w:sz w:val="3"/>
                <w:szCs w:val="3"/>
                <w:color w:val="auto"/>
              </w:rPr>
            </w:pPr>
          </w:p>
        </w:tc>
        <w:tc>
          <w:tcPr>
            <w:tcW w:w="900" w:type="dxa"/>
            <w:vAlign w:val="bottom"/>
            <w:tcBorders>
              <w:bottom w:val="single" w:sz="8" w:color="DBDBDB"/>
            </w:tcBorders>
          </w:tcPr>
          <w:p>
            <w:pPr>
              <w:spacing w:after="0"/>
              <w:rPr>
                <w:sz w:val="3"/>
                <w:szCs w:val="3"/>
                <w:color w:val="auto"/>
              </w:rPr>
            </w:pPr>
          </w:p>
        </w:tc>
        <w:tc>
          <w:tcPr>
            <w:tcW w:w="940" w:type="dxa"/>
            <w:vAlign w:val="bottom"/>
            <w:tcBorders>
              <w:bottom w:val="single" w:sz="8" w:color="DBDBDB"/>
            </w:tcBorders>
          </w:tcPr>
          <w:p>
            <w:pPr>
              <w:spacing w:after="0"/>
              <w:rPr>
                <w:sz w:val="3"/>
                <w:szCs w:val="3"/>
                <w:color w:val="auto"/>
              </w:rPr>
            </w:pPr>
          </w:p>
        </w:tc>
        <w:tc>
          <w:tcPr>
            <w:tcW w:w="1480" w:type="dxa"/>
            <w:vAlign w:val="bottom"/>
            <w:tcBorders>
              <w:bottom w:val="single" w:sz="8" w:color="DBDBDB"/>
            </w:tcBorders>
          </w:tcPr>
          <w:p>
            <w:pPr>
              <w:spacing w:after="0"/>
              <w:rPr>
                <w:sz w:val="3"/>
                <w:szCs w:val="3"/>
                <w:color w:val="auto"/>
              </w:rPr>
            </w:pPr>
          </w:p>
        </w:tc>
        <w:tc>
          <w:tcPr>
            <w:tcW w:w="1340" w:type="dxa"/>
            <w:vAlign w:val="bottom"/>
            <w:tcBorders>
              <w:bottom w:val="single" w:sz="8" w:color="DBDBDB"/>
            </w:tcBorders>
          </w:tcPr>
          <w:p>
            <w:pPr>
              <w:spacing w:after="0"/>
              <w:rPr>
                <w:sz w:val="3"/>
                <w:szCs w:val="3"/>
                <w:color w:val="auto"/>
              </w:rPr>
            </w:pPr>
          </w:p>
        </w:tc>
        <w:tc>
          <w:tcPr>
            <w:tcW w:w="0" w:type="dxa"/>
            <w:vAlign w:val="bottom"/>
          </w:tcPr>
          <w:p>
            <w:pPr>
              <w:spacing w:after="0"/>
              <w:rPr>
                <w:sz w:val="1"/>
                <w:szCs w:val="1"/>
                <w:color w:val="auto"/>
              </w:rPr>
            </w:pPr>
          </w:p>
        </w:tc>
      </w:tr>
      <w:tr>
        <w:trPr>
          <w:trHeight w:val="215"/>
        </w:trPr>
        <w:tc>
          <w:tcPr>
            <w:tcW w:w="920" w:type="dxa"/>
            <w:vAlign w:val="bottom"/>
          </w:tcPr>
          <w:p>
            <w:pPr>
              <w:spacing w:after="0"/>
              <w:rPr>
                <w:sz w:val="18"/>
                <w:szCs w:val="18"/>
                <w:color w:val="auto"/>
              </w:rPr>
            </w:pPr>
          </w:p>
        </w:tc>
        <w:tc>
          <w:tcPr>
            <w:tcW w:w="860" w:type="dxa"/>
            <w:vAlign w:val="bottom"/>
          </w:tcPr>
          <w:p>
            <w:pPr>
              <w:jc w:val="right"/>
              <w:ind w:right="87"/>
              <w:spacing w:after="0"/>
              <w:rPr>
                <w:sz w:val="20"/>
                <w:szCs w:val="20"/>
                <w:color w:val="auto"/>
              </w:rPr>
            </w:pPr>
            <w:r>
              <w:rPr>
                <w:rFonts w:ascii="Arial" w:cs="Arial" w:eastAsia="Arial" w:hAnsi="Arial"/>
                <w:sz w:val="14"/>
                <w:szCs w:val="14"/>
                <w:color w:val="auto"/>
              </w:rPr>
              <w:t>8/4/2023</w:t>
            </w:r>
          </w:p>
        </w:tc>
        <w:tc>
          <w:tcPr>
            <w:tcW w:w="940" w:type="dxa"/>
            <w:vAlign w:val="bottom"/>
          </w:tcPr>
          <w:p>
            <w:pPr>
              <w:jc w:val="center"/>
              <w:spacing w:after="0"/>
              <w:rPr>
                <w:sz w:val="20"/>
                <w:szCs w:val="20"/>
                <w:color w:val="auto"/>
              </w:rPr>
            </w:pPr>
            <w:r>
              <w:rPr>
                <w:rFonts w:ascii="Arial" w:cs="Arial" w:eastAsia="Arial" w:hAnsi="Arial"/>
                <w:sz w:val="14"/>
                <w:szCs w:val="14"/>
                <w:color w:val="auto"/>
                <w:w w:val="84"/>
              </w:rPr>
              <w:t>-</w:t>
            </w:r>
          </w:p>
        </w:tc>
        <w:tc>
          <w:tcPr>
            <w:tcW w:w="960" w:type="dxa"/>
            <w:vAlign w:val="bottom"/>
          </w:tcPr>
          <w:p>
            <w:pPr>
              <w:jc w:val="center"/>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388"/>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121</w:t>
            </w:r>
          </w:p>
        </w:tc>
        <w:tc>
          <w:tcPr>
            <w:tcW w:w="900" w:type="dxa"/>
            <w:vAlign w:val="bottom"/>
          </w:tcPr>
          <w:p>
            <w:pPr>
              <w:jc w:val="right"/>
              <w:spacing w:after="0"/>
              <w:rPr>
                <w:sz w:val="20"/>
                <w:szCs w:val="20"/>
                <w:color w:val="auto"/>
              </w:rPr>
            </w:pPr>
            <w:r>
              <w:rPr>
                <w:rFonts w:ascii="Arial" w:cs="Arial" w:eastAsia="Arial" w:hAnsi="Arial"/>
                <w:sz w:val="14"/>
                <w:szCs w:val="14"/>
                <w:color w:val="auto"/>
              </w:rPr>
              <w:t>242</w:t>
            </w:r>
          </w:p>
        </w:tc>
        <w:tc>
          <w:tcPr>
            <w:tcW w:w="940" w:type="dxa"/>
            <w:vAlign w:val="bottom"/>
          </w:tcPr>
          <w:p>
            <w:pPr>
              <w:jc w:val="right"/>
              <w:spacing w:after="0"/>
              <w:rPr>
                <w:sz w:val="20"/>
                <w:szCs w:val="20"/>
                <w:color w:val="auto"/>
              </w:rPr>
            </w:pPr>
            <w:r>
              <w:rPr>
                <w:rFonts w:ascii="Arial" w:cs="Arial" w:eastAsia="Arial" w:hAnsi="Arial"/>
                <w:sz w:val="14"/>
                <w:szCs w:val="14"/>
                <w:color w:val="auto"/>
              </w:rPr>
              <w:t>484</w:t>
            </w:r>
          </w:p>
        </w:tc>
        <w:tc>
          <w:tcPr>
            <w:tcW w:w="1480" w:type="dxa"/>
            <w:vAlign w:val="bottom"/>
          </w:tcPr>
          <w:p>
            <w:pPr>
              <w:jc w:val="center"/>
              <w:ind w:right="7"/>
              <w:spacing w:after="0"/>
              <w:rPr>
                <w:sz w:val="20"/>
                <w:szCs w:val="20"/>
                <w:color w:val="auto"/>
              </w:rPr>
            </w:pPr>
            <w:r>
              <w:rPr>
                <w:rFonts w:ascii="Arial" w:cs="Arial" w:eastAsia="Arial" w:hAnsi="Arial"/>
                <w:sz w:val="14"/>
                <w:szCs w:val="14"/>
                <w:color w:val="auto"/>
                <w:w w:val="84"/>
              </w:rPr>
              <w:t>-</w:t>
            </w:r>
          </w:p>
        </w:tc>
        <w:tc>
          <w:tcPr>
            <w:tcW w:w="1340" w:type="dxa"/>
            <w:vAlign w:val="bottom"/>
          </w:tcPr>
          <w:p>
            <w:pPr>
              <w:jc w:val="right"/>
              <w:spacing w:after="0"/>
              <w:rPr>
                <w:sz w:val="20"/>
                <w:szCs w:val="20"/>
                <w:color w:val="auto"/>
              </w:rPr>
            </w:pPr>
            <w:r>
              <w:rPr>
                <w:rFonts w:ascii="Arial" w:cs="Arial" w:eastAsia="Arial" w:hAnsi="Arial"/>
                <w:sz w:val="14"/>
                <w:szCs w:val="14"/>
                <w:color w:val="auto"/>
              </w:rPr>
              <w:t>39,899</w:t>
            </w:r>
          </w:p>
        </w:tc>
        <w:tc>
          <w:tcPr>
            <w:tcW w:w="0" w:type="dxa"/>
            <w:vAlign w:val="bottom"/>
          </w:tcPr>
          <w:p>
            <w:pPr>
              <w:spacing w:after="0"/>
              <w:rPr>
                <w:sz w:val="1"/>
                <w:szCs w:val="1"/>
                <w:color w:val="auto"/>
              </w:rPr>
            </w:pPr>
          </w:p>
        </w:tc>
      </w:tr>
      <w:tr>
        <w:trPr>
          <w:trHeight w:val="35"/>
        </w:trPr>
        <w:tc>
          <w:tcPr>
            <w:tcW w:w="920" w:type="dxa"/>
            <w:vAlign w:val="bottom"/>
          </w:tcPr>
          <w:p>
            <w:pPr>
              <w:spacing w:after="0"/>
              <w:rPr>
                <w:sz w:val="3"/>
                <w:szCs w:val="3"/>
                <w:color w:val="auto"/>
              </w:rPr>
            </w:pPr>
          </w:p>
        </w:tc>
        <w:tc>
          <w:tcPr>
            <w:tcW w:w="860" w:type="dxa"/>
            <w:vAlign w:val="bottom"/>
            <w:tcBorders>
              <w:bottom w:val="single" w:sz="8" w:color="DBDBDB"/>
            </w:tcBorders>
          </w:tcPr>
          <w:p>
            <w:pPr>
              <w:spacing w:after="0"/>
              <w:rPr>
                <w:sz w:val="3"/>
                <w:szCs w:val="3"/>
                <w:color w:val="auto"/>
              </w:rPr>
            </w:pPr>
          </w:p>
        </w:tc>
        <w:tc>
          <w:tcPr>
            <w:tcW w:w="940" w:type="dxa"/>
            <w:vAlign w:val="bottom"/>
            <w:tcBorders>
              <w:bottom w:val="single" w:sz="8" w:color="DBDBDB"/>
            </w:tcBorders>
          </w:tcPr>
          <w:p>
            <w:pPr>
              <w:spacing w:after="0"/>
              <w:rPr>
                <w:sz w:val="3"/>
                <w:szCs w:val="3"/>
                <w:color w:val="auto"/>
              </w:rPr>
            </w:pPr>
          </w:p>
        </w:tc>
        <w:tc>
          <w:tcPr>
            <w:tcW w:w="960" w:type="dxa"/>
            <w:vAlign w:val="bottom"/>
            <w:tcBorders>
              <w:bottom w:val="single" w:sz="8" w:color="DBDBDB"/>
            </w:tcBorders>
          </w:tcPr>
          <w:p>
            <w:pPr>
              <w:spacing w:after="0"/>
              <w:rPr>
                <w:sz w:val="3"/>
                <w:szCs w:val="3"/>
                <w:color w:val="auto"/>
              </w:rPr>
            </w:pPr>
          </w:p>
        </w:tc>
        <w:tc>
          <w:tcPr>
            <w:tcW w:w="960" w:type="dxa"/>
            <w:vAlign w:val="bottom"/>
            <w:tcBorders>
              <w:bottom w:val="single" w:sz="8" w:color="DBDBDB"/>
            </w:tcBorders>
          </w:tcPr>
          <w:p>
            <w:pPr>
              <w:spacing w:after="0"/>
              <w:rPr>
                <w:sz w:val="3"/>
                <w:szCs w:val="3"/>
                <w:color w:val="auto"/>
              </w:rPr>
            </w:pPr>
          </w:p>
        </w:tc>
        <w:tc>
          <w:tcPr>
            <w:tcW w:w="1040" w:type="dxa"/>
            <w:vAlign w:val="bottom"/>
            <w:tcBorders>
              <w:bottom w:val="single" w:sz="8" w:color="DBDBDB"/>
            </w:tcBorders>
          </w:tcPr>
          <w:p>
            <w:pPr>
              <w:spacing w:after="0"/>
              <w:rPr>
                <w:sz w:val="3"/>
                <w:szCs w:val="3"/>
                <w:color w:val="auto"/>
              </w:rPr>
            </w:pPr>
          </w:p>
        </w:tc>
        <w:tc>
          <w:tcPr>
            <w:tcW w:w="900" w:type="dxa"/>
            <w:vAlign w:val="bottom"/>
            <w:tcBorders>
              <w:bottom w:val="single" w:sz="8" w:color="DBDBDB"/>
            </w:tcBorders>
          </w:tcPr>
          <w:p>
            <w:pPr>
              <w:spacing w:after="0"/>
              <w:rPr>
                <w:sz w:val="3"/>
                <w:szCs w:val="3"/>
                <w:color w:val="auto"/>
              </w:rPr>
            </w:pPr>
          </w:p>
        </w:tc>
        <w:tc>
          <w:tcPr>
            <w:tcW w:w="940" w:type="dxa"/>
            <w:vAlign w:val="bottom"/>
            <w:tcBorders>
              <w:bottom w:val="single" w:sz="8" w:color="DBDBDB"/>
            </w:tcBorders>
          </w:tcPr>
          <w:p>
            <w:pPr>
              <w:spacing w:after="0"/>
              <w:rPr>
                <w:sz w:val="3"/>
                <w:szCs w:val="3"/>
                <w:color w:val="auto"/>
              </w:rPr>
            </w:pPr>
          </w:p>
        </w:tc>
        <w:tc>
          <w:tcPr>
            <w:tcW w:w="1480" w:type="dxa"/>
            <w:vAlign w:val="bottom"/>
            <w:tcBorders>
              <w:bottom w:val="single" w:sz="8" w:color="DBDBDB"/>
            </w:tcBorders>
          </w:tcPr>
          <w:p>
            <w:pPr>
              <w:spacing w:after="0"/>
              <w:rPr>
                <w:sz w:val="3"/>
                <w:szCs w:val="3"/>
                <w:color w:val="auto"/>
              </w:rPr>
            </w:pPr>
          </w:p>
        </w:tc>
        <w:tc>
          <w:tcPr>
            <w:tcW w:w="1340" w:type="dxa"/>
            <w:vAlign w:val="bottom"/>
            <w:tcBorders>
              <w:bottom w:val="single" w:sz="8" w:color="DBDBDB"/>
            </w:tcBorders>
          </w:tcPr>
          <w:p>
            <w:pPr>
              <w:spacing w:after="0"/>
              <w:rPr>
                <w:sz w:val="3"/>
                <w:szCs w:val="3"/>
                <w:color w:val="auto"/>
              </w:rPr>
            </w:pPr>
          </w:p>
        </w:tc>
        <w:tc>
          <w:tcPr>
            <w:tcW w:w="0" w:type="dxa"/>
            <w:vAlign w:val="bottom"/>
          </w:tcPr>
          <w:p>
            <w:pPr>
              <w:spacing w:after="0"/>
              <w:rPr>
                <w:sz w:val="1"/>
                <w:szCs w:val="1"/>
                <w:color w:val="auto"/>
              </w:rPr>
            </w:pPr>
          </w:p>
        </w:tc>
      </w:tr>
      <w:tr>
        <w:trPr>
          <w:trHeight w:val="215"/>
        </w:trPr>
        <w:tc>
          <w:tcPr>
            <w:tcW w:w="920" w:type="dxa"/>
            <w:vAlign w:val="bottom"/>
          </w:tcPr>
          <w:p>
            <w:pPr>
              <w:spacing w:after="0"/>
              <w:rPr>
                <w:sz w:val="18"/>
                <w:szCs w:val="18"/>
                <w:color w:val="auto"/>
              </w:rPr>
            </w:pPr>
          </w:p>
        </w:tc>
        <w:tc>
          <w:tcPr>
            <w:tcW w:w="860" w:type="dxa"/>
            <w:vAlign w:val="bottom"/>
          </w:tcPr>
          <w:p>
            <w:pPr>
              <w:jc w:val="right"/>
              <w:ind w:right="87"/>
              <w:spacing w:after="0"/>
              <w:rPr>
                <w:sz w:val="20"/>
                <w:szCs w:val="20"/>
                <w:color w:val="auto"/>
              </w:rPr>
            </w:pPr>
            <w:r>
              <w:rPr>
                <w:rFonts w:ascii="Arial" w:cs="Arial" w:eastAsia="Arial" w:hAnsi="Arial"/>
                <w:sz w:val="14"/>
                <w:szCs w:val="14"/>
                <w:color w:val="auto"/>
              </w:rPr>
              <w:t>8/4/2023</w:t>
            </w:r>
          </w:p>
        </w:tc>
        <w:tc>
          <w:tcPr>
            <w:tcW w:w="940" w:type="dxa"/>
            <w:vAlign w:val="bottom"/>
          </w:tcPr>
          <w:p>
            <w:pPr>
              <w:jc w:val="center"/>
              <w:spacing w:after="0"/>
              <w:rPr>
                <w:sz w:val="20"/>
                <w:szCs w:val="20"/>
                <w:color w:val="auto"/>
              </w:rPr>
            </w:pPr>
            <w:r>
              <w:rPr>
                <w:rFonts w:ascii="Arial" w:cs="Arial" w:eastAsia="Arial" w:hAnsi="Arial"/>
                <w:sz w:val="14"/>
                <w:szCs w:val="14"/>
                <w:color w:val="auto"/>
                <w:w w:val="84"/>
              </w:rPr>
              <w:t>-</w:t>
            </w:r>
          </w:p>
        </w:tc>
        <w:tc>
          <w:tcPr>
            <w:tcW w:w="960" w:type="dxa"/>
            <w:vAlign w:val="bottom"/>
          </w:tcPr>
          <w:p>
            <w:pPr>
              <w:jc w:val="center"/>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388"/>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468"/>
              <w:spacing w:after="0"/>
              <w:rPr>
                <w:sz w:val="20"/>
                <w:szCs w:val="20"/>
                <w:color w:val="auto"/>
              </w:rPr>
            </w:pPr>
            <w:r>
              <w:rPr>
                <w:rFonts w:ascii="Arial" w:cs="Arial" w:eastAsia="Arial" w:hAnsi="Arial"/>
                <w:sz w:val="14"/>
                <w:szCs w:val="14"/>
                <w:color w:val="auto"/>
              </w:rPr>
              <w:t>-</w:t>
            </w:r>
          </w:p>
        </w:tc>
        <w:tc>
          <w:tcPr>
            <w:tcW w:w="900" w:type="dxa"/>
            <w:vAlign w:val="bottom"/>
          </w:tcPr>
          <w:p>
            <w:pPr>
              <w:jc w:val="center"/>
              <w:ind w:right="48"/>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388"/>
              <w:spacing w:after="0"/>
              <w:rPr>
                <w:sz w:val="20"/>
                <w:szCs w:val="20"/>
                <w:color w:val="auto"/>
              </w:rPr>
            </w:pPr>
            <w:r>
              <w:rPr>
                <w:rFonts w:ascii="Arial" w:cs="Arial" w:eastAsia="Arial" w:hAnsi="Arial"/>
                <w:sz w:val="14"/>
                <w:szCs w:val="14"/>
                <w:color w:val="auto"/>
              </w:rPr>
              <w:t>-</w:t>
            </w:r>
          </w:p>
        </w:tc>
        <w:tc>
          <w:tcPr>
            <w:tcW w:w="1480" w:type="dxa"/>
            <w:vAlign w:val="bottom"/>
          </w:tcPr>
          <w:p>
            <w:pPr>
              <w:jc w:val="right"/>
              <w:ind w:right="27"/>
              <w:spacing w:after="0"/>
              <w:rPr>
                <w:sz w:val="20"/>
                <w:szCs w:val="20"/>
                <w:color w:val="auto"/>
              </w:rPr>
            </w:pPr>
            <w:r>
              <w:rPr>
                <w:rFonts w:ascii="Arial" w:cs="Arial" w:eastAsia="Arial" w:hAnsi="Arial"/>
                <w:sz w:val="14"/>
                <w:szCs w:val="14"/>
                <w:color w:val="auto"/>
              </w:rPr>
              <w:t>805</w:t>
            </w:r>
          </w:p>
        </w:tc>
        <w:tc>
          <w:tcPr>
            <w:tcW w:w="1340" w:type="dxa"/>
            <w:vAlign w:val="bottom"/>
          </w:tcPr>
          <w:p>
            <w:pPr>
              <w:jc w:val="right"/>
              <w:spacing w:after="0"/>
              <w:rPr>
                <w:sz w:val="20"/>
                <w:szCs w:val="20"/>
                <w:color w:val="auto"/>
              </w:rPr>
            </w:pPr>
            <w:r>
              <w:rPr>
                <w:rFonts w:ascii="Arial" w:cs="Arial" w:eastAsia="Arial" w:hAnsi="Arial"/>
                <w:sz w:val="14"/>
                <w:szCs w:val="14"/>
                <w:color w:val="auto"/>
              </w:rPr>
              <w:t>134,418</w:t>
            </w:r>
          </w:p>
        </w:tc>
        <w:tc>
          <w:tcPr>
            <w:tcW w:w="0" w:type="dxa"/>
            <w:vAlign w:val="bottom"/>
          </w:tcPr>
          <w:p>
            <w:pPr>
              <w:spacing w:after="0"/>
              <w:rPr>
                <w:sz w:val="1"/>
                <w:szCs w:val="1"/>
                <w:color w:val="auto"/>
              </w:rPr>
            </w:pPr>
          </w:p>
        </w:tc>
      </w:tr>
      <w:tr>
        <w:trPr>
          <w:trHeight w:val="35"/>
        </w:trPr>
        <w:tc>
          <w:tcPr>
            <w:tcW w:w="920" w:type="dxa"/>
            <w:vAlign w:val="bottom"/>
            <w:tcBorders>
              <w:bottom w:val="single" w:sz="8" w:color="DBDBDB"/>
            </w:tcBorders>
          </w:tcPr>
          <w:p>
            <w:pPr>
              <w:spacing w:after="0"/>
              <w:rPr>
                <w:sz w:val="3"/>
                <w:szCs w:val="3"/>
                <w:color w:val="auto"/>
              </w:rPr>
            </w:pPr>
          </w:p>
        </w:tc>
        <w:tc>
          <w:tcPr>
            <w:tcW w:w="860" w:type="dxa"/>
            <w:vAlign w:val="bottom"/>
            <w:tcBorders>
              <w:bottom w:val="single" w:sz="8" w:color="DBDBDB"/>
            </w:tcBorders>
          </w:tcPr>
          <w:p>
            <w:pPr>
              <w:spacing w:after="0"/>
              <w:rPr>
                <w:sz w:val="3"/>
                <w:szCs w:val="3"/>
                <w:color w:val="auto"/>
              </w:rPr>
            </w:pPr>
          </w:p>
        </w:tc>
        <w:tc>
          <w:tcPr>
            <w:tcW w:w="940" w:type="dxa"/>
            <w:vAlign w:val="bottom"/>
            <w:tcBorders>
              <w:bottom w:val="single" w:sz="8" w:color="DBDBDB"/>
            </w:tcBorders>
          </w:tcPr>
          <w:p>
            <w:pPr>
              <w:spacing w:after="0"/>
              <w:rPr>
                <w:sz w:val="3"/>
                <w:szCs w:val="3"/>
                <w:color w:val="auto"/>
              </w:rPr>
            </w:pPr>
          </w:p>
        </w:tc>
        <w:tc>
          <w:tcPr>
            <w:tcW w:w="960" w:type="dxa"/>
            <w:vAlign w:val="bottom"/>
            <w:tcBorders>
              <w:bottom w:val="single" w:sz="8" w:color="DBDBDB"/>
            </w:tcBorders>
          </w:tcPr>
          <w:p>
            <w:pPr>
              <w:spacing w:after="0"/>
              <w:rPr>
                <w:sz w:val="3"/>
                <w:szCs w:val="3"/>
                <w:color w:val="auto"/>
              </w:rPr>
            </w:pPr>
          </w:p>
        </w:tc>
        <w:tc>
          <w:tcPr>
            <w:tcW w:w="960" w:type="dxa"/>
            <w:vAlign w:val="bottom"/>
            <w:tcBorders>
              <w:bottom w:val="single" w:sz="8" w:color="DBDBDB"/>
            </w:tcBorders>
          </w:tcPr>
          <w:p>
            <w:pPr>
              <w:spacing w:after="0"/>
              <w:rPr>
                <w:sz w:val="3"/>
                <w:szCs w:val="3"/>
                <w:color w:val="auto"/>
              </w:rPr>
            </w:pPr>
          </w:p>
        </w:tc>
        <w:tc>
          <w:tcPr>
            <w:tcW w:w="1040" w:type="dxa"/>
            <w:vAlign w:val="bottom"/>
            <w:tcBorders>
              <w:bottom w:val="single" w:sz="8" w:color="DBDBDB"/>
            </w:tcBorders>
          </w:tcPr>
          <w:p>
            <w:pPr>
              <w:spacing w:after="0"/>
              <w:rPr>
                <w:sz w:val="3"/>
                <w:szCs w:val="3"/>
                <w:color w:val="auto"/>
              </w:rPr>
            </w:pPr>
          </w:p>
        </w:tc>
        <w:tc>
          <w:tcPr>
            <w:tcW w:w="900" w:type="dxa"/>
            <w:vAlign w:val="bottom"/>
            <w:tcBorders>
              <w:bottom w:val="single" w:sz="8" w:color="DBDBDB"/>
            </w:tcBorders>
          </w:tcPr>
          <w:p>
            <w:pPr>
              <w:spacing w:after="0"/>
              <w:rPr>
                <w:sz w:val="3"/>
                <w:szCs w:val="3"/>
                <w:color w:val="auto"/>
              </w:rPr>
            </w:pPr>
          </w:p>
        </w:tc>
        <w:tc>
          <w:tcPr>
            <w:tcW w:w="940" w:type="dxa"/>
            <w:vAlign w:val="bottom"/>
            <w:tcBorders>
              <w:bottom w:val="single" w:sz="8" w:color="DBDBDB"/>
            </w:tcBorders>
          </w:tcPr>
          <w:p>
            <w:pPr>
              <w:spacing w:after="0"/>
              <w:rPr>
                <w:sz w:val="3"/>
                <w:szCs w:val="3"/>
                <w:color w:val="auto"/>
              </w:rPr>
            </w:pPr>
          </w:p>
        </w:tc>
        <w:tc>
          <w:tcPr>
            <w:tcW w:w="1480" w:type="dxa"/>
            <w:vAlign w:val="bottom"/>
            <w:tcBorders>
              <w:bottom w:val="single" w:sz="8" w:color="DBDBDB"/>
            </w:tcBorders>
          </w:tcPr>
          <w:p>
            <w:pPr>
              <w:spacing w:after="0"/>
              <w:rPr>
                <w:sz w:val="3"/>
                <w:szCs w:val="3"/>
                <w:color w:val="auto"/>
              </w:rPr>
            </w:pPr>
          </w:p>
        </w:tc>
        <w:tc>
          <w:tcPr>
            <w:tcW w:w="1340" w:type="dxa"/>
            <w:vAlign w:val="bottom"/>
            <w:tcBorders>
              <w:bottom w:val="single" w:sz="8" w:color="DBDBDB"/>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89" w:lineRule="exact"/>
        <w:rPr>
          <w:sz w:val="20"/>
          <w:szCs w:val="20"/>
          <w:color w:val="auto"/>
        </w:rPr>
      </w:pPr>
    </w:p>
    <w:p>
      <w:pPr>
        <w:jc w:val="both"/>
        <w:ind w:left="980" w:hanging="324"/>
        <w:spacing w:after="0" w:line="276" w:lineRule="auto"/>
        <w:tabs>
          <w:tab w:leader="none" w:pos="997"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Represents the range of possible payouts for fiscal 2024 to our Named Executives under the Annual Incentive Plan. For fiscal 2024, threshold achievement for adjusted operating income would result in a $0 payout and our Named Executives would only begin to receive bonus payments for adjusted operating income to the extent achievement exceeded this threshold.</w:t>
      </w:r>
    </w:p>
    <w:p>
      <w:pPr>
        <w:spacing w:after="0" w:line="68" w:lineRule="exact"/>
        <w:rPr>
          <w:rFonts w:ascii="Arial" w:cs="Arial" w:eastAsia="Arial" w:hAnsi="Arial"/>
          <w:sz w:val="18"/>
          <w:szCs w:val="18"/>
          <w:color w:val="auto"/>
        </w:rPr>
      </w:pPr>
    </w:p>
    <w:p>
      <w:pPr>
        <w:ind w:left="960" w:hanging="304"/>
        <w:spacing w:after="0"/>
        <w:tabs>
          <w:tab w:leader="none" w:pos="9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Performance shares granted on August 4, 2023, under the Company’s 2015 Equity Incentive Plan.</w:t>
      </w:r>
    </w:p>
    <w:p>
      <w:pPr>
        <w:spacing w:after="0" w:line="117" w:lineRule="exact"/>
        <w:rPr>
          <w:rFonts w:ascii="Arial" w:cs="Arial" w:eastAsia="Arial" w:hAnsi="Arial"/>
          <w:sz w:val="18"/>
          <w:szCs w:val="18"/>
          <w:color w:val="auto"/>
        </w:rPr>
      </w:pPr>
    </w:p>
    <w:p>
      <w:pPr>
        <w:ind w:left="940" w:hanging="284"/>
        <w:spacing w:after="0"/>
        <w:tabs>
          <w:tab w:leader="none" w:pos="9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Restricted stock units granted on August 4, 2023, under the Company’s 2015 Equity Incentive Plan.</w:t>
      </w:r>
    </w:p>
    <w:p>
      <w:pPr>
        <w:spacing w:after="0" w:line="130" w:lineRule="exact"/>
        <w:rPr>
          <w:rFonts w:ascii="Arial" w:cs="Arial" w:eastAsia="Arial" w:hAnsi="Arial"/>
          <w:sz w:val="18"/>
          <w:szCs w:val="18"/>
          <w:color w:val="auto"/>
        </w:rPr>
      </w:pPr>
    </w:p>
    <w:p>
      <w:pPr>
        <w:jc w:val="both"/>
        <w:ind w:left="980" w:hanging="324"/>
        <w:spacing w:after="0" w:line="276" w:lineRule="auto"/>
        <w:tabs>
          <w:tab w:leader="none" w:pos="943"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amounts in the table represent the grant date fair value of the awards. Information about the assumptions used to determine the grant date fair value of the equity awards is set forth in our Annual Report on Form 10-K in Note 10 to our consolidated financial statements for the year ended June 30,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492760</wp:posOffset>
            </wp:positionV>
            <wp:extent cx="7132320" cy="3511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32320" cy="3511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9000"/>
        <w:spacing w:after="0"/>
        <w:tabs>
          <w:tab w:leader="none" w:pos="11000" w:val="left"/>
        </w:tabs>
        <w:rPr>
          <w:sz w:val="20"/>
          <w:szCs w:val="20"/>
          <w:color w:val="auto"/>
        </w:rPr>
      </w:pPr>
      <w:r>
        <w:rPr>
          <w:rFonts w:ascii="Arial" w:cs="Arial" w:eastAsia="Arial" w:hAnsi="Arial"/>
          <w:sz w:val="18"/>
          <w:szCs w:val="18"/>
          <w:color w:val="auto"/>
        </w:rPr>
        <w:t>2024 Proxy Statement</w:t>
      </w:r>
      <w:r>
        <w:rPr>
          <w:sz w:val="20"/>
          <w:szCs w:val="20"/>
          <w:color w:val="auto"/>
        </w:rPr>
        <w:tab/>
      </w:r>
      <w:r>
        <w:rPr>
          <w:rFonts w:ascii="Arial" w:cs="Arial" w:eastAsia="Arial" w:hAnsi="Arial"/>
          <w:sz w:val="17"/>
          <w:szCs w:val="17"/>
          <w:color w:val="1E3767"/>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262255</wp:posOffset>
            </wp:positionV>
            <wp:extent cx="7157720" cy="425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01" w:right="339" w:bottom="1440" w:gutter="0" w:footer="0" w:header="0"/>
        </w:sectPr>
      </w:pPr>
    </w:p>
    <w:bookmarkStart w:id="56" w:name="page57"/>
    <w:bookmarkEnd w:id="56"/>
    <w:p>
      <w:pPr>
        <w:spacing w:after="0"/>
        <w:rPr>
          <w:sz w:val="20"/>
          <w:szCs w:val="20"/>
          <w:color w:val="auto"/>
        </w:rPr>
      </w:pPr>
      <w:r>
        <w:rPr>
          <w:rFonts w:ascii="Arial" w:cs="Arial" w:eastAsia="Arial" w:hAnsi="Arial"/>
          <w:sz w:val="20"/>
          <w:szCs w:val="20"/>
          <w:b w:val="1"/>
          <w:bCs w:val="1"/>
          <w:color w:val="auto"/>
        </w:rPr>
        <w:t>Additional Information Regarding Summary Compensation and Grants of Plan-Based Awards</w:t>
      </w:r>
    </w:p>
    <w:p>
      <w:pPr>
        <w:spacing w:after="0" w:line="258" w:lineRule="exact"/>
        <w:rPr>
          <w:sz w:val="20"/>
          <w:szCs w:val="20"/>
          <w:color w:val="auto"/>
        </w:rPr>
      </w:pPr>
    </w:p>
    <w:p>
      <w:pPr>
        <w:jc w:val="both"/>
        <w:spacing w:after="0" w:line="268" w:lineRule="auto"/>
        <w:rPr>
          <w:sz w:val="20"/>
          <w:szCs w:val="20"/>
          <w:color w:val="auto"/>
        </w:rPr>
      </w:pPr>
      <w:r>
        <w:rPr>
          <w:rFonts w:ascii="Arial" w:cs="Arial" w:eastAsia="Arial" w:hAnsi="Arial"/>
          <w:sz w:val="20"/>
          <w:szCs w:val="20"/>
          <w:color w:val="auto"/>
        </w:rPr>
        <w:t>The annual base salaries of the Named Executives were evaluated in fiscal 2024 in relation to competitive data, changes in job duties, and individual and corporate performance. The annual base salary of Mr. Foss remained at $865,000, Mr. Adelson’s salary increased 2.0% to $586,500, Ms. Carsley’s salary increased 9.0% to $517,750, Mr. Morgan’s salary increased 2.0% to $438,600, and Mr. Zengel’s salary increased 2.0% to $390,660. Fiscal 2024 base salary changes did not go into effect for Named Executives until January 2024.</w:t>
      </w:r>
    </w:p>
    <w:p>
      <w:pPr>
        <w:spacing w:after="0" w:line="201"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For the year ended June 30, 2024, the Named Executives had the opportunity to earn cash incentive bonuses under the Company’s annual incentive cash bonus plan. As set forth in greater detail in “Compensation Discussion and Analysis—Annual Incentive Cash Bonuses” above, the performance goals for the Named Executives were based on achieving adjusted operating income targets established in the Company’s annual budget and the achievement of strategic executive goals set for the Named Executives as a group. The adjusted operating income component of the incentive plan set performance targets, thresholds for minimum performance, maximums for superior performance, and required that for any bonus to be paid, the minimum threshold of adjusted operating income had to be achieved. For the year ended June 30, 2024, actual adjusted operating income was 100.2% of budgeted adjusted operating income. The achievement for the strategic executive goals component of the incentive plan is based on the HC&amp;C Committee’s holistic determination of the performance of all strategic executive goals in the aggregate, with one payout factor determined based on such assessment. For the year ended June 30, 2024, the HC&amp;C Committee made a qualitative assessment that the strategic executive goals resulted in a 115% achievement. In addition, the annual incentive bonus plan allows for the HC&amp;C Committee to apply an individual modifier of up to 25% increase or decrease to each individual Named Executive’s strategic executive goal component payout. For the year ended June 30, 2024, the HC&amp;C Committee applied a 25% positive individual modifier to Ms. Carsley’s strategic executive goal payout factor. The resulting payouts to the Named Executives were 104.3% of target for Mr. Foss, 104.3% for Mr. Adelson, 111.5% for Ms. Carsley, 104.3% for Mr. Morgan, and 104.3% for Mr. Zengel.</w:t>
      </w:r>
    </w:p>
    <w:p>
      <w:pPr>
        <w:spacing w:after="0" w:line="212"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On August 4, 2023, the Company entered into performance share agreements with each of the Named Executives, with the threshold, target, and maximum share amounts listed in the above table. The performance share agreements entered into with the Named Executives in fiscal year 2024 are identical except for the number of shares. Each grant is comprised of three separate grants of performance shares that vest at the end of a three-year performance period based on the following: (1) the TSR over the three-year period in comparison to the companies in Compensation Peer Group plus the Reference Peers (comprising approximately 60% of the total performance shares grant value), (2) the Company’s Organic Revenue Growth CAGR over the three-year period against a target Organic Revenue Growth CAGR, where Organic Revenue Growth removes the impact of deconversion fees, acquisitions and divestitures during the performance period, as approved by the HC&amp;C Committee, any other one-time non-GAAP adjustments that management makes in the Company’s earnings releases for the relevant periods (comprising approximately 20% of the total performance shares grant value), and (3) the expansion of the Company’s non-GAAP adjusted operating margin over the three-year period against a target non-GAAP adjusted operating margin, where non-GAAP adjusted operating margin removes the impact of deconversion fees, acquisitions and divestitures during the performance period, sales of assets, as approved by the HC&amp;C Committee, any other one-time non-GAAP adjustments that management makes in the Company’s earnings releases for the relevant period (comprising approximately 20% of the total performance shares grant value). See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32385</wp:posOffset>
            </wp:positionV>
            <wp:extent cx="7132320" cy="3511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32320" cy="351155"/>
                    </a:xfrm>
                    <a:prstGeom prst="rect">
                      <a:avLst/>
                    </a:prstGeom>
                    <a:noFill/>
                  </pic:spPr>
                </pic:pic>
              </a:graphicData>
            </a:graphic>
          </wp:anchor>
        </w:drawing>
      </w:r>
    </w:p>
    <w:p>
      <w:pPr>
        <w:spacing w:after="0" w:line="242" w:lineRule="exact"/>
        <w:rPr>
          <w:sz w:val="20"/>
          <w:szCs w:val="20"/>
          <w:color w:val="auto"/>
        </w:rPr>
      </w:pPr>
    </w:p>
    <w:p>
      <w:pPr>
        <w:ind w:left="20"/>
        <w:spacing w:after="0"/>
        <w:tabs>
          <w:tab w:leader="none" w:pos="440" w:val="left"/>
        </w:tabs>
        <w:rPr>
          <w:sz w:val="20"/>
          <w:szCs w:val="20"/>
          <w:color w:val="auto"/>
        </w:rPr>
      </w:pPr>
      <w:r>
        <w:rPr>
          <w:rFonts w:ascii="Arial" w:cs="Arial" w:eastAsia="Arial" w:hAnsi="Arial"/>
          <w:sz w:val="18"/>
          <w:szCs w:val="18"/>
          <w:color w:val="auto"/>
        </w:rPr>
        <w:t>54</w:t>
        <w:tab/>
        <w:t>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262255</wp:posOffset>
            </wp:positionV>
            <wp:extent cx="7157720" cy="425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9" w:right="339" w:bottom="1440" w:gutter="0" w:footer="0" w:header="0"/>
        </w:sectPr>
      </w:pPr>
    </w:p>
    <w:bookmarkStart w:id="57" w:name="page58"/>
    <w:bookmarkEnd w:id="57"/>
    <w:p>
      <w:pPr>
        <w:jc w:val="both"/>
        <w:spacing w:after="0" w:line="286" w:lineRule="auto"/>
        <w:rPr>
          <w:sz w:val="20"/>
          <w:szCs w:val="20"/>
          <w:color w:val="auto"/>
        </w:rPr>
      </w:pPr>
      <w:r>
        <w:rPr>
          <w:rFonts w:ascii="Arial" w:cs="Arial" w:eastAsia="Arial" w:hAnsi="Arial"/>
          <w:sz w:val="20"/>
          <w:szCs w:val="20"/>
          <w:color w:val="auto"/>
        </w:rPr>
        <w:t>“Compensation Discussion and Analysis—Long Term Incentive Compensation—Performance Shares,” on page 42 for more information about the fiscal 2024 performance share grants.</w:t>
      </w:r>
    </w:p>
    <w:p>
      <w:pPr>
        <w:spacing w:after="0" w:line="194" w:lineRule="exact"/>
        <w:rPr>
          <w:sz w:val="20"/>
          <w:szCs w:val="20"/>
          <w:color w:val="auto"/>
        </w:rPr>
      </w:pPr>
    </w:p>
    <w:p>
      <w:pPr>
        <w:jc w:val="both"/>
        <w:spacing w:after="0" w:line="265" w:lineRule="auto"/>
        <w:rPr>
          <w:sz w:val="20"/>
          <w:szCs w:val="20"/>
          <w:color w:val="auto"/>
        </w:rPr>
      </w:pPr>
      <w:r>
        <w:rPr>
          <w:rFonts w:ascii="Arial" w:cs="Arial" w:eastAsia="Arial" w:hAnsi="Arial"/>
          <w:sz w:val="20"/>
          <w:szCs w:val="20"/>
          <w:color w:val="auto"/>
        </w:rPr>
        <w:t>On August 4, 2023, the Company granted time-based restricted stock units to each of the Named Executives. The grants were identical for each of the Named Executives except for the number of restricted stock units. Each restricted stock unit is the economic equivalent of one share of common stock. Amounts may be settled in common stock of the Company or cash or any combination thereof. The restricted stock units vest in three equal annual installments beginning on the first anniversary of the grant date based on continued service with the Company.</w:t>
      </w:r>
    </w:p>
    <w:p>
      <w:pPr>
        <w:spacing w:after="0" w:line="20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Outstanding Equity Awards at Fiscal Year End Table</w:t>
      </w:r>
    </w:p>
    <w:p>
      <w:pPr>
        <w:spacing w:after="0" w:line="272" w:lineRule="exact"/>
        <w:rPr>
          <w:sz w:val="20"/>
          <w:szCs w:val="20"/>
          <w:color w:val="auto"/>
        </w:rPr>
      </w:pPr>
    </w:p>
    <w:p>
      <w:pPr>
        <w:jc w:val="both"/>
        <w:spacing w:after="0" w:line="286" w:lineRule="auto"/>
        <w:rPr>
          <w:sz w:val="20"/>
          <w:szCs w:val="20"/>
          <w:color w:val="auto"/>
        </w:rPr>
      </w:pPr>
      <w:r>
        <w:rPr>
          <w:rFonts w:ascii="Arial" w:cs="Arial" w:eastAsia="Arial" w:hAnsi="Arial"/>
          <w:sz w:val="20"/>
          <w:szCs w:val="20"/>
          <w:color w:val="auto"/>
        </w:rPr>
        <w:t>The following table provides information regarding outstanding stock options, restricted stock units, and performance shares held by the Named Executives as of June 30, 2024.</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1520" w:type="dxa"/>
            <w:vAlign w:val="bottom"/>
            <w:tcBorders>
              <w:bottom w:val="single" w:sz="8" w:color="E8F7F7"/>
            </w:tcBorders>
            <w:shd w:val="clear" w:color="auto" w:fill="E8F7F7"/>
          </w:tcPr>
          <w:p>
            <w:pPr>
              <w:spacing w:after="0"/>
              <w:rPr>
                <w:sz w:val="21"/>
                <w:szCs w:val="21"/>
                <w:color w:val="auto"/>
              </w:rPr>
            </w:pPr>
          </w:p>
        </w:tc>
        <w:tc>
          <w:tcPr>
            <w:tcW w:w="1000" w:type="dxa"/>
            <w:vAlign w:val="bottom"/>
            <w:tcBorders>
              <w:bottom w:val="single" w:sz="8" w:color="E8F7F7"/>
            </w:tcBorders>
            <w:shd w:val="clear" w:color="auto" w:fill="E8F7F7"/>
          </w:tcPr>
          <w:p>
            <w:pPr>
              <w:spacing w:after="0"/>
              <w:rPr>
                <w:sz w:val="21"/>
                <w:szCs w:val="21"/>
                <w:color w:val="auto"/>
              </w:rPr>
            </w:pPr>
          </w:p>
        </w:tc>
        <w:tc>
          <w:tcPr>
            <w:tcW w:w="1240" w:type="dxa"/>
            <w:vAlign w:val="bottom"/>
            <w:tcBorders>
              <w:bottom w:val="single" w:sz="8" w:color="auto"/>
            </w:tcBorders>
            <w:shd w:val="clear" w:color="auto" w:fill="E8F7F7"/>
          </w:tcPr>
          <w:p>
            <w:pPr>
              <w:spacing w:after="0"/>
              <w:rPr>
                <w:sz w:val="21"/>
                <w:szCs w:val="21"/>
                <w:color w:val="auto"/>
              </w:rPr>
            </w:pPr>
          </w:p>
        </w:tc>
        <w:tc>
          <w:tcPr>
            <w:tcW w:w="1240" w:type="dxa"/>
            <w:vAlign w:val="bottom"/>
            <w:tcBorders>
              <w:bottom w:val="single" w:sz="8" w:color="auto"/>
            </w:tcBorders>
            <w:shd w:val="clear" w:color="auto" w:fill="E8F7F7"/>
          </w:tcPr>
          <w:p>
            <w:pPr>
              <w:jc w:val="center"/>
              <w:spacing w:after="0"/>
              <w:rPr>
                <w:sz w:val="20"/>
                <w:szCs w:val="20"/>
                <w:color w:val="auto"/>
              </w:rPr>
            </w:pPr>
            <w:r>
              <w:rPr>
                <w:rFonts w:ascii="Arial" w:cs="Arial" w:eastAsia="Arial" w:hAnsi="Arial"/>
                <w:sz w:val="16"/>
                <w:szCs w:val="16"/>
                <w:b w:val="1"/>
                <w:bCs w:val="1"/>
                <w:color w:val="auto"/>
              </w:rPr>
              <w:t>Option Awards</w:t>
            </w:r>
          </w:p>
        </w:tc>
        <w:tc>
          <w:tcPr>
            <w:tcW w:w="1240" w:type="dxa"/>
            <w:vAlign w:val="bottom"/>
            <w:tcBorders>
              <w:bottom w:val="single" w:sz="8" w:color="auto"/>
            </w:tcBorders>
            <w:shd w:val="clear" w:color="auto" w:fill="E8F7F7"/>
          </w:tcPr>
          <w:p>
            <w:pPr>
              <w:spacing w:after="0"/>
              <w:rPr>
                <w:sz w:val="21"/>
                <w:szCs w:val="21"/>
                <w:color w:val="auto"/>
              </w:rPr>
            </w:pPr>
          </w:p>
        </w:tc>
        <w:tc>
          <w:tcPr>
            <w:tcW w:w="80" w:type="dxa"/>
            <w:vAlign w:val="bottom"/>
            <w:tcBorders>
              <w:bottom w:val="single" w:sz="8" w:color="E8F7F7"/>
            </w:tcBorders>
            <w:shd w:val="clear" w:color="auto" w:fill="E8F7F7"/>
          </w:tcPr>
          <w:p>
            <w:pPr>
              <w:spacing w:after="0"/>
              <w:rPr>
                <w:sz w:val="21"/>
                <w:szCs w:val="21"/>
                <w:color w:val="auto"/>
              </w:rPr>
            </w:pPr>
          </w:p>
        </w:tc>
        <w:tc>
          <w:tcPr>
            <w:tcW w:w="1240" w:type="dxa"/>
            <w:vAlign w:val="bottom"/>
            <w:tcBorders>
              <w:bottom w:val="single" w:sz="8" w:color="auto"/>
            </w:tcBorders>
            <w:shd w:val="clear" w:color="auto" w:fill="E8F7F7"/>
          </w:tcPr>
          <w:p>
            <w:pPr>
              <w:spacing w:after="0"/>
              <w:rPr>
                <w:sz w:val="21"/>
                <w:szCs w:val="21"/>
                <w:color w:val="auto"/>
              </w:rPr>
            </w:pPr>
          </w:p>
        </w:tc>
        <w:tc>
          <w:tcPr>
            <w:tcW w:w="2500" w:type="dxa"/>
            <w:vAlign w:val="bottom"/>
            <w:tcBorders>
              <w:bottom w:val="single" w:sz="8" w:color="auto"/>
            </w:tcBorders>
            <w:gridSpan w:val="2"/>
            <w:shd w:val="clear" w:color="auto" w:fill="E8F7F7"/>
          </w:tcPr>
          <w:p>
            <w:pPr>
              <w:jc w:val="right"/>
              <w:ind w:right="669"/>
              <w:spacing w:after="0"/>
              <w:rPr>
                <w:sz w:val="20"/>
                <w:szCs w:val="20"/>
                <w:color w:val="auto"/>
              </w:rPr>
            </w:pPr>
            <w:r>
              <w:rPr>
                <w:rFonts w:ascii="Arial" w:cs="Arial" w:eastAsia="Arial" w:hAnsi="Arial"/>
                <w:sz w:val="16"/>
                <w:szCs w:val="16"/>
                <w:b w:val="1"/>
                <w:bCs w:val="1"/>
                <w:color w:val="auto"/>
              </w:rPr>
              <w:t>Stock Awards</w:t>
            </w:r>
          </w:p>
        </w:tc>
        <w:tc>
          <w:tcPr>
            <w:tcW w:w="940" w:type="dxa"/>
            <w:vAlign w:val="bottom"/>
            <w:tcBorders>
              <w:bottom w:val="single" w:sz="8" w:color="auto"/>
            </w:tcBorders>
            <w:shd w:val="clear" w:color="auto" w:fill="E8F7F7"/>
          </w:tcPr>
          <w:p>
            <w:pPr>
              <w:spacing w:after="0"/>
              <w:rPr>
                <w:sz w:val="21"/>
                <w:szCs w:val="21"/>
                <w:color w:val="auto"/>
              </w:rPr>
            </w:pPr>
          </w:p>
        </w:tc>
        <w:tc>
          <w:tcPr>
            <w:tcW w:w="240" w:type="dxa"/>
            <w:vAlign w:val="bottom"/>
            <w:tcBorders>
              <w:bottom w:val="single" w:sz="8" w:color="auto"/>
            </w:tcBorders>
            <w:shd w:val="clear" w:color="auto" w:fill="E8F7F7"/>
          </w:tcPr>
          <w:p>
            <w:pPr>
              <w:spacing w:after="0"/>
              <w:rPr>
                <w:sz w:val="21"/>
                <w:szCs w:val="21"/>
                <w:color w:val="auto"/>
              </w:rPr>
            </w:pPr>
          </w:p>
        </w:tc>
        <w:tc>
          <w:tcPr>
            <w:tcW w:w="0" w:type="dxa"/>
            <w:vAlign w:val="bottom"/>
          </w:tcPr>
          <w:p>
            <w:pPr>
              <w:spacing w:after="0"/>
              <w:rPr>
                <w:sz w:val="1"/>
                <w:szCs w:val="1"/>
                <w:color w:val="auto"/>
              </w:rPr>
            </w:pPr>
          </w:p>
        </w:tc>
      </w:tr>
      <w:tr>
        <w:trPr>
          <w:trHeight w:val="129"/>
        </w:trPr>
        <w:tc>
          <w:tcPr>
            <w:tcW w:w="1520" w:type="dxa"/>
            <w:vAlign w:val="bottom"/>
            <w:shd w:val="clear" w:color="auto" w:fill="E8F7F7"/>
          </w:tcPr>
          <w:p>
            <w:pPr>
              <w:spacing w:after="0"/>
              <w:rPr>
                <w:sz w:val="11"/>
                <w:szCs w:val="11"/>
                <w:color w:val="auto"/>
              </w:rPr>
            </w:pPr>
          </w:p>
        </w:tc>
        <w:tc>
          <w:tcPr>
            <w:tcW w:w="1000" w:type="dxa"/>
            <w:vAlign w:val="bottom"/>
            <w:shd w:val="clear" w:color="auto" w:fill="E8F7F7"/>
          </w:tcPr>
          <w:p>
            <w:pPr>
              <w:spacing w:after="0"/>
              <w:rPr>
                <w:sz w:val="11"/>
                <w:szCs w:val="11"/>
                <w:color w:val="auto"/>
              </w:rPr>
            </w:pPr>
          </w:p>
        </w:tc>
        <w:tc>
          <w:tcPr>
            <w:tcW w:w="1240" w:type="dxa"/>
            <w:vAlign w:val="bottom"/>
            <w:shd w:val="clear" w:color="auto" w:fill="E8F7F7"/>
          </w:tcPr>
          <w:p>
            <w:pPr>
              <w:jc w:val="center"/>
              <w:spacing w:after="0" w:line="129" w:lineRule="exact"/>
              <w:rPr>
                <w:sz w:val="20"/>
                <w:szCs w:val="20"/>
                <w:color w:val="auto"/>
              </w:rPr>
            </w:pPr>
            <w:r>
              <w:rPr>
                <w:rFonts w:ascii="Arial" w:cs="Arial" w:eastAsia="Arial" w:hAnsi="Arial"/>
                <w:sz w:val="13"/>
                <w:szCs w:val="13"/>
                <w:b w:val="1"/>
                <w:bCs w:val="1"/>
                <w:color w:val="auto"/>
              </w:rPr>
              <w:t>Number of</w:t>
            </w:r>
          </w:p>
        </w:tc>
        <w:tc>
          <w:tcPr>
            <w:tcW w:w="1240" w:type="dxa"/>
            <w:vAlign w:val="bottom"/>
            <w:shd w:val="clear" w:color="auto" w:fill="E8F7F7"/>
          </w:tcPr>
          <w:p>
            <w:pPr>
              <w:jc w:val="center"/>
              <w:spacing w:after="0" w:line="129" w:lineRule="exact"/>
              <w:rPr>
                <w:sz w:val="20"/>
                <w:szCs w:val="20"/>
                <w:color w:val="auto"/>
              </w:rPr>
            </w:pPr>
            <w:r>
              <w:rPr>
                <w:rFonts w:ascii="Arial" w:cs="Arial" w:eastAsia="Arial" w:hAnsi="Arial"/>
                <w:sz w:val="13"/>
                <w:szCs w:val="13"/>
                <w:b w:val="1"/>
                <w:bCs w:val="1"/>
                <w:color w:val="auto"/>
              </w:rPr>
              <w:t>Number of</w:t>
            </w:r>
          </w:p>
        </w:tc>
        <w:tc>
          <w:tcPr>
            <w:tcW w:w="1240" w:type="dxa"/>
            <w:vAlign w:val="bottom"/>
            <w:shd w:val="clear" w:color="auto" w:fill="E8F7F7"/>
          </w:tcPr>
          <w:p>
            <w:pPr>
              <w:jc w:val="center"/>
              <w:spacing w:after="0" w:line="129" w:lineRule="exact"/>
              <w:rPr>
                <w:sz w:val="20"/>
                <w:szCs w:val="20"/>
                <w:color w:val="auto"/>
              </w:rPr>
            </w:pPr>
            <w:r>
              <w:rPr>
                <w:rFonts w:ascii="Arial" w:cs="Arial" w:eastAsia="Arial" w:hAnsi="Arial"/>
                <w:sz w:val="13"/>
                <w:szCs w:val="13"/>
                <w:b w:val="1"/>
                <w:bCs w:val="1"/>
                <w:color w:val="auto"/>
              </w:rPr>
              <w:t>Equity Incentive</w:t>
            </w:r>
          </w:p>
        </w:tc>
        <w:tc>
          <w:tcPr>
            <w:tcW w:w="80" w:type="dxa"/>
            <w:vAlign w:val="bottom"/>
            <w:shd w:val="clear" w:color="auto" w:fill="E8F7F7"/>
          </w:tcPr>
          <w:p>
            <w:pPr>
              <w:spacing w:after="0"/>
              <w:rPr>
                <w:sz w:val="11"/>
                <w:szCs w:val="11"/>
                <w:color w:val="auto"/>
              </w:rPr>
            </w:pPr>
          </w:p>
        </w:tc>
        <w:tc>
          <w:tcPr>
            <w:tcW w:w="1240" w:type="dxa"/>
            <w:vAlign w:val="bottom"/>
            <w:shd w:val="clear" w:color="auto" w:fill="E8F7F7"/>
          </w:tcPr>
          <w:p>
            <w:pPr>
              <w:jc w:val="center"/>
              <w:spacing w:after="0" w:line="129" w:lineRule="exact"/>
              <w:rPr>
                <w:sz w:val="20"/>
                <w:szCs w:val="20"/>
                <w:color w:val="auto"/>
              </w:rPr>
            </w:pPr>
            <w:r>
              <w:rPr>
                <w:rFonts w:ascii="Arial" w:cs="Arial" w:eastAsia="Arial" w:hAnsi="Arial"/>
                <w:sz w:val="13"/>
                <w:szCs w:val="13"/>
                <w:b w:val="1"/>
                <w:bCs w:val="1"/>
                <w:color w:val="auto"/>
              </w:rPr>
              <w:t>Number of Shares</w:t>
            </w:r>
          </w:p>
        </w:tc>
        <w:tc>
          <w:tcPr>
            <w:tcW w:w="1260" w:type="dxa"/>
            <w:vAlign w:val="bottom"/>
            <w:shd w:val="clear" w:color="auto" w:fill="E8F7F7"/>
          </w:tcPr>
          <w:p>
            <w:pPr>
              <w:jc w:val="center"/>
              <w:spacing w:after="0" w:line="129" w:lineRule="exact"/>
              <w:rPr>
                <w:sz w:val="20"/>
                <w:szCs w:val="20"/>
                <w:color w:val="auto"/>
              </w:rPr>
            </w:pPr>
            <w:r>
              <w:rPr>
                <w:rFonts w:ascii="Arial" w:cs="Arial" w:eastAsia="Arial" w:hAnsi="Arial"/>
                <w:sz w:val="13"/>
                <w:szCs w:val="13"/>
                <w:b w:val="1"/>
                <w:bCs w:val="1"/>
                <w:color w:val="auto"/>
              </w:rPr>
              <w:t>Market Value of</w:t>
            </w:r>
          </w:p>
        </w:tc>
        <w:tc>
          <w:tcPr>
            <w:tcW w:w="1240" w:type="dxa"/>
            <w:vAlign w:val="bottom"/>
            <w:shd w:val="clear" w:color="auto" w:fill="E8F7F7"/>
          </w:tcPr>
          <w:p>
            <w:pPr>
              <w:jc w:val="center"/>
              <w:spacing w:after="0" w:line="129" w:lineRule="exact"/>
              <w:rPr>
                <w:sz w:val="20"/>
                <w:szCs w:val="20"/>
                <w:color w:val="auto"/>
              </w:rPr>
            </w:pPr>
            <w:r>
              <w:rPr>
                <w:rFonts w:ascii="Arial" w:cs="Arial" w:eastAsia="Arial" w:hAnsi="Arial"/>
                <w:sz w:val="13"/>
                <w:szCs w:val="13"/>
                <w:b w:val="1"/>
                <w:bCs w:val="1"/>
                <w:color w:val="auto"/>
              </w:rPr>
              <w:t>Equity Incentive</w:t>
            </w:r>
          </w:p>
        </w:tc>
        <w:tc>
          <w:tcPr>
            <w:tcW w:w="1180" w:type="dxa"/>
            <w:vAlign w:val="bottom"/>
            <w:gridSpan w:val="2"/>
            <w:shd w:val="clear" w:color="auto" w:fill="E8F7F7"/>
          </w:tcPr>
          <w:p>
            <w:pPr>
              <w:jc w:val="center"/>
              <w:spacing w:after="0" w:line="129" w:lineRule="exact"/>
              <w:rPr>
                <w:sz w:val="20"/>
                <w:szCs w:val="20"/>
                <w:color w:val="auto"/>
              </w:rPr>
            </w:pPr>
            <w:r>
              <w:rPr>
                <w:rFonts w:ascii="Arial" w:cs="Arial" w:eastAsia="Arial" w:hAnsi="Arial"/>
                <w:sz w:val="13"/>
                <w:szCs w:val="13"/>
                <w:b w:val="1"/>
                <w:bCs w:val="1"/>
                <w:color w:val="auto"/>
              </w:rPr>
              <w:t>Equity Incentive</w:t>
            </w:r>
          </w:p>
        </w:tc>
        <w:tc>
          <w:tcPr>
            <w:tcW w:w="0" w:type="dxa"/>
            <w:vAlign w:val="bottom"/>
          </w:tcPr>
          <w:p>
            <w:pPr>
              <w:spacing w:after="0"/>
              <w:rPr>
                <w:sz w:val="1"/>
                <w:szCs w:val="1"/>
                <w:color w:val="auto"/>
              </w:rPr>
            </w:pPr>
          </w:p>
        </w:tc>
      </w:tr>
      <w:tr>
        <w:trPr>
          <w:trHeight w:val="148"/>
        </w:trPr>
        <w:tc>
          <w:tcPr>
            <w:tcW w:w="1520" w:type="dxa"/>
            <w:vAlign w:val="bottom"/>
            <w:shd w:val="clear" w:color="auto" w:fill="E8F7F7"/>
          </w:tcPr>
          <w:p>
            <w:pPr>
              <w:spacing w:after="0"/>
              <w:rPr>
                <w:sz w:val="12"/>
                <w:szCs w:val="12"/>
                <w:color w:val="auto"/>
              </w:rPr>
            </w:pPr>
          </w:p>
        </w:tc>
        <w:tc>
          <w:tcPr>
            <w:tcW w:w="1000" w:type="dxa"/>
            <w:vAlign w:val="bottom"/>
            <w:shd w:val="clear" w:color="auto" w:fill="E8F7F7"/>
          </w:tcPr>
          <w:p>
            <w:pPr>
              <w:spacing w:after="0"/>
              <w:rPr>
                <w:sz w:val="12"/>
                <w:szCs w:val="12"/>
                <w:color w:val="auto"/>
              </w:rPr>
            </w:pPr>
          </w:p>
        </w:tc>
        <w:tc>
          <w:tcPr>
            <w:tcW w:w="1240" w:type="dxa"/>
            <w:vAlign w:val="bottom"/>
            <w:shd w:val="clear" w:color="auto" w:fill="E8F7F7"/>
          </w:tcPr>
          <w:p>
            <w:pPr>
              <w:jc w:val="center"/>
              <w:spacing w:after="0"/>
              <w:rPr>
                <w:sz w:val="20"/>
                <w:szCs w:val="20"/>
                <w:color w:val="auto"/>
              </w:rPr>
            </w:pPr>
            <w:r>
              <w:rPr>
                <w:rFonts w:ascii="Arial" w:cs="Arial" w:eastAsia="Arial" w:hAnsi="Arial"/>
                <w:sz w:val="13"/>
                <w:szCs w:val="13"/>
                <w:b w:val="1"/>
                <w:bCs w:val="1"/>
                <w:color w:val="auto"/>
              </w:rPr>
              <w:t>Securities</w:t>
            </w:r>
          </w:p>
        </w:tc>
        <w:tc>
          <w:tcPr>
            <w:tcW w:w="1240" w:type="dxa"/>
            <w:vAlign w:val="bottom"/>
            <w:shd w:val="clear" w:color="auto" w:fill="E8F7F7"/>
          </w:tcPr>
          <w:p>
            <w:pPr>
              <w:jc w:val="center"/>
              <w:spacing w:after="0"/>
              <w:rPr>
                <w:sz w:val="20"/>
                <w:szCs w:val="20"/>
                <w:color w:val="auto"/>
              </w:rPr>
            </w:pPr>
            <w:r>
              <w:rPr>
                <w:rFonts w:ascii="Arial" w:cs="Arial" w:eastAsia="Arial" w:hAnsi="Arial"/>
                <w:sz w:val="13"/>
                <w:szCs w:val="13"/>
                <w:b w:val="1"/>
                <w:bCs w:val="1"/>
                <w:color w:val="auto"/>
              </w:rPr>
              <w:t>Securities</w:t>
            </w:r>
          </w:p>
        </w:tc>
        <w:tc>
          <w:tcPr>
            <w:tcW w:w="1240" w:type="dxa"/>
            <w:vAlign w:val="bottom"/>
            <w:shd w:val="clear" w:color="auto" w:fill="E8F7F7"/>
          </w:tcPr>
          <w:p>
            <w:pPr>
              <w:jc w:val="center"/>
              <w:spacing w:after="0"/>
              <w:rPr>
                <w:sz w:val="20"/>
                <w:szCs w:val="20"/>
                <w:color w:val="auto"/>
              </w:rPr>
            </w:pPr>
            <w:r>
              <w:rPr>
                <w:rFonts w:ascii="Arial" w:cs="Arial" w:eastAsia="Arial" w:hAnsi="Arial"/>
                <w:sz w:val="13"/>
                <w:szCs w:val="13"/>
                <w:b w:val="1"/>
                <w:bCs w:val="1"/>
                <w:color w:val="auto"/>
              </w:rPr>
              <w:t>Plan Awards:</w:t>
            </w:r>
          </w:p>
        </w:tc>
        <w:tc>
          <w:tcPr>
            <w:tcW w:w="80" w:type="dxa"/>
            <w:vAlign w:val="bottom"/>
            <w:shd w:val="clear" w:color="auto" w:fill="E8F7F7"/>
          </w:tcPr>
          <w:p>
            <w:pPr>
              <w:spacing w:after="0"/>
              <w:rPr>
                <w:sz w:val="12"/>
                <w:szCs w:val="12"/>
                <w:color w:val="auto"/>
              </w:rPr>
            </w:pPr>
          </w:p>
        </w:tc>
        <w:tc>
          <w:tcPr>
            <w:tcW w:w="1240" w:type="dxa"/>
            <w:vAlign w:val="bottom"/>
            <w:shd w:val="clear" w:color="auto" w:fill="E8F7F7"/>
          </w:tcPr>
          <w:p>
            <w:pPr>
              <w:jc w:val="center"/>
              <w:spacing w:after="0"/>
              <w:rPr>
                <w:sz w:val="20"/>
                <w:szCs w:val="20"/>
                <w:color w:val="auto"/>
              </w:rPr>
            </w:pPr>
            <w:r>
              <w:rPr>
                <w:rFonts w:ascii="Arial" w:cs="Arial" w:eastAsia="Arial" w:hAnsi="Arial"/>
                <w:sz w:val="13"/>
                <w:szCs w:val="13"/>
                <w:b w:val="1"/>
                <w:bCs w:val="1"/>
                <w:color w:val="auto"/>
              </w:rPr>
              <w:t>or Units of Stock</w:t>
            </w:r>
          </w:p>
        </w:tc>
        <w:tc>
          <w:tcPr>
            <w:tcW w:w="1260" w:type="dxa"/>
            <w:vAlign w:val="bottom"/>
            <w:shd w:val="clear" w:color="auto" w:fill="E8F7F7"/>
          </w:tcPr>
          <w:p>
            <w:pPr>
              <w:jc w:val="center"/>
              <w:spacing w:after="0"/>
              <w:rPr>
                <w:sz w:val="20"/>
                <w:szCs w:val="20"/>
                <w:color w:val="auto"/>
              </w:rPr>
            </w:pPr>
            <w:r>
              <w:rPr>
                <w:rFonts w:ascii="Arial" w:cs="Arial" w:eastAsia="Arial" w:hAnsi="Arial"/>
                <w:sz w:val="13"/>
                <w:szCs w:val="13"/>
                <w:b w:val="1"/>
                <w:bCs w:val="1"/>
                <w:color w:val="auto"/>
              </w:rPr>
              <w:t>Shares or Units of</w:t>
            </w:r>
          </w:p>
        </w:tc>
        <w:tc>
          <w:tcPr>
            <w:tcW w:w="1240" w:type="dxa"/>
            <w:vAlign w:val="bottom"/>
            <w:shd w:val="clear" w:color="auto" w:fill="E8F7F7"/>
          </w:tcPr>
          <w:p>
            <w:pPr>
              <w:jc w:val="center"/>
              <w:spacing w:after="0"/>
              <w:rPr>
                <w:sz w:val="20"/>
                <w:szCs w:val="20"/>
                <w:color w:val="auto"/>
              </w:rPr>
            </w:pPr>
            <w:r>
              <w:rPr>
                <w:rFonts w:ascii="Arial" w:cs="Arial" w:eastAsia="Arial" w:hAnsi="Arial"/>
                <w:sz w:val="13"/>
                <w:szCs w:val="13"/>
                <w:b w:val="1"/>
                <w:bCs w:val="1"/>
                <w:color w:val="auto"/>
              </w:rPr>
              <w:t>Plan Awards:</w:t>
            </w:r>
          </w:p>
        </w:tc>
        <w:tc>
          <w:tcPr>
            <w:tcW w:w="1180" w:type="dxa"/>
            <w:vAlign w:val="bottom"/>
            <w:gridSpan w:val="2"/>
            <w:shd w:val="clear" w:color="auto" w:fill="E8F7F7"/>
          </w:tcPr>
          <w:p>
            <w:pPr>
              <w:jc w:val="center"/>
              <w:spacing w:after="0"/>
              <w:rPr>
                <w:sz w:val="20"/>
                <w:szCs w:val="20"/>
                <w:color w:val="auto"/>
              </w:rPr>
            </w:pPr>
            <w:r>
              <w:rPr>
                <w:rFonts w:ascii="Arial" w:cs="Arial" w:eastAsia="Arial" w:hAnsi="Arial"/>
                <w:sz w:val="13"/>
                <w:szCs w:val="13"/>
                <w:b w:val="1"/>
                <w:bCs w:val="1"/>
                <w:color w:val="auto"/>
              </w:rPr>
              <w:t>Plan Awards:</w:t>
            </w:r>
          </w:p>
        </w:tc>
        <w:tc>
          <w:tcPr>
            <w:tcW w:w="0" w:type="dxa"/>
            <w:vAlign w:val="bottom"/>
          </w:tcPr>
          <w:p>
            <w:pPr>
              <w:spacing w:after="0"/>
              <w:rPr>
                <w:sz w:val="1"/>
                <w:szCs w:val="1"/>
                <w:color w:val="auto"/>
              </w:rPr>
            </w:pPr>
          </w:p>
        </w:tc>
      </w:tr>
      <w:tr>
        <w:trPr>
          <w:trHeight w:val="135"/>
        </w:trPr>
        <w:tc>
          <w:tcPr>
            <w:tcW w:w="1520" w:type="dxa"/>
            <w:vAlign w:val="bottom"/>
            <w:shd w:val="clear" w:color="auto" w:fill="E8F7F7"/>
          </w:tcPr>
          <w:p>
            <w:pPr>
              <w:spacing w:after="0"/>
              <w:rPr>
                <w:sz w:val="11"/>
                <w:szCs w:val="11"/>
                <w:color w:val="auto"/>
              </w:rPr>
            </w:pPr>
          </w:p>
        </w:tc>
        <w:tc>
          <w:tcPr>
            <w:tcW w:w="1000" w:type="dxa"/>
            <w:vAlign w:val="bottom"/>
            <w:shd w:val="clear" w:color="auto" w:fill="E8F7F7"/>
          </w:tcPr>
          <w:p>
            <w:pPr>
              <w:spacing w:after="0"/>
              <w:rPr>
                <w:sz w:val="11"/>
                <w:szCs w:val="11"/>
                <w:color w:val="auto"/>
              </w:rPr>
            </w:pPr>
          </w:p>
        </w:tc>
        <w:tc>
          <w:tcPr>
            <w:tcW w:w="1240" w:type="dxa"/>
            <w:vAlign w:val="bottom"/>
            <w:shd w:val="clear" w:color="auto" w:fill="E8F7F7"/>
          </w:tcPr>
          <w:p>
            <w:pPr>
              <w:jc w:val="center"/>
              <w:spacing w:after="0" w:line="135" w:lineRule="exact"/>
              <w:rPr>
                <w:sz w:val="20"/>
                <w:szCs w:val="20"/>
                <w:color w:val="auto"/>
              </w:rPr>
            </w:pPr>
            <w:r>
              <w:rPr>
                <w:rFonts w:ascii="Arial" w:cs="Arial" w:eastAsia="Arial" w:hAnsi="Arial"/>
                <w:sz w:val="13"/>
                <w:szCs w:val="13"/>
                <w:b w:val="1"/>
                <w:bCs w:val="1"/>
                <w:color w:val="auto"/>
              </w:rPr>
              <w:t>Underlying</w:t>
            </w:r>
          </w:p>
        </w:tc>
        <w:tc>
          <w:tcPr>
            <w:tcW w:w="1240" w:type="dxa"/>
            <w:vAlign w:val="bottom"/>
            <w:shd w:val="clear" w:color="auto" w:fill="E8F7F7"/>
          </w:tcPr>
          <w:p>
            <w:pPr>
              <w:jc w:val="center"/>
              <w:spacing w:after="0" w:line="135" w:lineRule="exact"/>
              <w:rPr>
                <w:sz w:val="20"/>
                <w:szCs w:val="20"/>
                <w:color w:val="auto"/>
              </w:rPr>
            </w:pPr>
            <w:r>
              <w:rPr>
                <w:rFonts w:ascii="Arial" w:cs="Arial" w:eastAsia="Arial" w:hAnsi="Arial"/>
                <w:sz w:val="13"/>
                <w:szCs w:val="13"/>
                <w:b w:val="1"/>
                <w:bCs w:val="1"/>
                <w:color w:val="auto"/>
              </w:rPr>
              <w:t>Underlying</w:t>
            </w:r>
          </w:p>
        </w:tc>
        <w:tc>
          <w:tcPr>
            <w:tcW w:w="1240" w:type="dxa"/>
            <w:vAlign w:val="bottom"/>
            <w:shd w:val="clear" w:color="auto" w:fill="E8F7F7"/>
          </w:tcPr>
          <w:p>
            <w:pPr>
              <w:jc w:val="center"/>
              <w:spacing w:after="0" w:line="135" w:lineRule="exact"/>
              <w:rPr>
                <w:sz w:val="20"/>
                <w:szCs w:val="20"/>
                <w:color w:val="auto"/>
              </w:rPr>
            </w:pPr>
            <w:r>
              <w:rPr>
                <w:rFonts w:ascii="Arial" w:cs="Arial" w:eastAsia="Arial" w:hAnsi="Arial"/>
                <w:sz w:val="13"/>
                <w:szCs w:val="13"/>
                <w:b w:val="1"/>
                <w:bCs w:val="1"/>
                <w:color w:val="auto"/>
              </w:rPr>
              <w:t>Number of</w:t>
            </w:r>
          </w:p>
        </w:tc>
        <w:tc>
          <w:tcPr>
            <w:tcW w:w="80" w:type="dxa"/>
            <w:vAlign w:val="bottom"/>
            <w:shd w:val="clear" w:color="auto" w:fill="E8F7F7"/>
          </w:tcPr>
          <w:p>
            <w:pPr>
              <w:spacing w:after="0"/>
              <w:rPr>
                <w:sz w:val="11"/>
                <w:szCs w:val="11"/>
                <w:color w:val="auto"/>
              </w:rPr>
            </w:pPr>
          </w:p>
        </w:tc>
        <w:tc>
          <w:tcPr>
            <w:tcW w:w="1240" w:type="dxa"/>
            <w:vAlign w:val="bottom"/>
            <w:shd w:val="clear" w:color="auto" w:fill="E8F7F7"/>
          </w:tcPr>
          <w:p>
            <w:pPr>
              <w:jc w:val="center"/>
              <w:spacing w:after="0" w:line="135" w:lineRule="exact"/>
              <w:rPr>
                <w:sz w:val="20"/>
                <w:szCs w:val="20"/>
                <w:color w:val="auto"/>
              </w:rPr>
            </w:pPr>
            <w:r>
              <w:rPr>
                <w:rFonts w:ascii="Arial" w:cs="Arial" w:eastAsia="Arial" w:hAnsi="Arial"/>
                <w:sz w:val="13"/>
                <w:szCs w:val="13"/>
                <w:b w:val="1"/>
                <w:bCs w:val="1"/>
                <w:color w:val="auto"/>
              </w:rPr>
              <w:t>That Have Not</w:t>
            </w:r>
          </w:p>
        </w:tc>
        <w:tc>
          <w:tcPr>
            <w:tcW w:w="1260" w:type="dxa"/>
            <w:vAlign w:val="bottom"/>
            <w:shd w:val="clear" w:color="auto" w:fill="E8F7F7"/>
          </w:tcPr>
          <w:p>
            <w:pPr>
              <w:jc w:val="center"/>
              <w:spacing w:after="0" w:line="135" w:lineRule="exact"/>
              <w:rPr>
                <w:sz w:val="20"/>
                <w:szCs w:val="20"/>
                <w:color w:val="auto"/>
              </w:rPr>
            </w:pPr>
            <w:r>
              <w:rPr>
                <w:rFonts w:ascii="Arial" w:cs="Arial" w:eastAsia="Arial" w:hAnsi="Arial"/>
                <w:sz w:val="13"/>
                <w:szCs w:val="13"/>
                <w:b w:val="1"/>
                <w:bCs w:val="1"/>
                <w:color w:val="auto"/>
              </w:rPr>
              <w:t>Stock That Have</w:t>
            </w:r>
          </w:p>
        </w:tc>
        <w:tc>
          <w:tcPr>
            <w:tcW w:w="1240" w:type="dxa"/>
            <w:vAlign w:val="bottom"/>
            <w:shd w:val="clear" w:color="auto" w:fill="E8F7F7"/>
          </w:tcPr>
          <w:p>
            <w:pPr>
              <w:jc w:val="center"/>
              <w:spacing w:after="0" w:line="135" w:lineRule="exact"/>
              <w:rPr>
                <w:sz w:val="20"/>
                <w:szCs w:val="20"/>
                <w:color w:val="auto"/>
              </w:rPr>
            </w:pPr>
            <w:r>
              <w:rPr>
                <w:rFonts w:ascii="Arial" w:cs="Arial" w:eastAsia="Arial" w:hAnsi="Arial"/>
                <w:sz w:val="13"/>
                <w:szCs w:val="13"/>
                <w:b w:val="1"/>
                <w:bCs w:val="1"/>
                <w:color w:val="auto"/>
              </w:rPr>
              <w:t>Number of</w:t>
            </w:r>
          </w:p>
        </w:tc>
        <w:tc>
          <w:tcPr>
            <w:tcW w:w="1180" w:type="dxa"/>
            <w:vAlign w:val="bottom"/>
            <w:gridSpan w:val="2"/>
            <w:shd w:val="clear" w:color="auto" w:fill="E8F7F7"/>
          </w:tcPr>
          <w:p>
            <w:pPr>
              <w:jc w:val="center"/>
              <w:spacing w:after="0" w:line="135" w:lineRule="exact"/>
              <w:rPr>
                <w:sz w:val="20"/>
                <w:szCs w:val="20"/>
                <w:color w:val="auto"/>
              </w:rPr>
            </w:pPr>
            <w:r>
              <w:rPr>
                <w:rFonts w:ascii="Arial" w:cs="Arial" w:eastAsia="Arial" w:hAnsi="Arial"/>
                <w:sz w:val="13"/>
                <w:szCs w:val="13"/>
                <w:b w:val="1"/>
                <w:bCs w:val="1"/>
                <w:color w:val="auto"/>
              </w:rPr>
              <w:t>Market Value of</w:t>
            </w:r>
          </w:p>
        </w:tc>
        <w:tc>
          <w:tcPr>
            <w:tcW w:w="0" w:type="dxa"/>
            <w:vAlign w:val="bottom"/>
          </w:tcPr>
          <w:p>
            <w:pPr>
              <w:spacing w:after="0"/>
              <w:rPr>
                <w:sz w:val="1"/>
                <w:szCs w:val="1"/>
                <w:color w:val="auto"/>
              </w:rPr>
            </w:pPr>
          </w:p>
        </w:tc>
      </w:tr>
      <w:tr>
        <w:trPr>
          <w:trHeight w:val="135"/>
        </w:trPr>
        <w:tc>
          <w:tcPr>
            <w:tcW w:w="1520" w:type="dxa"/>
            <w:vAlign w:val="bottom"/>
            <w:shd w:val="clear" w:color="auto" w:fill="E8F7F7"/>
          </w:tcPr>
          <w:p>
            <w:pPr>
              <w:spacing w:after="0"/>
              <w:rPr>
                <w:sz w:val="11"/>
                <w:szCs w:val="11"/>
                <w:color w:val="auto"/>
              </w:rPr>
            </w:pPr>
          </w:p>
        </w:tc>
        <w:tc>
          <w:tcPr>
            <w:tcW w:w="1000" w:type="dxa"/>
            <w:vAlign w:val="bottom"/>
            <w:shd w:val="clear" w:color="auto" w:fill="E8F7F7"/>
          </w:tcPr>
          <w:p>
            <w:pPr>
              <w:spacing w:after="0"/>
              <w:rPr>
                <w:sz w:val="11"/>
                <w:szCs w:val="11"/>
                <w:color w:val="auto"/>
              </w:rPr>
            </w:pPr>
          </w:p>
        </w:tc>
        <w:tc>
          <w:tcPr>
            <w:tcW w:w="1240" w:type="dxa"/>
            <w:vAlign w:val="bottom"/>
            <w:shd w:val="clear" w:color="auto" w:fill="E8F7F7"/>
          </w:tcPr>
          <w:p>
            <w:pPr>
              <w:jc w:val="center"/>
              <w:spacing w:after="0" w:line="135" w:lineRule="exact"/>
              <w:rPr>
                <w:sz w:val="20"/>
                <w:szCs w:val="20"/>
                <w:color w:val="auto"/>
              </w:rPr>
            </w:pPr>
            <w:r>
              <w:rPr>
                <w:rFonts w:ascii="Arial" w:cs="Arial" w:eastAsia="Arial" w:hAnsi="Arial"/>
                <w:sz w:val="13"/>
                <w:szCs w:val="13"/>
                <w:b w:val="1"/>
                <w:bCs w:val="1"/>
                <w:color w:val="auto"/>
              </w:rPr>
              <w:t>Unexercised</w:t>
            </w:r>
          </w:p>
        </w:tc>
        <w:tc>
          <w:tcPr>
            <w:tcW w:w="1240" w:type="dxa"/>
            <w:vAlign w:val="bottom"/>
            <w:shd w:val="clear" w:color="auto" w:fill="E8F7F7"/>
          </w:tcPr>
          <w:p>
            <w:pPr>
              <w:jc w:val="center"/>
              <w:spacing w:after="0" w:line="135" w:lineRule="exact"/>
              <w:rPr>
                <w:sz w:val="20"/>
                <w:szCs w:val="20"/>
                <w:color w:val="auto"/>
              </w:rPr>
            </w:pPr>
            <w:r>
              <w:rPr>
                <w:rFonts w:ascii="Arial" w:cs="Arial" w:eastAsia="Arial" w:hAnsi="Arial"/>
                <w:sz w:val="13"/>
                <w:szCs w:val="13"/>
                <w:b w:val="1"/>
                <w:bCs w:val="1"/>
                <w:color w:val="auto"/>
              </w:rPr>
              <w:t>Unexercised</w:t>
            </w:r>
          </w:p>
        </w:tc>
        <w:tc>
          <w:tcPr>
            <w:tcW w:w="1240" w:type="dxa"/>
            <w:vAlign w:val="bottom"/>
            <w:shd w:val="clear" w:color="auto" w:fill="E8F7F7"/>
          </w:tcPr>
          <w:p>
            <w:pPr>
              <w:jc w:val="center"/>
              <w:spacing w:after="0" w:line="135" w:lineRule="exact"/>
              <w:rPr>
                <w:sz w:val="20"/>
                <w:szCs w:val="20"/>
                <w:color w:val="auto"/>
              </w:rPr>
            </w:pPr>
            <w:r>
              <w:rPr>
                <w:rFonts w:ascii="Arial" w:cs="Arial" w:eastAsia="Arial" w:hAnsi="Arial"/>
                <w:sz w:val="13"/>
                <w:szCs w:val="13"/>
                <w:b w:val="1"/>
                <w:bCs w:val="1"/>
                <w:color w:val="auto"/>
              </w:rPr>
              <w:t>Securities</w:t>
            </w:r>
          </w:p>
        </w:tc>
        <w:tc>
          <w:tcPr>
            <w:tcW w:w="80" w:type="dxa"/>
            <w:vAlign w:val="bottom"/>
            <w:shd w:val="clear" w:color="auto" w:fill="E8F7F7"/>
          </w:tcPr>
          <w:p>
            <w:pPr>
              <w:spacing w:after="0"/>
              <w:rPr>
                <w:sz w:val="11"/>
                <w:szCs w:val="11"/>
                <w:color w:val="auto"/>
              </w:rPr>
            </w:pPr>
          </w:p>
        </w:tc>
        <w:tc>
          <w:tcPr>
            <w:tcW w:w="1240" w:type="dxa"/>
            <w:vAlign w:val="bottom"/>
            <w:shd w:val="clear" w:color="auto" w:fill="E8F7F7"/>
          </w:tcPr>
          <w:p>
            <w:pPr>
              <w:jc w:val="center"/>
              <w:spacing w:after="0" w:line="135" w:lineRule="exact"/>
              <w:rPr>
                <w:sz w:val="20"/>
                <w:szCs w:val="20"/>
                <w:color w:val="auto"/>
              </w:rPr>
            </w:pPr>
            <w:r>
              <w:rPr>
                <w:rFonts w:ascii="Arial" w:cs="Arial" w:eastAsia="Arial" w:hAnsi="Arial"/>
                <w:sz w:val="13"/>
                <w:szCs w:val="13"/>
                <w:b w:val="1"/>
                <w:bCs w:val="1"/>
                <w:color w:val="auto"/>
              </w:rPr>
              <w:t>Vested (#) (1)</w:t>
            </w:r>
          </w:p>
        </w:tc>
        <w:tc>
          <w:tcPr>
            <w:tcW w:w="1260" w:type="dxa"/>
            <w:vAlign w:val="bottom"/>
            <w:shd w:val="clear" w:color="auto" w:fill="E8F7F7"/>
          </w:tcPr>
          <w:p>
            <w:pPr>
              <w:jc w:val="center"/>
              <w:spacing w:after="0" w:line="135" w:lineRule="exact"/>
              <w:rPr>
                <w:sz w:val="20"/>
                <w:szCs w:val="20"/>
                <w:color w:val="auto"/>
              </w:rPr>
            </w:pPr>
            <w:r>
              <w:rPr>
                <w:rFonts w:ascii="Arial" w:cs="Arial" w:eastAsia="Arial" w:hAnsi="Arial"/>
                <w:sz w:val="13"/>
                <w:szCs w:val="13"/>
                <w:b w:val="1"/>
                <w:bCs w:val="1"/>
                <w:color w:val="auto"/>
              </w:rPr>
              <w:t>Not Vested</w:t>
            </w:r>
          </w:p>
        </w:tc>
        <w:tc>
          <w:tcPr>
            <w:tcW w:w="2420" w:type="dxa"/>
            <w:vAlign w:val="bottom"/>
            <w:gridSpan w:val="3"/>
            <w:shd w:val="clear" w:color="auto" w:fill="E8F7F7"/>
          </w:tcPr>
          <w:p>
            <w:pPr>
              <w:jc w:val="right"/>
              <w:spacing w:after="0" w:line="135" w:lineRule="exact"/>
              <w:rPr>
                <w:sz w:val="20"/>
                <w:szCs w:val="20"/>
                <w:color w:val="auto"/>
              </w:rPr>
            </w:pPr>
            <w:r>
              <w:rPr>
                <w:rFonts w:ascii="Arial" w:cs="Arial" w:eastAsia="Arial" w:hAnsi="Arial"/>
                <w:sz w:val="13"/>
                <w:szCs w:val="13"/>
                <w:b w:val="1"/>
                <w:bCs w:val="1"/>
                <w:color w:val="auto"/>
              </w:rPr>
              <w:t>Unearned Shares, Unearned Shares,</w:t>
            </w:r>
          </w:p>
        </w:tc>
        <w:tc>
          <w:tcPr>
            <w:tcW w:w="0" w:type="dxa"/>
            <w:vAlign w:val="bottom"/>
          </w:tcPr>
          <w:p>
            <w:pPr>
              <w:spacing w:after="0"/>
              <w:rPr>
                <w:sz w:val="1"/>
                <w:szCs w:val="1"/>
                <w:color w:val="auto"/>
              </w:rPr>
            </w:pPr>
          </w:p>
        </w:tc>
      </w:tr>
      <w:tr>
        <w:trPr>
          <w:trHeight w:val="135"/>
        </w:trPr>
        <w:tc>
          <w:tcPr>
            <w:tcW w:w="1520" w:type="dxa"/>
            <w:vAlign w:val="bottom"/>
            <w:shd w:val="clear" w:color="auto" w:fill="E8F7F7"/>
          </w:tcPr>
          <w:p>
            <w:pPr>
              <w:spacing w:after="0"/>
              <w:rPr>
                <w:sz w:val="11"/>
                <w:szCs w:val="11"/>
                <w:color w:val="auto"/>
              </w:rPr>
            </w:pPr>
          </w:p>
        </w:tc>
        <w:tc>
          <w:tcPr>
            <w:tcW w:w="1000" w:type="dxa"/>
            <w:vAlign w:val="bottom"/>
            <w:shd w:val="clear" w:color="auto" w:fill="E8F7F7"/>
          </w:tcPr>
          <w:p>
            <w:pPr>
              <w:spacing w:after="0"/>
              <w:rPr>
                <w:sz w:val="11"/>
                <w:szCs w:val="11"/>
                <w:color w:val="auto"/>
              </w:rPr>
            </w:pPr>
          </w:p>
        </w:tc>
        <w:tc>
          <w:tcPr>
            <w:tcW w:w="1240" w:type="dxa"/>
            <w:vAlign w:val="bottom"/>
            <w:shd w:val="clear" w:color="auto" w:fill="E8F7F7"/>
          </w:tcPr>
          <w:p>
            <w:pPr>
              <w:jc w:val="center"/>
              <w:spacing w:after="0" w:line="135" w:lineRule="exact"/>
              <w:rPr>
                <w:sz w:val="20"/>
                <w:szCs w:val="20"/>
                <w:color w:val="auto"/>
              </w:rPr>
            </w:pPr>
            <w:r>
              <w:rPr>
                <w:rFonts w:ascii="Arial" w:cs="Arial" w:eastAsia="Arial" w:hAnsi="Arial"/>
                <w:sz w:val="13"/>
                <w:szCs w:val="13"/>
                <w:b w:val="1"/>
                <w:bCs w:val="1"/>
                <w:color w:val="auto"/>
              </w:rPr>
              <w:t>Options (#)</w:t>
            </w:r>
          </w:p>
        </w:tc>
        <w:tc>
          <w:tcPr>
            <w:tcW w:w="1240" w:type="dxa"/>
            <w:vAlign w:val="bottom"/>
            <w:shd w:val="clear" w:color="auto" w:fill="E8F7F7"/>
          </w:tcPr>
          <w:p>
            <w:pPr>
              <w:jc w:val="center"/>
              <w:spacing w:after="0" w:line="135" w:lineRule="exact"/>
              <w:rPr>
                <w:sz w:val="20"/>
                <w:szCs w:val="20"/>
                <w:color w:val="auto"/>
              </w:rPr>
            </w:pPr>
            <w:r>
              <w:rPr>
                <w:rFonts w:ascii="Arial" w:cs="Arial" w:eastAsia="Arial" w:hAnsi="Arial"/>
                <w:sz w:val="13"/>
                <w:szCs w:val="13"/>
                <w:b w:val="1"/>
                <w:bCs w:val="1"/>
                <w:color w:val="auto"/>
              </w:rPr>
              <w:t>Options (#)</w:t>
            </w:r>
          </w:p>
        </w:tc>
        <w:tc>
          <w:tcPr>
            <w:tcW w:w="1240" w:type="dxa"/>
            <w:vAlign w:val="bottom"/>
            <w:shd w:val="clear" w:color="auto" w:fill="E8F7F7"/>
          </w:tcPr>
          <w:p>
            <w:pPr>
              <w:jc w:val="center"/>
              <w:spacing w:after="0" w:line="135" w:lineRule="exact"/>
              <w:rPr>
                <w:sz w:val="20"/>
                <w:szCs w:val="20"/>
                <w:color w:val="auto"/>
              </w:rPr>
            </w:pPr>
            <w:r>
              <w:rPr>
                <w:rFonts w:ascii="Arial" w:cs="Arial" w:eastAsia="Arial" w:hAnsi="Arial"/>
                <w:sz w:val="13"/>
                <w:szCs w:val="13"/>
                <w:b w:val="1"/>
                <w:bCs w:val="1"/>
                <w:color w:val="auto"/>
              </w:rPr>
              <w:t>Underlying</w:t>
            </w:r>
          </w:p>
        </w:tc>
        <w:tc>
          <w:tcPr>
            <w:tcW w:w="80" w:type="dxa"/>
            <w:vAlign w:val="bottom"/>
            <w:shd w:val="clear" w:color="auto" w:fill="E8F7F7"/>
          </w:tcPr>
          <w:p>
            <w:pPr>
              <w:spacing w:after="0"/>
              <w:rPr>
                <w:sz w:val="11"/>
                <w:szCs w:val="11"/>
                <w:color w:val="auto"/>
              </w:rPr>
            </w:pPr>
          </w:p>
        </w:tc>
        <w:tc>
          <w:tcPr>
            <w:tcW w:w="1240" w:type="dxa"/>
            <w:vAlign w:val="bottom"/>
            <w:shd w:val="clear" w:color="auto" w:fill="E8F7F7"/>
          </w:tcPr>
          <w:p>
            <w:pPr>
              <w:spacing w:after="0"/>
              <w:rPr>
                <w:sz w:val="11"/>
                <w:szCs w:val="11"/>
                <w:color w:val="auto"/>
              </w:rPr>
            </w:pPr>
          </w:p>
        </w:tc>
        <w:tc>
          <w:tcPr>
            <w:tcW w:w="1260" w:type="dxa"/>
            <w:vAlign w:val="bottom"/>
            <w:shd w:val="clear" w:color="auto" w:fill="E8F7F7"/>
          </w:tcPr>
          <w:p>
            <w:pPr>
              <w:jc w:val="center"/>
              <w:spacing w:after="0" w:line="135" w:lineRule="exact"/>
              <w:rPr>
                <w:sz w:val="20"/>
                <w:szCs w:val="20"/>
                <w:color w:val="auto"/>
              </w:rPr>
            </w:pPr>
            <w:r>
              <w:rPr>
                <w:rFonts w:ascii="Arial" w:cs="Arial" w:eastAsia="Arial" w:hAnsi="Arial"/>
                <w:sz w:val="13"/>
                <w:szCs w:val="13"/>
                <w:b w:val="1"/>
                <w:bCs w:val="1"/>
                <w:color w:val="auto"/>
              </w:rPr>
              <w:t>($) (2)</w:t>
            </w:r>
          </w:p>
        </w:tc>
        <w:tc>
          <w:tcPr>
            <w:tcW w:w="1240" w:type="dxa"/>
            <w:vAlign w:val="bottom"/>
            <w:shd w:val="clear" w:color="auto" w:fill="E8F7F7"/>
          </w:tcPr>
          <w:p>
            <w:pPr>
              <w:jc w:val="center"/>
              <w:spacing w:after="0" w:line="135" w:lineRule="exact"/>
              <w:rPr>
                <w:sz w:val="20"/>
                <w:szCs w:val="20"/>
                <w:color w:val="auto"/>
              </w:rPr>
            </w:pPr>
            <w:r>
              <w:rPr>
                <w:rFonts w:ascii="Arial" w:cs="Arial" w:eastAsia="Arial" w:hAnsi="Arial"/>
                <w:sz w:val="13"/>
                <w:szCs w:val="13"/>
                <w:b w:val="1"/>
                <w:bCs w:val="1"/>
                <w:color w:val="auto"/>
              </w:rPr>
              <w:t>Units or Other</w:t>
            </w:r>
          </w:p>
        </w:tc>
        <w:tc>
          <w:tcPr>
            <w:tcW w:w="1180" w:type="dxa"/>
            <w:vAlign w:val="bottom"/>
            <w:gridSpan w:val="2"/>
            <w:shd w:val="clear" w:color="auto" w:fill="E8F7F7"/>
          </w:tcPr>
          <w:p>
            <w:pPr>
              <w:jc w:val="center"/>
              <w:spacing w:after="0" w:line="135" w:lineRule="exact"/>
              <w:rPr>
                <w:sz w:val="20"/>
                <w:szCs w:val="20"/>
                <w:color w:val="auto"/>
              </w:rPr>
            </w:pPr>
            <w:r>
              <w:rPr>
                <w:rFonts w:ascii="Arial" w:cs="Arial" w:eastAsia="Arial" w:hAnsi="Arial"/>
                <w:sz w:val="13"/>
                <w:szCs w:val="13"/>
                <w:b w:val="1"/>
                <w:bCs w:val="1"/>
                <w:color w:val="auto"/>
              </w:rPr>
              <w:t>Units or Other</w:t>
            </w:r>
          </w:p>
        </w:tc>
        <w:tc>
          <w:tcPr>
            <w:tcW w:w="0" w:type="dxa"/>
            <w:vAlign w:val="bottom"/>
          </w:tcPr>
          <w:p>
            <w:pPr>
              <w:spacing w:after="0"/>
              <w:rPr>
                <w:sz w:val="1"/>
                <w:szCs w:val="1"/>
                <w:color w:val="auto"/>
              </w:rPr>
            </w:pPr>
          </w:p>
        </w:tc>
      </w:tr>
      <w:tr>
        <w:trPr>
          <w:trHeight w:val="148"/>
        </w:trPr>
        <w:tc>
          <w:tcPr>
            <w:tcW w:w="1520" w:type="dxa"/>
            <w:vAlign w:val="bottom"/>
            <w:shd w:val="clear" w:color="auto" w:fill="E8F7F7"/>
          </w:tcPr>
          <w:p>
            <w:pPr>
              <w:spacing w:after="0"/>
              <w:rPr>
                <w:sz w:val="12"/>
                <w:szCs w:val="12"/>
                <w:color w:val="auto"/>
              </w:rPr>
            </w:pPr>
          </w:p>
        </w:tc>
        <w:tc>
          <w:tcPr>
            <w:tcW w:w="1000" w:type="dxa"/>
            <w:vAlign w:val="bottom"/>
            <w:shd w:val="clear" w:color="auto" w:fill="E8F7F7"/>
          </w:tcPr>
          <w:p>
            <w:pPr>
              <w:spacing w:after="0"/>
              <w:rPr>
                <w:sz w:val="12"/>
                <w:szCs w:val="12"/>
                <w:color w:val="auto"/>
              </w:rPr>
            </w:pPr>
          </w:p>
        </w:tc>
        <w:tc>
          <w:tcPr>
            <w:tcW w:w="1240" w:type="dxa"/>
            <w:vAlign w:val="bottom"/>
            <w:shd w:val="clear" w:color="auto" w:fill="E8F7F7"/>
          </w:tcPr>
          <w:p>
            <w:pPr>
              <w:jc w:val="center"/>
              <w:spacing w:after="0"/>
              <w:rPr>
                <w:sz w:val="20"/>
                <w:szCs w:val="20"/>
                <w:color w:val="auto"/>
              </w:rPr>
            </w:pPr>
            <w:r>
              <w:rPr>
                <w:rFonts w:ascii="Arial" w:cs="Arial" w:eastAsia="Arial" w:hAnsi="Arial"/>
                <w:sz w:val="13"/>
                <w:szCs w:val="13"/>
                <w:b w:val="1"/>
                <w:bCs w:val="1"/>
                <w:color w:val="auto"/>
              </w:rPr>
              <w:t>Exercisable</w:t>
            </w:r>
          </w:p>
        </w:tc>
        <w:tc>
          <w:tcPr>
            <w:tcW w:w="1240" w:type="dxa"/>
            <w:vAlign w:val="bottom"/>
            <w:shd w:val="clear" w:color="auto" w:fill="E8F7F7"/>
          </w:tcPr>
          <w:p>
            <w:pPr>
              <w:jc w:val="center"/>
              <w:spacing w:after="0"/>
              <w:rPr>
                <w:sz w:val="20"/>
                <w:szCs w:val="20"/>
                <w:color w:val="auto"/>
              </w:rPr>
            </w:pPr>
            <w:r>
              <w:rPr>
                <w:rFonts w:ascii="Arial" w:cs="Arial" w:eastAsia="Arial" w:hAnsi="Arial"/>
                <w:sz w:val="13"/>
                <w:szCs w:val="13"/>
                <w:b w:val="1"/>
                <w:bCs w:val="1"/>
                <w:color w:val="auto"/>
              </w:rPr>
              <w:t>Unexercisable</w:t>
            </w:r>
          </w:p>
        </w:tc>
        <w:tc>
          <w:tcPr>
            <w:tcW w:w="1240" w:type="dxa"/>
            <w:vAlign w:val="bottom"/>
            <w:shd w:val="clear" w:color="auto" w:fill="E8F7F7"/>
          </w:tcPr>
          <w:p>
            <w:pPr>
              <w:jc w:val="center"/>
              <w:spacing w:after="0"/>
              <w:rPr>
                <w:sz w:val="20"/>
                <w:szCs w:val="20"/>
                <w:color w:val="auto"/>
              </w:rPr>
            </w:pPr>
            <w:r>
              <w:rPr>
                <w:rFonts w:ascii="Arial" w:cs="Arial" w:eastAsia="Arial" w:hAnsi="Arial"/>
                <w:sz w:val="13"/>
                <w:szCs w:val="13"/>
                <w:b w:val="1"/>
                <w:bCs w:val="1"/>
                <w:color w:val="auto"/>
              </w:rPr>
              <w:t>Unexercised</w:t>
            </w:r>
          </w:p>
        </w:tc>
        <w:tc>
          <w:tcPr>
            <w:tcW w:w="80" w:type="dxa"/>
            <w:vAlign w:val="bottom"/>
            <w:shd w:val="clear" w:color="auto" w:fill="E8F7F7"/>
          </w:tcPr>
          <w:p>
            <w:pPr>
              <w:spacing w:after="0"/>
              <w:rPr>
                <w:sz w:val="12"/>
                <w:szCs w:val="12"/>
                <w:color w:val="auto"/>
              </w:rPr>
            </w:pPr>
          </w:p>
        </w:tc>
        <w:tc>
          <w:tcPr>
            <w:tcW w:w="1240" w:type="dxa"/>
            <w:vAlign w:val="bottom"/>
            <w:shd w:val="clear" w:color="auto" w:fill="E8F7F7"/>
          </w:tcPr>
          <w:p>
            <w:pPr>
              <w:spacing w:after="0"/>
              <w:rPr>
                <w:sz w:val="12"/>
                <w:szCs w:val="12"/>
                <w:color w:val="auto"/>
              </w:rPr>
            </w:pPr>
          </w:p>
        </w:tc>
        <w:tc>
          <w:tcPr>
            <w:tcW w:w="1260" w:type="dxa"/>
            <w:vAlign w:val="bottom"/>
            <w:shd w:val="clear" w:color="auto" w:fill="E8F7F7"/>
          </w:tcPr>
          <w:p>
            <w:pPr>
              <w:spacing w:after="0"/>
              <w:rPr>
                <w:sz w:val="12"/>
                <w:szCs w:val="12"/>
                <w:color w:val="auto"/>
              </w:rPr>
            </w:pPr>
          </w:p>
        </w:tc>
        <w:tc>
          <w:tcPr>
            <w:tcW w:w="1240" w:type="dxa"/>
            <w:vAlign w:val="bottom"/>
            <w:shd w:val="clear" w:color="auto" w:fill="E8F7F7"/>
          </w:tcPr>
          <w:p>
            <w:pPr>
              <w:jc w:val="center"/>
              <w:spacing w:after="0"/>
              <w:rPr>
                <w:sz w:val="20"/>
                <w:szCs w:val="20"/>
                <w:color w:val="auto"/>
              </w:rPr>
            </w:pPr>
            <w:r>
              <w:rPr>
                <w:rFonts w:ascii="Arial" w:cs="Arial" w:eastAsia="Arial" w:hAnsi="Arial"/>
                <w:sz w:val="13"/>
                <w:szCs w:val="13"/>
                <w:b w:val="1"/>
                <w:bCs w:val="1"/>
                <w:color w:val="auto"/>
              </w:rPr>
              <w:t>Rights That Have</w:t>
            </w:r>
          </w:p>
        </w:tc>
        <w:tc>
          <w:tcPr>
            <w:tcW w:w="1180" w:type="dxa"/>
            <w:vAlign w:val="bottom"/>
            <w:gridSpan w:val="2"/>
            <w:shd w:val="clear" w:color="auto" w:fill="E8F7F7"/>
          </w:tcPr>
          <w:p>
            <w:pPr>
              <w:jc w:val="center"/>
              <w:spacing w:after="0"/>
              <w:rPr>
                <w:sz w:val="20"/>
                <w:szCs w:val="20"/>
                <w:color w:val="auto"/>
              </w:rPr>
            </w:pPr>
            <w:r>
              <w:rPr>
                <w:rFonts w:ascii="Arial" w:cs="Arial" w:eastAsia="Arial" w:hAnsi="Arial"/>
                <w:sz w:val="13"/>
                <w:szCs w:val="13"/>
                <w:b w:val="1"/>
                <w:bCs w:val="1"/>
                <w:color w:val="auto"/>
              </w:rPr>
              <w:t>Rights That Have</w:t>
            </w:r>
          </w:p>
        </w:tc>
        <w:tc>
          <w:tcPr>
            <w:tcW w:w="0" w:type="dxa"/>
            <w:vAlign w:val="bottom"/>
          </w:tcPr>
          <w:p>
            <w:pPr>
              <w:spacing w:after="0"/>
              <w:rPr>
                <w:sz w:val="1"/>
                <w:szCs w:val="1"/>
                <w:color w:val="auto"/>
              </w:rPr>
            </w:pPr>
          </w:p>
        </w:tc>
      </w:tr>
      <w:tr>
        <w:trPr>
          <w:trHeight w:val="135"/>
        </w:trPr>
        <w:tc>
          <w:tcPr>
            <w:tcW w:w="1520" w:type="dxa"/>
            <w:vAlign w:val="bottom"/>
            <w:vMerge w:val="restart"/>
            <w:shd w:val="clear" w:color="auto" w:fill="E8F7F7"/>
          </w:tcPr>
          <w:p>
            <w:pPr>
              <w:ind w:left="20"/>
              <w:spacing w:after="0"/>
              <w:rPr>
                <w:sz w:val="20"/>
                <w:szCs w:val="20"/>
                <w:color w:val="auto"/>
              </w:rPr>
            </w:pPr>
            <w:r>
              <w:rPr>
                <w:rFonts w:ascii="Arial" w:cs="Arial" w:eastAsia="Arial" w:hAnsi="Arial"/>
                <w:sz w:val="13"/>
                <w:szCs w:val="13"/>
                <w:b w:val="1"/>
                <w:bCs w:val="1"/>
                <w:color w:val="auto"/>
              </w:rPr>
              <w:t>Name</w:t>
            </w:r>
          </w:p>
        </w:tc>
        <w:tc>
          <w:tcPr>
            <w:tcW w:w="1000" w:type="dxa"/>
            <w:vAlign w:val="bottom"/>
            <w:vMerge w:val="restart"/>
            <w:shd w:val="clear" w:color="auto" w:fill="E8F7F7"/>
          </w:tcPr>
          <w:p>
            <w:pPr>
              <w:ind w:left="160"/>
              <w:spacing w:after="0"/>
              <w:rPr>
                <w:sz w:val="20"/>
                <w:szCs w:val="20"/>
                <w:color w:val="auto"/>
              </w:rPr>
            </w:pPr>
            <w:r>
              <w:rPr>
                <w:rFonts w:ascii="Arial" w:cs="Arial" w:eastAsia="Arial" w:hAnsi="Arial"/>
                <w:sz w:val="13"/>
                <w:szCs w:val="13"/>
                <w:b w:val="1"/>
                <w:bCs w:val="1"/>
                <w:color w:val="auto"/>
              </w:rPr>
              <w:t>Grant Date</w:t>
            </w:r>
          </w:p>
        </w:tc>
        <w:tc>
          <w:tcPr>
            <w:tcW w:w="1240" w:type="dxa"/>
            <w:vAlign w:val="bottom"/>
            <w:shd w:val="clear" w:color="auto" w:fill="E8F7F7"/>
          </w:tcPr>
          <w:p>
            <w:pPr>
              <w:spacing w:after="0"/>
              <w:rPr>
                <w:sz w:val="11"/>
                <w:szCs w:val="11"/>
                <w:color w:val="auto"/>
              </w:rPr>
            </w:pPr>
          </w:p>
        </w:tc>
        <w:tc>
          <w:tcPr>
            <w:tcW w:w="1240" w:type="dxa"/>
            <w:vAlign w:val="bottom"/>
            <w:shd w:val="clear" w:color="auto" w:fill="E8F7F7"/>
          </w:tcPr>
          <w:p>
            <w:pPr>
              <w:spacing w:after="0"/>
              <w:rPr>
                <w:sz w:val="11"/>
                <w:szCs w:val="11"/>
                <w:color w:val="auto"/>
              </w:rPr>
            </w:pPr>
          </w:p>
        </w:tc>
        <w:tc>
          <w:tcPr>
            <w:tcW w:w="1240" w:type="dxa"/>
            <w:vAlign w:val="bottom"/>
            <w:shd w:val="clear" w:color="auto" w:fill="E8F7F7"/>
          </w:tcPr>
          <w:p>
            <w:pPr>
              <w:jc w:val="center"/>
              <w:spacing w:after="0" w:line="135" w:lineRule="exact"/>
              <w:rPr>
                <w:sz w:val="20"/>
                <w:szCs w:val="20"/>
                <w:color w:val="auto"/>
              </w:rPr>
            </w:pPr>
            <w:r>
              <w:rPr>
                <w:rFonts w:ascii="Arial" w:cs="Arial" w:eastAsia="Arial" w:hAnsi="Arial"/>
                <w:sz w:val="13"/>
                <w:szCs w:val="13"/>
                <w:b w:val="1"/>
                <w:bCs w:val="1"/>
                <w:color w:val="auto"/>
              </w:rPr>
              <w:t>Unearned Options</w:t>
            </w:r>
          </w:p>
        </w:tc>
        <w:tc>
          <w:tcPr>
            <w:tcW w:w="80" w:type="dxa"/>
            <w:vAlign w:val="bottom"/>
            <w:shd w:val="clear" w:color="auto" w:fill="E8F7F7"/>
          </w:tcPr>
          <w:p>
            <w:pPr>
              <w:spacing w:after="0"/>
              <w:rPr>
                <w:sz w:val="11"/>
                <w:szCs w:val="11"/>
                <w:color w:val="auto"/>
              </w:rPr>
            </w:pPr>
          </w:p>
        </w:tc>
        <w:tc>
          <w:tcPr>
            <w:tcW w:w="1240" w:type="dxa"/>
            <w:vAlign w:val="bottom"/>
            <w:shd w:val="clear" w:color="auto" w:fill="E8F7F7"/>
          </w:tcPr>
          <w:p>
            <w:pPr>
              <w:spacing w:after="0"/>
              <w:rPr>
                <w:sz w:val="11"/>
                <w:szCs w:val="11"/>
                <w:color w:val="auto"/>
              </w:rPr>
            </w:pPr>
          </w:p>
        </w:tc>
        <w:tc>
          <w:tcPr>
            <w:tcW w:w="1260" w:type="dxa"/>
            <w:vAlign w:val="bottom"/>
            <w:shd w:val="clear" w:color="auto" w:fill="E8F7F7"/>
          </w:tcPr>
          <w:p>
            <w:pPr>
              <w:spacing w:after="0"/>
              <w:rPr>
                <w:sz w:val="11"/>
                <w:szCs w:val="11"/>
                <w:color w:val="auto"/>
              </w:rPr>
            </w:pPr>
          </w:p>
        </w:tc>
        <w:tc>
          <w:tcPr>
            <w:tcW w:w="1240" w:type="dxa"/>
            <w:vAlign w:val="bottom"/>
            <w:shd w:val="clear" w:color="auto" w:fill="E8F7F7"/>
          </w:tcPr>
          <w:p>
            <w:pPr>
              <w:jc w:val="center"/>
              <w:spacing w:after="0" w:line="135" w:lineRule="exact"/>
              <w:rPr>
                <w:sz w:val="20"/>
                <w:szCs w:val="20"/>
                <w:color w:val="auto"/>
              </w:rPr>
            </w:pPr>
            <w:r>
              <w:rPr>
                <w:rFonts w:ascii="Arial" w:cs="Arial" w:eastAsia="Arial" w:hAnsi="Arial"/>
                <w:sz w:val="13"/>
                <w:szCs w:val="13"/>
                <w:b w:val="1"/>
                <w:bCs w:val="1"/>
                <w:color w:val="auto"/>
              </w:rPr>
              <w:t>Not Vested</w:t>
            </w:r>
          </w:p>
        </w:tc>
        <w:tc>
          <w:tcPr>
            <w:tcW w:w="940" w:type="dxa"/>
            <w:vAlign w:val="bottom"/>
            <w:shd w:val="clear" w:color="auto" w:fill="E8F7F7"/>
          </w:tcPr>
          <w:p>
            <w:pPr>
              <w:jc w:val="center"/>
              <w:ind w:left="149"/>
              <w:spacing w:after="0" w:line="135" w:lineRule="exact"/>
              <w:rPr>
                <w:sz w:val="20"/>
                <w:szCs w:val="20"/>
                <w:color w:val="auto"/>
              </w:rPr>
            </w:pPr>
            <w:r>
              <w:rPr>
                <w:rFonts w:ascii="Arial" w:cs="Arial" w:eastAsia="Arial" w:hAnsi="Arial"/>
                <w:sz w:val="13"/>
                <w:szCs w:val="13"/>
                <w:b w:val="1"/>
                <w:bCs w:val="1"/>
                <w:color w:val="auto"/>
              </w:rPr>
              <w:t>Not Vested</w:t>
            </w:r>
          </w:p>
        </w:tc>
        <w:tc>
          <w:tcPr>
            <w:tcW w:w="240" w:type="dxa"/>
            <w:vAlign w:val="bottom"/>
            <w:shd w:val="clear" w:color="auto" w:fill="E8F7F7"/>
          </w:tcPr>
          <w:p>
            <w:pPr>
              <w:spacing w:after="0"/>
              <w:rPr>
                <w:sz w:val="11"/>
                <w:szCs w:val="11"/>
                <w:color w:val="auto"/>
              </w:rPr>
            </w:pPr>
          </w:p>
        </w:tc>
        <w:tc>
          <w:tcPr>
            <w:tcW w:w="0" w:type="dxa"/>
            <w:vAlign w:val="bottom"/>
          </w:tcPr>
          <w:p>
            <w:pPr>
              <w:spacing w:after="0"/>
              <w:rPr>
                <w:sz w:val="1"/>
                <w:szCs w:val="1"/>
                <w:color w:val="auto"/>
              </w:rPr>
            </w:pPr>
          </w:p>
        </w:tc>
      </w:tr>
      <w:tr>
        <w:trPr>
          <w:trHeight w:val="188"/>
        </w:trPr>
        <w:tc>
          <w:tcPr>
            <w:tcW w:w="1520" w:type="dxa"/>
            <w:vAlign w:val="bottom"/>
            <w:tcBorders>
              <w:bottom w:val="single" w:sz="8" w:color="242424"/>
            </w:tcBorders>
            <w:vMerge w:val="continue"/>
            <w:shd w:val="clear" w:color="auto" w:fill="E8F7F7"/>
          </w:tcPr>
          <w:p>
            <w:pPr>
              <w:spacing w:after="0"/>
              <w:rPr>
                <w:sz w:val="16"/>
                <w:szCs w:val="16"/>
                <w:color w:val="auto"/>
              </w:rPr>
            </w:pPr>
          </w:p>
        </w:tc>
        <w:tc>
          <w:tcPr>
            <w:tcW w:w="1000" w:type="dxa"/>
            <w:vAlign w:val="bottom"/>
            <w:tcBorders>
              <w:bottom w:val="single" w:sz="8" w:color="242424"/>
            </w:tcBorders>
            <w:vMerge w:val="continue"/>
            <w:shd w:val="clear" w:color="auto" w:fill="E8F7F7"/>
          </w:tcPr>
          <w:p>
            <w:pPr>
              <w:spacing w:after="0"/>
              <w:rPr>
                <w:sz w:val="16"/>
                <w:szCs w:val="16"/>
                <w:color w:val="auto"/>
              </w:rPr>
            </w:pPr>
          </w:p>
        </w:tc>
        <w:tc>
          <w:tcPr>
            <w:tcW w:w="1240" w:type="dxa"/>
            <w:vAlign w:val="bottom"/>
            <w:tcBorders>
              <w:bottom w:val="single" w:sz="8" w:color="242424"/>
            </w:tcBorders>
            <w:shd w:val="clear" w:color="auto" w:fill="E8F7F7"/>
          </w:tcPr>
          <w:p>
            <w:pPr>
              <w:spacing w:after="0"/>
              <w:rPr>
                <w:sz w:val="16"/>
                <w:szCs w:val="16"/>
                <w:color w:val="auto"/>
              </w:rPr>
            </w:pPr>
          </w:p>
        </w:tc>
        <w:tc>
          <w:tcPr>
            <w:tcW w:w="1240" w:type="dxa"/>
            <w:vAlign w:val="bottom"/>
            <w:tcBorders>
              <w:bottom w:val="single" w:sz="8" w:color="242424"/>
            </w:tcBorders>
            <w:shd w:val="clear" w:color="auto" w:fill="E8F7F7"/>
          </w:tcPr>
          <w:p>
            <w:pPr>
              <w:spacing w:after="0"/>
              <w:rPr>
                <w:sz w:val="16"/>
                <w:szCs w:val="16"/>
                <w:color w:val="auto"/>
              </w:rPr>
            </w:pPr>
          </w:p>
        </w:tc>
        <w:tc>
          <w:tcPr>
            <w:tcW w:w="1240" w:type="dxa"/>
            <w:vAlign w:val="bottom"/>
            <w:tcBorders>
              <w:bottom w:val="single" w:sz="8" w:color="242424"/>
            </w:tcBorders>
            <w:shd w:val="clear" w:color="auto" w:fill="E8F7F7"/>
          </w:tcPr>
          <w:p>
            <w:pPr>
              <w:jc w:val="center"/>
              <w:spacing w:after="0"/>
              <w:rPr>
                <w:sz w:val="20"/>
                <w:szCs w:val="20"/>
                <w:color w:val="auto"/>
              </w:rPr>
            </w:pPr>
            <w:r>
              <w:rPr>
                <w:rFonts w:ascii="Arial" w:cs="Arial" w:eastAsia="Arial" w:hAnsi="Arial"/>
                <w:sz w:val="13"/>
                <w:szCs w:val="13"/>
                <w:b w:val="1"/>
                <w:bCs w:val="1"/>
                <w:color w:val="auto"/>
              </w:rPr>
              <w:t>(#)</w:t>
            </w:r>
          </w:p>
        </w:tc>
        <w:tc>
          <w:tcPr>
            <w:tcW w:w="80" w:type="dxa"/>
            <w:vAlign w:val="bottom"/>
            <w:tcBorders>
              <w:bottom w:val="single" w:sz="8" w:color="242424"/>
            </w:tcBorders>
            <w:shd w:val="clear" w:color="auto" w:fill="E8F7F7"/>
          </w:tcPr>
          <w:p>
            <w:pPr>
              <w:spacing w:after="0"/>
              <w:rPr>
                <w:sz w:val="16"/>
                <w:szCs w:val="16"/>
                <w:color w:val="auto"/>
              </w:rPr>
            </w:pPr>
          </w:p>
        </w:tc>
        <w:tc>
          <w:tcPr>
            <w:tcW w:w="1240" w:type="dxa"/>
            <w:vAlign w:val="bottom"/>
            <w:tcBorders>
              <w:bottom w:val="single" w:sz="8" w:color="242424"/>
            </w:tcBorders>
            <w:shd w:val="clear" w:color="auto" w:fill="E8F7F7"/>
          </w:tcPr>
          <w:p>
            <w:pPr>
              <w:spacing w:after="0"/>
              <w:rPr>
                <w:sz w:val="16"/>
                <w:szCs w:val="16"/>
                <w:color w:val="auto"/>
              </w:rPr>
            </w:pPr>
          </w:p>
        </w:tc>
        <w:tc>
          <w:tcPr>
            <w:tcW w:w="1260" w:type="dxa"/>
            <w:vAlign w:val="bottom"/>
            <w:tcBorders>
              <w:bottom w:val="single" w:sz="8" w:color="242424"/>
            </w:tcBorders>
            <w:shd w:val="clear" w:color="auto" w:fill="E8F7F7"/>
          </w:tcPr>
          <w:p>
            <w:pPr>
              <w:spacing w:after="0"/>
              <w:rPr>
                <w:sz w:val="16"/>
                <w:szCs w:val="16"/>
                <w:color w:val="auto"/>
              </w:rPr>
            </w:pPr>
          </w:p>
        </w:tc>
        <w:tc>
          <w:tcPr>
            <w:tcW w:w="1240" w:type="dxa"/>
            <w:vAlign w:val="bottom"/>
            <w:tcBorders>
              <w:bottom w:val="single" w:sz="8" w:color="242424"/>
            </w:tcBorders>
            <w:shd w:val="clear" w:color="auto" w:fill="E8F7F7"/>
          </w:tcPr>
          <w:p>
            <w:pPr>
              <w:jc w:val="center"/>
              <w:spacing w:after="0"/>
              <w:rPr>
                <w:sz w:val="20"/>
                <w:szCs w:val="20"/>
                <w:color w:val="auto"/>
              </w:rPr>
            </w:pPr>
            <w:r>
              <w:rPr>
                <w:rFonts w:ascii="Arial" w:cs="Arial" w:eastAsia="Arial" w:hAnsi="Arial"/>
                <w:sz w:val="13"/>
                <w:szCs w:val="13"/>
                <w:b w:val="1"/>
                <w:bCs w:val="1"/>
                <w:color w:val="auto"/>
              </w:rPr>
              <w:t>(#) (3)</w:t>
            </w:r>
          </w:p>
        </w:tc>
        <w:tc>
          <w:tcPr>
            <w:tcW w:w="940" w:type="dxa"/>
            <w:vAlign w:val="bottom"/>
            <w:tcBorders>
              <w:bottom w:val="single" w:sz="8" w:color="242424"/>
            </w:tcBorders>
            <w:shd w:val="clear" w:color="auto" w:fill="E8F7F7"/>
          </w:tcPr>
          <w:p>
            <w:pPr>
              <w:jc w:val="center"/>
              <w:ind w:left="149"/>
              <w:spacing w:after="0"/>
              <w:rPr>
                <w:sz w:val="20"/>
                <w:szCs w:val="20"/>
                <w:color w:val="auto"/>
              </w:rPr>
            </w:pPr>
            <w:r>
              <w:rPr>
                <w:rFonts w:ascii="Arial" w:cs="Arial" w:eastAsia="Arial" w:hAnsi="Arial"/>
                <w:sz w:val="13"/>
                <w:szCs w:val="13"/>
                <w:b w:val="1"/>
                <w:bCs w:val="1"/>
                <w:color w:val="auto"/>
              </w:rPr>
              <w:t>($) (2)</w:t>
            </w:r>
          </w:p>
        </w:tc>
        <w:tc>
          <w:tcPr>
            <w:tcW w:w="240" w:type="dxa"/>
            <w:vAlign w:val="bottom"/>
            <w:tcBorders>
              <w:bottom w:val="single" w:sz="8" w:color="242424"/>
            </w:tcBorders>
            <w:shd w:val="clear" w:color="auto" w:fill="E8F7F7"/>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1520" w:type="dxa"/>
            <w:vAlign w:val="bottom"/>
          </w:tcPr>
          <w:p>
            <w:pPr>
              <w:ind w:left="20"/>
              <w:spacing w:after="0"/>
              <w:rPr>
                <w:sz w:val="20"/>
                <w:szCs w:val="20"/>
                <w:color w:val="auto"/>
              </w:rPr>
            </w:pPr>
            <w:r>
              <w:rPr>
                <w:rFonts w:ascii="Arial" w:cs="Arial" w:eastAsia="Arial" w:hAnsi="Arial"/>
                <w:sz w:val="14"/>
                <w:szCs w:val="14"/>
                <w:color w:val="auto"/>
              </w:rPr>
              <w:t>David B. Foss</w:t>
            </w:r>
          </w:p>
        </w:tc>
        <w:tc>
          <w:tcPr>
            <w:tcW w:w="1000" w:type="dxa"/>
            <w:vAlign w:val="bottom"/>
            <w:tcBorders>
              <w:bottom w:val="single" w:sz="8" w:color="DBDBDB"/>
            </w:tcBorders>
          </w:tcPr>
          <w:p>
            <w:pPr>
              <w:jc w:val="center"/>
              <w:spacing w:after="0"/>
              <w:rPr>
                <w:sz w:val="20"/>
                <w:szCs w:val="20"/>
                <w:color w:val="auto"/>
              </w:rPr>
            </w:pPr>
            <w:r>
              <w:rPr>
                <w:rFonts w:ascii="Arial" w:cs="Arial" w:eastAsia="Arial" w:hAnsi="Arial"/>
                <w:sz w:val="14"/>
                <w:szCs w:val="14"/>
                <w:color w:val="auto"/>
              </w:rPr>
              <w:t>7/1/2016</w:t>
            </w:r>
          </w:p>
        </w:tc>
        <w:tc>
          <w:tcPr>
            <w:tcW w:w="124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11,685 (4)</w:t>
            </w:r>
          </w:p>
        </w:tc>
        <w:tc>
          <w:tcPr>
            <w:tcW w:w="1240" w:type="dxa"/>
            <w:vAlign w:val="bottom"/>
            <w:tcBorders>
              <w:bottom w:val="single" w:sz="8" w:color="DBDBDB"/>
            </w:tcBorders>
          </w:tcPr>
          <w:p>
            <w:pPr>
              <w:jc w:val="center"/>
              <w:spacing w:after="0"/>
              <w:rPr>
                <w:sz w:val="20"/>
                <w:szCs w:val="20"/>
                <w:color w:val="auto"/>
              </w:rPr>
            </w:pPr>
            <w:r>
              <w:rPr>
                <w:rFonts w:ascii="Arial" w:cs="Arial" w:eastAsia="Arial" w:hAnsi="Arial"/>
                <w:sz w:val="14"/>
                <w:szCs w:val="14"/>
                <w:color w:val="auto"/>
                <w:w w:val="84"/>
              </w:rPr>
              <w:t>-</w:t>
            </w:r>
          </w:p>
        </w:tc>
        <w:tc>
          <w:tcPr>
            <w:tcW w:w="1240" w:type="dxa"/>
            <w:vAlign w:val="bottom"/>
            <w:tcBorders>
              <w:bottom w:val="single" w:sz="8" w:color="DBDBDB"/>
            </w:tcBorders>
          </w:tcPr>
          <w:p>
            <w:pPr>
              <w:jc w:val="center"/>
              <w:spacing w:after="0"/>
              <w:rPr>
                <w:sz w:val="20"/>
                <w:szCs w:val="20"/>
                <w:color w:val="auto"/>
              </w:rPr>
            </w:pPr>
            <w:r>
              <w:rPr>
                <w:rFonts w:ascii="Arial" w:cs="Arial" w:eastAsia="Arial" w:hAnsi="Arial"/>
                <w:sz w:val="14"/>
                <w:szCs w:val="14"/>
                <w:color w:val="auto"/>
                <w:w w:val="84"/>
              </w:rPr>
              <w:t>-</w:t>
            </w:r>
          </w:p>
        </w:tc>
        <w:tc>
          <w:tcPr>
            <w:tcW w:w="1320" w:type="dxa"/>
            <w:vAlign w:val="bottom"/>
            <w:tcBorders>
              <w:bottom w:val="single" w:sz="8" w:color="DBDBDB"/>
            </w:tcBorders>
            <w:gridSpan w:val="2"/>
          </w:tcPr>
          <w:p>
            <w:pPr>
              <w:jc w:val="center"/>
              <w:ind w:left="8"/>
              <w:spacing w:after="0"/>
              <w:rPr>
                <w:sz w:val="20"/>
                <w:szCs w:val="20"/>
                <w:color w:val="auto"/>
              </w:rPr>
            </w:pPr>
            <w:r>
              <w:rPr>
                <w:rFonts w:ascii="Arial" w:cs="Arial" w:eastAsia="Arial" w:hAnsi="Arial"/>
                <w:sz w:val="14"/>
                <w:szCs w:val="14"/>
                <w:color w:val="auto"/>
                <w:w w:val="84"/>
              </w:rPr>
              <w:t>-</w:t>
            </w:r>
          </w:p>
        </w:tc>
        <w:tc>
          <w:tcPr>
            <w:tcW w:w="1260" w:type="dxa"/>
            <w:vAlign w:val="bottom"/>
            <w:tcBorders>
              <w:bottom w:val="single" w:sz="8" w:color="DBDBDB"/>
            </w:tcBorders>
          </w:tcPr>
          <w:p>
            <w:pPr>
              <w:jc w:val="center"/>
              <w:spacing w:after="0"/>
              <w:rPr>
                <w:sz w:val="20"/>
                <w:szCs w:val="20"/>
                <w:color w:val="auto"/>
              </w:rPr>
            </w:pPr>
            <w:r>
              <w:rPr>
                <w:rFonts w:ascii="Arial" w:cs="Arial" w:eastAsia="Arial" w:hAnsi="Arial"/>
                <w:sz w:val="14"/>
                <w:szCs w:val="14"/>
                <w:color w:val="auto"/>
                <w:w w:val="84"/>
              </w:rPr>
              <w:t>-</w:t>
            </w:r>
          </w:p>
        </w:tc>
        <w:tc>
          <w:tcPr>
            <w:tcW w:w="1240" w:type="dxa"/>
            <w:vAlign w:val="bottom"/>
            <w:tcBorders>
              <w:bottom w:val="single" w:sz="8" w:color="DBDBDB"/>
            </w:tcBorders>
          </w:tcPr>
          <w:p>
            <w:pPr>
              <w:jc w:val="center"/>
              <w:spacing w:after="0"/>
              <w:rPr>
                <w:sz w:val="20"/>
                <w:szCs w:val="20"/>
                <w:color w:val="auto"/>
              </w:rPr>
            </w:pPr>
            <w:r>
              <w:rPr>
                <w:rFonts w:ascii="Arial" w:cs="Arial" w:eastAsia="Arial" w:hAnsi="Arial"/>
                <w:sz w:val="14"/>
                <w:szCs w:val="14"/>
                <w:color w:val="auto"/>
                <w:w w:val="84"/>
              </w:rPr>
              <w:t>-</w:t>
            </w:r>
          </w:p>
        </w:tc>
        <w:tc>
          <w:tcPr>
            <w:tcW w:w="940" w:type="dxa"/>
            <w:vAlign w:val="bottom"/>
            <w:tcBorders>
              <w:bottom w:val="single" w:sz="8" w:color="DBDBDB"/>
            </w:tcBorders>
          </w:tcPr>
          <w:p>
            <w:pPr>
              <w:jc w:val="center"/>
              <w:ind w:left="149"/>
              <w:spacing w:after="0"/>
              <w:rPr>
                <w:sz w:val="20"/>
                <w:szCs w:val="20"/>
                <w:color w:val="auto"/>
              </w:rPr>
            </w:pPr>
            <w:r>
              <w:rPr>
                <w:rFonts w:ascii="Arial" w:cs="Arial" w:eastAsia="Arial" w:hAnsi="Arial"/>
                <w:sz w:val="14"/>
                <w:szCs w:val="14"/>
                <w:color w:val="auto"/>
                <w:w w:val="84"/>
              </w:rPr>
              <w:t>-</w:t>
            </w:r>
          </w:p>
        </w:tc>
        <w:tc>
          <w:tcPr>
            <w:tcW w:w="240" w:type="dxa"/>
            <w:vAlign w:val="bottom"/>
            <w:tcBorders>
              <w:bottom w:val="single" w:sz="8" w:color="DBDBDB"/>
            </w:tcBorders>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1520" w:type="dxa"/>
            <w:vAlign w:val="bottom"/>
          </w:tcPr>
          <w:p>
            <w:pPr>
              <w:spacing w:after="0"/>
              <w:rPr>
                <w:sz w:val="18"/>
                <w:szCs w:val="18"/>
                <w:color w:val="auto"/>
              </w:rPr>
            </w:pPr>
          </w:p>
        </w:tc>
        <w:tc>
          <w:tcPr>
            <w:tcW w:w="1000" w:type="dxa"/>
            <w:vAlign w:val="bottom"/>
            <w:tcBorders>
              <w:bottom w:val="single" w:sz="8" w:color="DBDBDB"/>
            </w:tcBorders>
          </w:tcPr>
          <w:p>
            <w:pPr>
              <w:jc w:val="center"/>
              <w:spacing w:after="0"/>
              <w:rPr>
                <w:sz w:val="20"/>
                <w:szCs w:val="20"/>
                <w:color w:val="auto"/>
              </w:rPr>
            </w:pPr>
            <w:r>
              <w:rPr>
                <w:rFonts w:ascii="Arial" w:cs="Arial" w:eastAsia="Arial" w:hAnsi="Arial"/>
                <w:sz w:val="14"/>
                <w:szCs w:val="14"/>
                <w:color w:val="auto"/>
              </w:rPr>
              <w:t>8/4/2021</w:t>
            </w:r>
          </w:p>
        </w:tc>
        <w:tc>
          <w:tcPr>
            <w:tcW w:w="1240" w:type="dxa"/>
            <w:vAlign w:val="bottom"/>
            <w:tcBorders>
              <w:bottom w:val="single" w:sz="8" w:color="DBDBDB"/>
            </w:tcBorders>
          </w:tcPr>
          <w:p>
            <w:pPr>
              <w:jc w:val="center"/>
              <w:spacing w:after="0"/>
              <w:rPr>
                <w:sz w:val="20"/>
                <w:szCs w:val="20"/>
                <w:color w:val="auto"/>
              </w:rPr>
            </w:pPr>
            <w:r>
              <w:rPr>
                <w:rFonts w:ascii="Arial" w:cs="Arial" w:eastAsia="Arial" w:hAnsi="Arial"/>
                <w:sz w:val="14"/>
                <w:szCs w:val="14"/>
                <w:color w:val="auto"/>
                <w:w w:val="84"/>
              </w:rPr>
              <w:t>-</w:t>
            </w:r>
          </w:p>
        </w:tc>
        <w:tc>
          <w:tcPr>
            <w:tcW w:w="1240" w:type="dxa"/>
            <w:vAlign w:val="bottom"/>
            <w:tcBorders>
              <w:bottom w:val="single" w:sz="8" w:color="DBDBDB"/>
            </w:tcBorders>
          </w:tcPr>
          <w:p>
            <w:pPr>
              <w:jc w:val="center"/>
              <w:spacing w:after="0"/>
              <w:rPr>
                <w:sz w:val="20"/>
                <w:szCs w:val="20"/>
                <w:color w:val="auto"/>
              </w:rPr>
            </w:pPr>
            <w:r>
              <w:rPr>
                <w:rFonts w:ascii="Arial" w:cs="Arial" w:eastAsia="Arial" w:hAnsi="Arial"/>
                <w:sz w:val="14"/>
                <w:szCs w:val="14"/>
                <w:color w:val="auto"/>
                <w:w w:val="84"/>
              </w:rPr>
              <w:t>-</w:t>
            </w:r>
          </w:p>
        </w:tc>
        <w:tc>
          <w:tcPr>
            <w:tcW w:w="1240" w:type="dxa"/>
            <w:vAlign w:val="bottom"/>
            <w:tcBorders>
              <w:bottom w:val="single" w:sz="8" w:color="DBDBDB"/>
            </w:tcBorders>
          </w:tcPr>
          <w:p>
            <w:pPr>
              <w:jc w:val="center"/>
              <w:spacing w:after="0"/>
              <w:rPr>
                <w:sz w:val="20"/>
                <w:szCs w:val="20"/>
                <w:color w:val="auto"/>
              </w:rPr>
            </w:pPr>
            <w:r>
              <w:rPr>
                <w:rFonts w:ascii="Arial" w:cs="Arial" w:eastAsia="Arial" w:hAnsi="Arial"/>
                <w:sz w:val="14"/>
                <w:szCs w:val="14"/>
                <w:color w:val="auto"/>
                <w:w w:val="84"/>
              </w:rPr>
              <w:t>-</w:t>
            </w:r>
          </w:p>
        </w:tc>
        <w:tc>
          <w:tcPr>
            <w:tcW w:w="1320" w:type="dxa"/>
            <w:vAlign w:val="bottom"/>
            <w:tcBorders>
              <w:bottom w:val="single" w:sz="8" w:color="DBDBDB"/>
            </w:tcBorders>
            <w:gridSpan w:val="2"/>
          </w:tcPr>
          <w:p>
            <w:pPr>
              <w:jc w:val="center"/>
              <w:ind w:left="8"/>
              <w:spacing w:after="0"/>
              <w:rPr>
                <w:sz w:val="20"/>
                <w:szCs w:val="20"/>
                <w:color w:val="auto"/>
              </w:rPr>
            </w:pPr>
            <w:r>
              <w:rPr>
                <w:rFonts w:ascii="Arial" w:cs="Arial" w:eastAsia="Arial" w:hAnsi="Arial"/>
                <w:sz w:val="14"/>
                <w:szCs w:val="14"/>
                <w:color w:val="auto"/>
                <w:w w:val="84"/>
              </w:rPr>
              <w:t>-</w:t>
            </w:r>
          </w:p>
        </w:tc>
        <w:tc>
          <w:tcPr>
            <w:tcW w:w="1260" w:type="dxa"/>
            <w:vAlign w:val="bottom"/>
            <w:tcBorders>
              <w:bottom w:val="single" w:sz="8" w:color="DBDBDB"/>
            </w:tcBorders>
          </w:tcPr>
          <w:p>
            <w:pPr>
              <w:jc w:val="center"/>
              <w:spacing w:after="0"/>
              <w:rPr>
                <w:sz w:val="20"/>
                <w:szCs w:val="20"/>
                <w:color w:val="auto"/>
              </w:rPr>
            </w:pPr>
            <w:r>
              <w:rPr>
                <w:rFonts w:ascii="Arial" w:cs="Arial" w:eastAsia="Arial" w:hAnsi="Arial"/>
                <w:sz w:val="14"/>
                <w:szCs w:val="14"/>
                <w:color w:val="auto"/>
                <w:w w:val="84"/>
              </w:rPr>
              <w:t>-</w:t>
            </w:r>
          </w:p>
        </w:tc>
        <w:tc>
          <w:tcPr>
            <w:tcW w:w="124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23,331</w:t>
            </w:r>
          </w:p>
        </w:tc>
        <w:tc>
          <w:tcPr>
            <w:tcW w:w="1180" w:type="dxa"/>
            <w:vAlign w:val="bottom"/>
            <w:tcBorders>
              <w:bottom w:val="single" w:sz="8" w:color="DBDBDB"/>
            </w:tcBorders>
            <w:gridSpan w:val="2"/>
          </w:tcPr>
          <w:p>
            <w:pPr>
              <w:jc w:val="right"/>
              <w:spacing w:after="0"/>
              <w:rPr>
                <w:sz w:val="20"/>
                <w:szCs w:val="20"/>
                <w:color w:val="auto"/>
              </w:rPr>
            </w:pPr>
            <w:r>
              <w:rPr>
                <w:rFonts w:ascii="Arial" w:cs="Arial" w:eastAsia="Arial" w:hAnsi="Arial"/>
                <w:sz w:val="14"/>
                <w:szCs w:val="14"/>
                <w:color w:val="auto"/>
              </w:rPr>
              <w:t>3,873,413</w:t>
            </w:r>
          </w:p>
        </w:tc>
        <w:tc>
          <w:tcPr>
            <w:tcW w:w="0" w:type="dxa"/>
            <w:vAlign w:val="bottom"/>
          </w:tcPr>
          <w:p>
            <w:pPr>
              <w:spacing w:after="0"/>
              <w:rPr>
                <w:sz w:val="1"/>
                <w:szCs w:val="1"/>
                <w:color w:val="auto"/>
              </w:rPr>
            </w:pPr>
          </w:p>
        </w:tc>
      </w:tr>
      <w:tr>
        <w:trPr>
          <w:trHeight w:val="209"/>
        </w:trPr>
        <w:tc>
          <w:tcPr>
            <w:tcW w:w="1520" w:type="dxa"/>
            <w:vAlign w:val="bottom"/>
          </w:tcPr>
          <w:p>
            <w:pPr>
              <w:spacing w:after="0"/>
              <w:rPr>
                <w:sz w:val="18"/>
                <w:szCs w:val="18"/>
                <w:color w:val="auto"/>
              </w:rPr>
            </w:pPr>
          </w:p>
        </w:tc>
        <w:tc>
          <w:tcPr>
            <w:tcW w:w="1000" w:type="dxa"/>
            <w:vAlign w:val="bottom"/>
            <w:tcBorders>
              <w:bottom w:val="single" w:sz="8" w:color="DBDBDB"/>
            </w:tcBorders>
          </w:tcPr>
          <w:p>
            <w:pPr>
              <w:jc w:val="center"/>
              <w:spacing w:after="0"/>
              <w:rPr>
                <w:sz w:val="20"/>
                <w:szCs w:val="20"/>
                <w:color w:val="auto"/>
              </w:rPr>
            </w:pPr>
            <w:r>
              <w:rPr>
                <w:rFonts w:ascii="Arial" w:cs="Arial" w:eastAsia="Arial" w:hAnsi="Arial"/>
                <w:sz w:val="14"/>
                <w:szCs w:val="14"/>
                <w:color w:val="auto"/>
              </w:rPr>
              <w:t>8/4/2021</w:t>
            </w:r>
          </w:p>
        </w:tc>
        <w:tc>
          <w:tcPr>
            <w:tcW w:w="1240" w:type="dxa"/>
            <w:vAlign w:val="bottom"/>
            <w:tcBorders>
              <w:bottom w:val="single" w:sz="8" w:color="DBDBDB"/>
            </w:tcBorders>
          </w:tcPr>
          <w:p>
            <w:pPr>
              <w:jc w:val="center"/>
              <w:spacing w:after="0"/>
              <w:rPr>
                <w:sz w:val="20"/>
                <w:szCs w:val="20"/>
                <w:color w:val="auto"/>
              </w:rPr>
            </w:pPr>
            <w:r>
              <w:rPr>
                <w:rFonts w:ascii="Arial" w:cs="Arial" w:eastAsia="Arial" w:hAnsi="Arial"/>
                <w:sz w:val="14"/>
                <w:szCs w:val="14"/>
                <w:color w:val="auto"/>
                <w:w w:val="84"/>
              </w:rPr>
              <w:t>-</w:t>
            </w:r>
          </w:p>
        </w:tc>
        <w:tc>
          <w:tcPr>
            <w:tcW w:w="1240" w:type="dxa"/>
            <w:vAlign w:val="bottom"/>
            <w:tcBorders>
              <w:bottom w:val="single" w:sz="8" w:color="DBDBDB"/>
            </w:tcBorders>
          </w:tcPr>
          <w:p>
            <w:pPr>
              <w:jc w:val="center"/>
              <w:spacing w:after="0"/>
              <w:rPr>
                <w:sz w:val="20"/>
                <w:szCs w:val="20"/>
                <w:color w:val="auto"/>
              </w:rPr>
            </w:pPr>
            <w:r>
              <w:rPr>
                <w:rFonts w:ascii="Arial" w:cs="Arial" w:eastAsia="Arial" w:hAnsi="Arial"/>
                <w:sz w:val="14"/>
                <w:szCs w:val="14"/>
                <w:color w:val="auto"/>
                <w:w w:val="84"/>
              </w:rPr>
              <w:t>-</w:t>
            </w:r>
          </w:p>
        </w:tc>
        <w:tc>
          <w:tcPr>
            <w:tcW w:w="1240" w:type="dxa"/>
            <w:vAlign w:val="bottom"/>
            <w:tcBorders>
              <w:bottom w:val="single" w:sz="8" w:color="DBDBDB"/>
            </w:tcBorders>
          </w:tcPr>
          <w:p>
            <w:pPr>
              <w:jc w:val="center"/>
              <w:spacing w:after="0"/>
              <w:rPr>
                <w:sz w:val="20"/>
                <w:szCs w:val="20"/>
                <w:color w:val="auto"/>
              </w:rPr>
            </w:pPr>
            <w:r>
              <w:rPr>
                <w:rFonts w:ascii="Arial" w:cs="Arial" w:eastAsia="Arial" w:hAnsi="Arial"/>
                <w:sz w:val="14"/>
                <w:szCs w:val="14"/>
                <w:color w:val="auto"/>
                <w:w w:val="84"/>
              </w:rPr>
              <w:t>-</w:t>
            </w:r>
          </w:p>
        </w:tc>
        <w:tc>
          <w:tcPr>
            <w:tcW w:w="1320" w:type="dxa"/>
            <w:vAlign w:val="bottom"/>
            <w:tcBorders>
              <w:bottom w:val="single" w:sz="8" w:color="DBDBDB"/>
            </w:tcBorders>
            <w:gridSpan w:val="2"/>
          </w:tcPr>
          <w:p>
            <w:pPr>
              <w:jc w:val="right"/>
              <w:spacing w:after="0"/>
              <w:rPr>
                <w:sz w:val="20"/>
                <w:szCs w:val="20"/>
                <w:color w:val="auto"/>
              </w:rPr>
            </w:pPr>
            <w:r>
              <w:rPr>
                <w:rFonts w:ascii="Arial" w:cs="Arial" w:eastAsia="Arial" w:hAnsi="Arial"/>
                <w:sz w:val="14"/>
                <w:szCs w:val="14"/>
                <w:color w:val="auto"/>
              </w:rPr>
              <w:t>5,184</w:t>
            </w:r>
          </w:p>
        </w:tc>
        <w:tc>
          <w:tcPr>
            <w:tcW w:w="126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860,648</w:t>
            </w:r>
          </w:p>
        </w:tc>
        <w:tc>
          <w:tcPr>
            <w:tcW w:w="1240" w:type="dxa"/>
            <w:vAlign w:val="bottom"/>
            <w:tcBorders>
              <w:bottom w:val="single" w:sz="8" w:color="DBDBDB"/>
            </w:tcBorders>
          </w:tcPr>
          <w:p>
            <w:pPr>
              <w:jc w:val="center"/>
              <w:spacing w:after="0"/>
              <w:rPr>
                <w:sz w:val="20"/>
                <w:szCs w:val="20"/>
                <w:color w:val="auto"/>
              </w:rPr>
            </w:pPr>
            <w:r>
              <w:rPr>
                <w:rFonts w:ascii="Arial" w:cs="Arial" w:eastAsia="Arial" w:hAnsi="Arial"/>
                <w:sz w:val="14"/>
                <w:szCs w:val="14"/>
                <w:color w:val="auto"/>
                <w:w w:val="84"/>
              </w:rPr>
              <w:t>-</w:t>
            </w:r>
          </w:p>
        </w:tc>
        <w:tc>
          <w:tcPr>
            <w:tcW w:w="940" w:type="dxa"/>
            <w:vAlign w:val="bottom"/>
            <w:tcBorders>
              <w:bottom w:val="single" w:sz="8" w:color="DBDBDB"/>
            </w:tcBorders>
          </w:tcPr>
          <w:p>
            <w:pPr>
              <w:jc w:val="center"/>
              <w:ind w:left="149"/>
              <w:spacing w:after="0"/>
              <w:rPr>
                <w:sz w:val="20"/>
                <w:szCs w:val="20"/>
                <w:color w:val="auto"/>
              </w:rPr>
            </w:pPr>
            <w:r>
              <w:rPr>
                <w:rFonts w:ascii="Arial" w:cs="Arial" w:eastAsia="Arial" w:hAnsi="Arial"/>
                <w:sz w:val="14"/>
                <w:szCs w:val="14"/>
                <w:color w:val="auto"/>
                <w:w w:val="84"/>
              </w:rPr>
              <w:t>-</w:t>
            </w:r>
          </w:p>
        </w:tc>
        <w:tc>
          <w:tcPr>
            <w:tcW w:w="240" w:type="dxa"/>
            <w:vAlign w:val="bottom"/>
            <w:tcBorders>
              <w:bottom w:val="single" w:sz="8" w:color="DBDBDB"/>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520" w:type="dxa"/>
            <w:vAlign w:val="bottom"/>
          </w:tcPr>
          <w:p>
            <w:pPr>
              <w:spacing w:after="0"/>
              <w:rPr>
                <w:sz w:val="18"/>
                <w:szCs w:val="18"/>
                <w:color w:val="auto"/>
              </w:rPr>
            </w:pPr>
          </w:p>
        </w:tc>
        <w:tc>
          <w:tcPr>
            <w:tcW w:w="1000" w:type="dxa"/>
            <w:vAlign w:val="bottom"/>
            <w:tcBorders>
              <w:bottom w:val="single" w:sz="8" w:color="DBDBDB"/>
            </w:tcBorders>
          </w:tcPr>
          <w:p>
            <w:pPr>
              <w:jc w:val="center"/>
              <w:spacing w:after="0"/>
              <w:rPr>
                <w:sz w:val="20"/>
                <w:szCs w:val="20"/>
                <w:color w:val="auto"/>
              </w:rPr>
            </w:pPr>
            <w:r>
              <w:rPr>
                <w:rFonts w:ascii="Arial" w:cs="Arial" w:eastAsia="Arial" w:hAnsi="Arial"/>
                <w:sz w:val="14"/>
                <w:szCs w:val="14"/>
                <w:color w:val="auto"/>
              </w:rPr>
              <w:t>8/4/2022</w:t>
            </w:r>
          </w:p>
        </w:tc>
        <w:tc>
          <w:tcPr>
            <w:tcW w:w="1240" w:type="dxa"/>
            <w:vAlign w:val="bottom"/>
            <w:tcBorders>
              <w:bottom w:val="single" w:sz="8" w:color="DBDBDB"/>
            </w:tcBorders>
          </w:tcPr>
          <w:p>
            <w:pPr>
              <w:jc w:val="center"/>
              <w:spacing w:after="0"/>
              <w:rPr>
                <w:sz w:val="20"/>
                <w:szCs w:val="20"/>
                <w:color w:val="auto"/>
              </w:rPr>
            </w:pPr>
            <w:r>
              <w:rPr>
                <w:rFonts w:ascii="Arial" w:cs="Arial" w:eastAsia="Arial" w:hAnsi="Arial"/>
                <w:sz w:val="14"/>
                <w:szCs w:val="14"/>
                <w:color w:val="auto"/>
                <w:w w:val="84"/>
              </w:rPr>
              <w:t>-</w:t>
            </w:r>
          </w:p>
        </w:tc>
        <w:tc>
          <w:tcPr>
            <w:tcW w:w="1240" w:type="dxa"/>
            <w:vAlign w:val="bottom"/>
            <w:tcBorders>
              <w:bottom w:val="single" w:sz="8" w:color="DBDBDB"/>
            </w:tcBorders>
          </w:tcPr>
          <w:p>
            <w:pPr>
              <w:jc w:val="center"/>
              <w:spacing w:after="0"/>
              <w:rPr>
                <w:sz w:val="20"/>
                <w:szCs w:val="20"/>
                <w:color w:val="auto"/>
              </w:rPr>
            </w:pPr>
            <w:r>
              <w:rPr>
                <w:rFonts w:ascii="Arial" w:cs="Arial" w:eastAsia="Arial" w:hAnsi="Arial"/>
                <w:sz w:val="14"/>
                <w:szCs w:val="14"/>
                <w:color w:val="auto"/>
                <w:w w:val="84"/>
              </w:rPr>
              <w:t>-</w:t>
            </w:r>
          </w:p>
        </w:tc>
        <w:tc>
          <w:tcPr>
            <w:tcW w:w="1240" w:type="dxa"/>
            <w:vAlign w:val="bottom"/>
            <w:tcBorders>
              <w:bottom w:val="single" w:sz="8" w:color="DBDBDB"/>
            </w:tcBorders>
          </w:tcPr>
          <w:p>
            <w:pPr>
              <w:jc w:val="center"/>
              <w:spacing w:after="0"/>
              <w:rPr>
                <w:sz w:val="20"/>
                <w:szCs w:val="20"/>
                <w:color w:val="auto"/>
              </w:rPr>
            </w:pPr>
            <w:r>
              <w:rPr>
                <w:rFonts w:ascii="Arial" w:cs="Arial" w:eastAsia="Arial" w:hAnsi="Arial"/>
                <w:sz w:val="14"/>
                <w:szCs w:val="14"/>
                <w:color w:val="auto"/>
                <w:w w:val="84"/>
              </w:rPr>
              <w:t>-</w:t>
            </w:r>
          </w:p>
        </w:tc>
        <w:tc>
          <w:tcPr>
            <w:tcW w:w="1320" w:type="dxa"/>
            <w:vAlign w:val="bottom"/>
            <w:tcBorders>
              <w:bottom w:val="single" w:sz="8" w:color="DBDBDB"/>
            </w:tcBorders>
            <w:gridSpan w:val="2"/>
          </w:tcPr>
          <w:p>
            <w:pPr>
              <w:jc w:val="center"/>
              <w:ind w:left="8"/>
              <w:spacing w:after="0"/>
              <w:rPr>
                <w:sz w:val="20"/>
                <w:szCs w:val="20"/>
                <w:color w:val="auto"/>
              </w:rPr>
            </w:pPr>
            <w:r>
              <w:rPr>
                <w:rFonts w:ascii="Arial" w:cs="Arial" w:eastAsia="Arial" w:hAnsi="Arial"/>
                <w:sz w:val="14"/>
                <w:szCs w:val="14"/>
                <w:color w:val="auto"/>
                <w:w w:val="84"/>
              </w:rPr>
              <w:t>-</w:t>
            </w:r>
          </w:p>
        </w:tc>
        <w:tc>
          <w:tcPr>
            <w:tcW w:w="1260" w:type="dxa"/>
            <w:vAlign w:val="bottom"/>
            <w:tcBorders>
              <w:bottom w:val="single" w:sz="8" w:color="DBDBDB"/>
            </w:tcBorders>
          </w:tcPr>
          <w:p>
            <w:pPr>
              <w:jc w:val="center"/>
              <w:spacing w:after="0"/>
              <w:rPr>
                <w:sz w:val="20"/>
                <w:szCs w:val="20"/>
                <w:color w:val="auto"/>
              </w:rPr>
            </w:pPr>
            <w:r>
              <w:rPr>
                <w:rFonts w:ascii="Arial" w:cs="Arial" w:eastAsia="Arial" w:hAnsi="Arial"/>
                <w:sz w:val="14"/>
                <w:szCs w:val="14"/>
                <w:color w:val="auto"/>
                <w:w w:val="84"/>
              </w:rPr>
              <w:t>-</w:t>
            </w:r>
          </w:p>
        </w:tc>
        <w:tc>
          <w:tcPr>
            <w:tcW w:w="124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21,625</w:t>
            </w:r>
          </w:p>
        </w:tc>
        <w:tc>
          <w:tcPr>
            <w:tcW w:w="1180" w:type="dxa"/>
            <w:vAlign w:val="bottom"/>
            <w:tcBorders>
              <w:bottom w:val="single" w:sz="8" w:color="DBDBDB"/>
            </w:tcBorders>
            <w:gridSpan w:val="2"/>
          </w:tcPr>
          <w:p>
            <w:pPr>
              <w:jc w:val="right"/>
              <w:spacing w:after="0"/>
              <w:rPr>
                <w:sz w:val="20"/>
                <w:szCs w:val="20"/>
                <w:color w:val="auto"/>
              </w:rPr>
            </w:pPr>
            <w:r>
              <w:rPr>
                <w:rFonts w:ascii="Arial" w:cs="Arial" w:eastAsia="Arial" w:hAnsi="Arial"/>
                <w:sz w:val="14"/>
                <w:szCs w:val="14"/>
                <w:color w:val="auto"/>
              </w:rPr>
              <w:t>3,590,183</w:t>
            </w:r>
          </w:p>
        </w:tc>
        <w:tc>
          <w:tcPr>
            <w:tcW w:w="0" w:type="dxa"/>
            <w:vAlign w:val="bottom"/>
          </w:tcPr>
          <w:p>
            <w:pPr>
              <w:spacing w:after="0"/>
              <w:rPr>
                <w:sz w:val="1"/>
                <w:szCs w:val="1"/>
                <w:color w:val="auto"/>
              </w:rPr>
            </w:pPr>
          </w:p>
        </w:tc>
      </w:tr>
      <w:tr>
        <w:trPr>
          <w:trHeight w:val="210"/>
        </w:trPr>
        <w:tc>
          <w:tcPr>
            <w:tcW w:w="1520" w:type="dxa"/>
            <w:vAlign w:val="bottom"/>
          </w:tcPr>
          <w:p>
            <w:pPr>
              <w:spacing w:after="0"/>
              <w:rPr>
                <w:sz w:val="18"/>
                <w:szCs w:val="18"/>
                <w:color w:val="auto"/>
              </w:rPr>
            </w:pPr>
          </w:p>
        </w:tc>
        <w:tc>
          <w:tcPr>
            <w:tcW w:w="1000" w:type="dxa"/>
            <w:vAlign w:val="bottom"/>
            <w:tcBorders>
              <w:bottom w:val="single" w:sz="8" w:color="DBDBDB"/>
            </w:tcBorders>
          </w:tcPr>
          <w:p>
            <w:pPr>
              <w:jc w:val="center"/>
              <w:spacing w:after="0"/>
              <w:rPr>
                <w:sz w:val="20"/>
                <w:szCs w:val="20"/>
                <w:color w:val="auto"/>
              </w:rPr>
            </w:pPr>
            <w:r>
              <w:rPr>
                <w:rFonts w:ascii="Arial" w:cs="Arial" w:eastAsia="Arial" w:hAnsi="Arial"/>
                <w:sz w:val="14"/>
                <w:szCs w:val="14"/>
                <w:color w:val="auto"/>
              </w:rPr>
              <w:t>8/4/2022</w:t>
            </w:r>
          </w:p>
        </w:tc>
        <w:tc>
          <w:tcPr>
            <w:tcW w:w="1240" w:type="dxa"/>
            <w:vAlign w:val="bottom"/>
            <w:tcBorders>
              <w:bottom w:val="single" w:sz="8" w:color="DBDBDB"/>
            </w:tcBorders>
          </w:tcPr>
          <w:p>
            <w:pPr>
              <w:jc w:val="center"/>
              <w:spacing w:after="0"/>
              <w:rPr>
                <w:sz w:val="20"/>
                <w:szCs w:val="20"/>
                <w:color w:val="auto"/>
              </w:rPr>
            </w:pPr>
            <w:r>
              <w:rPr>
                <w:rFonts w:ascii="Arial" w:cs="Arial" w:eastAsia="Arial" w:hAnsi="Arial"/>
                <w:sz w:val="14"/>
                <w:szCs w:val="14"/>
                <w:color w:val="auto"/>
                <w:w w:val="84"/>
              </w:rPr>
              <w:t>-</w:t>
            </w:r>
          </w:p>
        </w:tc>
        <w:tc>
          <w:tcPr>
            <w:tcW w:w="1240" w:type="dxa"/>
            <w:vAlign w:val="bottom"/>
            <w:tcBorders>
              <w:bottom w:val="single" w:sz="8" w:color="DBDBDB"/>
            </w:tcBorders>
          </w:tcPr>
          <w:p>
            <w:pPr>
              <w:jc w:val="center"/>
              <w:spacing w:after="0"/>
              <w:rPr>
                <w:sz w:val="20"/>
                <w:szCs w:val="20"/>
                <w:color w:val="auto"/>
              </w:rPr>
            </w:pPr>
            <w:r>
              <w:rPr>
                <w:rFonts w:ascii="Arial" w:cs="Arial" w:eastAsia="Arial" w:hAnsi="Arial"/>
                <w:sz w:val="14"/>
                <w:szCs w:val="14"/>
                <w:color w:val="auto"/>
                <w:w w:val="84"/>
              </w:rPr>
              <w:t>-</w:t>
            </w:r>
          </w:p>
        </w:tc>
        <w:tc>
          <w:tcPr>
            <w:tcW w:w="1240" w:type="dxa"/>
            <w:vAlign w:val="bottom"/>
            <w:tcBorders>
              <w:bottom w:val="single" w:sz="8" w:color="DBDBDB"/>
            </w:tcBorders>
          </w:tcPr>
          <w:p>
            <w:pPr>
              <w:jc w:val="center"/>
              <w:spacing w:after="0"/>
              <w:rPr>
                <w:sz w:val="20"/>
                <w:szCs w:val="20"/>
                <w:color w:val="auto"/>
              </w:rPr>
            </w:pPr>
            <w:r>
              <w:rPr>
                <w:rFonts w:ascii="Arial" w:cs="Arial" w:eastAsia="Arial" w:hAnsi="Arial"/>
                <w:sz w:val="14"/>
                <w:szCs w:val="14"/>
                <w:color w:val="auto"/>
                <w:w w:val="84"/>
              </w:rPr>
              <w:t>-</w:t>
            </w:r>
          </w:p>
        </w:tc>
        <w:tc>
          <w:tcPr>
            <w:tcW w:w="1320" w:type="dxa"/>
            <w:vAlign w:val="bottom"/>
            <w:tcBorders>
              <w:bottom w:val="single" w:sz="8" w:color="DBDBDB"/>
            </w:tcBorders>
            <w:gridSpan w:val="2"/>
          </w:tcPr>
          <w:p>
            <w:pPr>
              <w:jc w:val="right"/>
              <w:spacing w:after="0"/>
              <w:rPr>
                <w:sz w:val="20"/>
                <w:szCs w:val="20"/>
                <w:color w:val="auto"/>
              </w:rPr>
            </w:pPr>
            <w:r>
              <w:rPr>
                <w:rFonts w:ascii="Arial" w:cs="Arial" w:eastAsia="Arial" w:hAnsi="Arial"/>
                <w:sz w:val="14"/>
                <w:szCs w:val="14"/>
                <w:color w:val="auto"/>
              </w:rPr>
              <w:t>9,611</w:t>
            </w:r>
          </w:p>
        </w:tc>
        <w:tc>
          <w:tcPr>
            <w:tcW w:w="126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1,595,618</w:t>
            </w:r>
          </w:p>
        </w:tc>
        <w:tc>
          <w:tcPr>
            <w:tcW w:w="1240" w:type="dxa"/>
            <w:vAlign w:val="bottom"/>
            <w:tcBorders>
              <w:bottom w:val="single" w:sz="8" w:color="DBDBDB"/>
            </w:tcBorders>
          </w:tcPr>
          <w:p>
            <w:pPr>
              <w:jc w:val="center"/>
              <w:spacing w:after="0"/>
              <w:rPr>
                <w:sz w:val="20"/>
                <w:szCs w:val="20"/>
                <w:color w:val="auto"/>
              </w:rPr>
            </w:pPr>
            <w:r>
              <w:rPr>
                <w:rFonts w:ascii="Arial" w:cs="Arial" w:eastAsia="Arial" w:hAnsi="Arial"/>
                <w:sz w:val="14"/>
                <w:szCs w:val="14"/>
                <w:color w:val="auto"/>
                <w:w w:val="84"/>
              </w:rPr>
              <w:t>-</w:t>
            </w:r>
          </w:p>
        </w:tc>
        <w:tc>
          <w:tcPr>
            <w:tcW w:w="940" w:type="dxa"/>
            <w:vAlign w:val="bottom"/>
            <w:tcBorders>
              <w:bottom w:val="single" w:sz="8" w:color="DBDBDB"/>
            </w:tcBorders>
          </w:tcPr>
          <w:p>
            <w:pPr>
              <w:jc w:val="center"/>
              <w:ind w:left="149"/>
              <w:spacing w:after="0"/>
              <w:rPr>
                <w:sz w:val="20"/>
                <w:szCs w:val="20"/>
                <w:color w:val="auto"/>
              </w:rPr>
            </w:pPr>
            <w:r>
              <w:rPr>
                <w:rFonts w:ascii="Arial" w:cs="Arial" w:eastAsia="Arial" w:hAnsi="Arial"/>
                <w:sz w:val="14"/>
                <w:szCs w:val="14"/>
                <w:color w:val="auto"/>
                <w:w w:val="84"/>
              </w:rPr>
              <w:t>-</w:t>
            </w:r>
          </w:p>
        </w:tc>
        <w:tc>
          <w:tcPr>
            <w:tcW w:w="240" w:type="dxa"/>
            <w:vAlign w:val="bottom"/>
            <w:tcBorders>
              <w:bottom w:val="single" w:sz="8" w:color="DBDBDB"/>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520" w:type="dxa"/>
            <w:vAlign w:val="bottom"/>
          </w:tcPr>
          <w:p>
            <w:pPr>
              <w:spacing w:after="0"/>
              <w:rPr>
                <w:sz w:val="18"/>
                <w:szCs w:val="18"/>
                <w:color w:val="auto"/>
              </w:rPr>
            </w:pPr>
          </w:p>
        </w:tc>
        <w:tc>
          <w:tcPr>
            <w:tcW w:w="1000" w:type="dxa"/>
            <w:vAlign w:val="bottom"/>
            <w:tcBorders>
              <w:bottom w:val="single" w:sz="8" w:color="DBDBDB"/>
            </w:tcBorders>
          </w:tcPr>
          <w:p>
            <w:pPr>
              <w:jc w:val="center"/>
              <w:spacing w:after="0"/>
              <w:rPr>
                <w:sz w:val="20"/>
                <w:szCs w:val="20"/>
                <w:color w:val="auto"/>
              </w:rPr>
            </w:pPr>
            <w:r>
              <w:rPr>
                <w:rFonts w:ascii="Arial" w:cs="Arial" w:eastAsia="Arial" w:hAnsi="Arial"/>
                <w:sz w:val="14"/>
                <w:szCs w:val="14"/>
                <w:color w:val="auto"/>
              </w:rPr>
              <w:t>8/4/2023</w:t>
            </w:r>
          </w:p>
        </w:tc>
        <w:tc>
          <w:tcPr>
            <w:tcW w:w="1240" w:type="dxa"/>
            <w:vAlign w:val="bottom"/>
            <w:tcBorders>
              <w:bottom w:val="single" w:sz="8" w:color="DBDBDB"/>
            </w:tcBorders>
          </w:tcPr>
          <w:p>
            <w:pPr>
              <w:jc w:val="center"/>
              <w:spacing w:after="0"/>
              <w:rPr>
                <w:sz w:val="20"/>
                <w:szCs w:val="20"/>
                <w:color w:val="auto"/>
              </w:rPr>
            </w:pPr>
            <w:r>
              <w:rPr>
                <w:rFonts w:ascii="Arial" w:cs="Arial" w:eastAsia="Arial" w:hAnsi="Arial"/>
                <w:sz w:val="14"/>
                <w:szCs w:val="14"/>
                <w:color w:val="auto"/>
                <w:w w:val="84"/>
              </w:rPr>
              <w:t>-</w:t>
            </w:r>
          </w:p>
        </w:tc>
        <w:tc>
          <w:tcPr>
            <w:tcW w:w="1240" w:type="dxa"/>
            <w:vAlign w:val="bottom"/>
            <w:tcBorders>
              <w:bottom w:val="single" w:sz="8" w:color="DBDBDB"/>
            </w:tcBorders>
          </w:tcPr>
          <w:p>
            <w:pPr>
              <w:jc w:val="center"/>
              <w:spacing w:after="0"/>
              <w:rPr>
                <w:sz w:val="20"/>
                <w:szCs w:val="20"/>
                <w:color w:val="auto"/>
              </w:rPr>
            </w:pPr>
            <w:r>
              <w:rPr>
                <w:rFonts w:ascii="Arial" w:cs="Arial" w:eastAsia="Arial" w:hAnsi="Arial"/>
                <w:sz w:val="14"/>
                <w:szCs w:val="14"/>
                <w:color w:val="auto"/>
                <w:w w:val="84"/>
              </w:rPr>
              <w:t>-</w:t>
            </w:r>
          </w:p>
        </w:tc>
        <w:tc>
          <w:tcPr>
            <w:tcW w:w="1240" w:type="dxa"/>
            <w:vAlign w:val="bottom"/>
            <w:tcBorders>
              <w:bottom w:val="single" w:sz="8" w:color="DBDBDB"/>
            </w:tcBorders>
          </w:tcPr>
          <w:p>
            <w:pPr>
              <w:jc w:val="center"/>
              <w:spacing w:after="0"/>
              <w:rPr>
                <w:sz w:val="20"/>
                <w:szCs w:val="20"/>
                <w:color w:val="auto"/>
              </w:rPr>
            </w:pPr>
            <w:r>
              <w:rPr>
                <w:rFonts w:ascii="Arial" w:cs="Arial" w:eastAsia="Arial" w:hAnsi="Arial"/>
                <w:sz w:val="14"/>
                <w:szCs w:val="14"/>
                <w:color w:val="auto"/>
                <w:w w:val="84"/>
              </w:rPr>
              <w:t>-</w:t>
            </w:r>
          </w:p>
        </w:tc>
        <w:tc>
          <w:tcPr>
            <w:tcW w:w="1320" w:type="dxa"/>
            <w:vAlign w:val="bottom"/>
            <w:tcBorders>
              <w:bottom w:val="single" w:sz="8" w:color="DBDBDB"/>
            </w:tcBorders>
            <w:gridSpan w:val="2"/>
          </w:tcPr>
          <w:p>
            <w:pPr>
              <w:jc w:val="center"/>
              <w:ind w:left="8"/>
              <w:spacing w:after="0"/>
              <w:rPr>
                <w:sz w:val="20"/>
                <w:szCs w:val="20"/>
                <w:color w:val="auto"/>
              </w:rPr>
            </w:pPr>
            <w:r>
              <w:rPr>
                <w:rFonts w:ascii="Arial" w:cs="Arial" w:eastAsia="Arial" w:hAnsi="Arial"/>
                <w:sz w:val="14"/>
                <w:szCs w:val="14"/>
                <w:color w:val="auto"/>
                <w:w w:val="84"/>
              </w:rPr>
              <w:t>-</w:t>
            </w:r>
          </w:p>
        </w:tc>
        <w:tc>
          <w:tcPr>
            <w:tcW w:w="1260" w:type="dxa"/>
            <w:vAlign w:val="bottom"/>
            <w:tcBorders>
              <w:bottom w:val="single" w:sz="8" w:color="DBDBDB"/>
            </w:tcBorders>
          </w:tcPr>
          <w:p>
            <w:pPr>
              <w:jc w:val="center"/>
              <w:spacing w:after="0"/>
              <w:rPr>
                <w:sz w:val="20"/>
                <w:szCs w:val="20"/>
                <w:color w:val="auto"/>
              </w:rPr>
            </w:pPr>
            <w:r>
              <w:rPr>
                <w:rFonts w:ascii="Arial" w:cs="Arial" w:eastAsia="Arial" w:hAnsi="Arial"/>
                <w:sz w:val="14"/>
                <w:szCs w:val="14"/>
                <w:color w:val="auto"/>
                <w:w w:val="84"/>
              </w:rPr>
              <w:t>-</w:t>
            </w:r>
          </w:p>
        </w:tc>
        <w:tc>
          <w:tcPr>
            <w:tcW w:w="124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28,043</w:t>
            </w:r>
          </w:p>
        </w:tc>
        <w:tc>
          <w:tcPr>
            <w:tcW w:w="1180" w:type="dxa"/>
            <w:vAlign w:val="bottom"/>
            <w:tcBorders>
              <w:bottom w:val="single" w:sz="8" w:color="DBDBDB"/>
            </w:tcBorders>
            <w:gridSpan w:val="2"/>
          </w:tcPr>
          <w:p>
            <w:pPr>
              <w:jc w:val="right"/>
              <w:spacing w:after="0"/>
              <w:rPr>
                <w:sz w:val="20"/>
                <w:szCs w:val="20"/>
                <w:color w:val="auto"/>
              </w:rPr>
            </w:pPr>
            <w:r>
              <w:rPr>
                <w:rFonts w:ascii="Arial" w:cs="Arial" w:eastAsia="Arial" w:hAnsi="Arial"/>
                <w:sz w:val="14"/>
                <w:szCs w:val="14"/>
                <w:color w:val="auto"/>
              </w:rPr>
              <w:t>4,655,699</w:t>
            </w:r>
          </w:p>
        </w:tc>
        <w:tc>
          <w:tcPr>
            <w:tcW w:w="0" w:type="dxa"/>
            <w:vAlign w:val="bottom"/>
          </w:tcPr>
          <w:p>
            <w:pPr>
              <w:spacing w:after="0"/>
              <w:rPr>
                <w:sz w:val="1"/>
                <w:szCs w:val="1"/>
                <w:color w:val="auto"/>
              </w:rPr>
            </w:pPr>
          </w:p>
        </w:tc>
      </w:tr>
      <w:tr>
        <w:trPr>
          <w:trHeight w:val="210"/>
        </w:trPr>
        <w:tc>
          <w:tcPr>
            <w:tcW w:w="1520" w:type="dxa"/>
            <w:vAlign w:val="bottom"/>
            <w:tcBorders>
              <w:bottom w:val="single" w:sz="8" w:color="DBDBDB"/>
            </w:tcBorders>
          </w:tcPr>
          <w:p>
            <w:pPr>
              <w:spacing w:after="0"/>
              <w:rPr>
                <w:sz w:val="18"/>
                <w:szCs w:val="18"/>
                <w:color w:val="auto"/>
              </w:rPr>
            </w:pPr>
          </w:p>
        </w:tc>
        <w:tc>
          <w:tcPr>
            <w:tcW w:w="1000" w:type="dxa"/>
            <w:vAlign w:val="bottom"/>
            <w:tcBorders>
              <w:bottom w:val="single" w:sz="8" w:color="DBDBDB"/>
            </w:tcBorders>
          </w:tcPr>
          <w:p>
            <w:pPr>
              <w:jc w:val="center"/>
              <w:spacing w:after="0"/>
              <w:rPr>
                <w:sz w:val="20"/>
                <w:szCs w:val="20"/>
                <w:color w:val="auto"/>
              </w:rPr>
            </w:pPr>
            <w:r>
              <w:rPr>
                <w:rFonts w:ascii="Arial" w:cs="Arial" w:eastAsia="Arial" w:hAnsi="Arial"/>
                <w:sz w:val="14"/>
                <w:szCs w:val="14"/>
                <w:color w:val="auto"/>
              </w:rPr>
              <w:t>8/4/2023</w:t>
            </w:r>
          </w:p>
        </w:tc>
        <w:tc>
          <w:tcPr>
            <w:tcW w:w="1240" w:type="dxa"/>
            <w:vAlign w:val="bottom"/>
            <w:tcBorders>
              <w:bottom w:val="single" w:sz="8" w:color="DBDBDB"/>
            </w:tcBorders>
          </w:tcPr>
          <w:p>
            <w:pPr>
              <w:jc w:val="center"/>
              <w:spacing w:after="0"/>
              <w:rPr>
                <w:sz w:val="20"/>
                <w:szCs w:val="20"/>
                <w:color w:val="auto"/>
              </w:rPr>
            </w:pPr>
            <w:r>
              <w:rPr>
                <w:rFonts w:ascii="Arial" w:cs="Arial" w:eastAsia="Arial" w:hAnsi="Arial"/>
                <w:sz w:val="14"/>
                <w:szCs w:val="14"/>
                <w:color w:val="auto"/>
                <w:w w:val="84"/>
              </w:rPr>
              <w:t>-</w:t>
            </w:r>
          </w:p>
        </w:tc>
        <w:tc>
          <w:tcPr>
            <w:tcW w:w="1240" w:type="dxa"/>
            <w:vAlign w:val="bottom"/>
            <w:tcBorders>
              <w:bottom w:val="single" w:sz="8" w:color="DBDBDB"/>
            </w:tcBorders>
          </w:tcPr>
          <w:p>
            <w:pPr>
              <w:jc w:val="center"/>
              <w:spacing w:after="0"/>
              <w:rPr>
                <w:sz w:val="20"/>
                <w:szCs w:val="20"/>
                <w:color w:val="auto"/>
              </w:rPr>
            </w:pPr>
            <w:r>
              <w:rPr>
                <w:rFonts w:ascii="Arial" w:cs="Arial" w:eastAsia="Arial" w:hAnsi="Arial"/>
                <w:sz w:val="14"/>
                <w:szCs w:val="14"/>
                <w:color w:val="auto"/>
                <w:w w:val="84"/>
              </w:rPr>
              <w:t>-</w:t>
            </w:r>
          </w:p>
        </w:tc>
        <w:tc>
          <w:tcPr>
            <w:tcW w:w="1240" w:type="dxa"/>
            <w:vAlign w:val="bottom"/>
            <w:tcBorders>
              <w:bottom w:val="single" w:sz="8" w:color="DBDBDB"/>
            </w:tcBorders>
          </w:tcPr>
          <w:p>
            <w:pPr>
              <w:jc w:val="center"/>
              <w:spacing w:after="0"/>
              <w:rPr>
                <w:sz w:val="20"/>
                <w:szCs w:val="20"/>
                <w:color w:val="auto"/>
              </w:rPr>
            </w:pPr>
            <w:r>
              <w:rPr>
                <w:rFonts w:ascii="Arial" w:cs="Arial" w:eastAsia="Arial" w:hAnsi="Arial"/>
                <w:sz w:val="14"/>
                <w:szCs w:val="14"/>
                <w:color w:val="auto"/>
                <w:w w:val="84"/>
              </w:rPr>
              <w:t>-</w:t>
            </w:r>
          </w:p>
        </w:tc>
        <w:tc>
          <w:tcPr>
            <w:tcW w:w="1320" w:type="dxa"/>
            <w:vAlign w:val="bottom"/>
            <w:tcBorders>
              <w:bottom w:val="single" w:sz="8" w:color="DBDBDB"/>
            </w:tcBorders>
            <w:gridSpan w:val="2"/>
          </w:tcPr>
          <w:p>
            <w:pPr>
              <w:jc w:val="right"/>
              <w:spacing w:after="0"/>
              <w:rPr>
                <w:sz w:val="20"/>
                <w:szCs w:val="20"/>
                <w:color w:val="auto"/>
              </w:rPr>
            </w:pPr>
            <w:r>
              <w:rPr>
                <w:rFonts w:ascii="Arial" w:cs="Arial" w:eastAsia="Arial" w:hAnsi="Arial"/>
                <w:sz w:val="14"/>
                <w:szCs w:val="14"/>
                <w:color w:val="auto"/>
              </w:rPr>
              <w:t>18,695</w:t>
            </w:r>
          </w:p>
        </w:tc>
        <w:tc>
          <w:tcPr>
            <w:tcW w:w="126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3,103,744</w:t>
            </w:r>
          </w:p>
        </w:tc>
        <w:tc>
          <w:tcPr>
            <w:tcW w:w="1240" w:type="dxa"/>
            <w:vAlign w:val="bottom"/>
            <w:tcBorders>
              <w:bottom w:val="single" w:sz="8" w:color="DBDBDB"/>
            </w:tcBorders>
          </w:tcPr>
          <w:p>
            <w:pPr>
              <w:jc w:val="center"/>
              <w:spacing w:after="0"/>
              <w:rPr>
                <w:sz w:val="20"/>
                <w:szCs w:val="20"/>
                <w:color w:val="auto"/>
              </w:rPr>
            </w:pPr>
            <w:r>
              <w:rPr>
                <w:rFonts w:ascii="Arial" w:cs="Arial" w:eastAsia="Arial" w:hAnsi="Arial"/>
                <w:sz w:val="14"/>
                <w:szCs w:val="14"/>
                <w:color w:val="auto"/>
                <w:w w:val="84"/>
              </w:rPr>
              <w:t>-</w:t>
            </w:r>
          </w:p>
        </w:tc>
        <w:tc>
          <w:tcPr>
            <w:tcW w:w="940" w:type="dxa"/>
            <w:vAlign w:val="bottom"/>
            <w:tcBorders>
              <w:bottom w:val="single" w:sz="8" w:color="DBDBDB"/>
            </w:tcBorders>
          </w:tcPr>
          <w:p>
            <w:pPr>
              <w:jc w:val="center"/>
              <w:ind w:left="149"/>
              <w:spacing w:after="0"/>
              <w:rPr>
                <w:sz w:val="20"/>
                <w:szCs w:val="20"/>
                <w:color w:val="auto"/>
              </w:rPr>
            </w:pPr>
            <w:r>
              <w:rPr>
                <w:rFonts w:ascii="Arial" w:cs="Arial" w:eastAsia="Arial" w:hAnsi="Arial"/>
                <w:sz w:val="14"/>
                <w:szCs w:val="14"/>
                <w:color w:val="auto"/>
                <w:w w:val="84"/>
              </w:rPr>
              <w:t>-</w:t>
            </w:r>
          </w:p>
        </w:tc>
        <w:tc>
          <w:tcPr>
            <w:tcW w:w="240" w:type="dxa"/>
            <w:vAlign w:val="bottom"/>
            <w:tcBorders>
              <w:bottom w:val="single" w:sz="8" w:color="DBDBDB"/>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520" w:type="dxa"/>
            <w:vAlign w:val="bottom"/>
            <w:tcBorders>
              <w:bottom w:val="single" w:sz="8" w:color="E7ECF0"/>
            </w:tcBorders>
            <w:vMerge w:val="restart"/>
            <w:shd w:val="clear" w:color="auto" w:fill="E7ECF0"/>
          </w:tcPr>
          <w:p>
            <w:pPr>
              <w:ind w:left="20"/>
              <w:spacing w:after="0"/>
              <w:rPr>
                <w:sz w:val="20"/>
                <w:szCs w:val="20"/>
                <w:color w:val="auto"/>
              </w:rPr>
            </w:pPr>
            <w:r>
              <w:rPr>
                <w:rFonts w:ascii="Arial" w:cs="Arial" w:eastAsia="Arial" w:hAnsi="Arial"/>
                <w:sz w:val="14"/>
                <w:szCs w:val="14"/>
                <w:color w:val="auto"/>
              </w:rPr>
              <w:t>Gregory R. Adelson</w:t>
            </w:r>
          </w:p>
        </w:tc>
        <w:tc>
          <w:tcPr>
            <w:tcW w:w="1000" w:type="dxa"/>
            <w:vAlign w:val="bottom"/>
            <w:tcBorders>
              <w:bottom w:val="single" w:sz="8" w:color="DBDBDB"/>
            </w:tcBorders>
            <w:shd w:val="clear" w:color="auto" w:fill="E7ECF0"/>
          </w:tcPr>
          <w:p>
            <w:pPr>
              <w:jc w:val="center"/>
              <w:spacing w:after="0"/>
              <w:rPr>
                <w:sz w:val="20"/>
                <w:szCs w:val="20"/>
                <w:color w:val="auto"/>
              </w:rPr>
            </w:pPr>
            <w:r>
              <w:rPr>
                <w:rFonts w:ascii="Arial" w:cs="Arial" w:eastAsia="Arial" w:hAnsi="Arial"/>
                <w:sz w:val="14"/>
                <w:szCs w:val="14"/>
                <w:color w:val="auto"/>
              </w:rPr>
              <w:t>8/4/2021</w:t>
            </w:r>
          </w:p>
        </w:tc>
        <w:tc>
          <w:tcPr>
            <w:tcW w:w="1240" w:type="dxa"/>
            <w:vAlign w:val="bottom"/>
            <w:tcBorders>
              <w:bottom w:val="single" w:sz="8" w:color="DBDBDB"/>
            </w:tcBorders>
            <w:shd w:val="clear" w:color="auto" w:fill="E7ECF0"/>
          </w:tcPr>
          <w:p>
            <w:pPr>
              <w:jc w:val="center"/>
              <w:spacing w:after="0"/>
              <w:rPr>
                <w:sz w:val="20"/>
                <w:szCs w:val="20"/>
                <w:color w:val="auto"/>
              </w:rPr>
            </w:pPr>
            <w:r>
              <w:rPr>
                <w:rFonts w:ascii="Arial" w:cs="Arial" w:eastAsia="Arial" w:hAnsi="Arial"/>
                <w:sz w:val="14"/>
                <w:szCs w:val="14"/>
                <w:color w:val="auto"/>
                <w:w w:val="84"/>
              </w:rPr>
              <w:t>-</w:t>
            </w:r>
          </w:p>
        </w:tc>
        <w:tc>
          <w:tcPr>
            <w:tcW w:w="1240" w:type="dxa"/>
            <w:vAlign w:val="bottom"/>
            <w:tcBorders>
              <w:bottom w:val="single" w:sz="8" w:color="DBDBDB"/>
            </w:tcBorders>
            <w:shd w:val="clear" w:color="auto" w:fill="E7ECF0"/>
          </w:tcPr>
          <w:p>
            <w:pPr>
              <w:jc w:val="center"/>
              <w:spacing w:after="0"/>
              <w:rPr>
                <w:sz w:val="20"/>
                <w:szCs w:val="20"/>
                <w:color w:val="auto"/>
              </w:rPr>
            </w:pPr>
            <w:r>
              <w:rPr>
                <w:rFonts w:ascii="Arial" w:cs="Arial" w:eastAsia="Arial" w:hAnsi="Arial"/>
                <w:sz w:val="14"/>
                <w:szCs w:val="14"/>
                <w:color w:val="auto"/>
                <w:w w:val="84"/>
              </w:rPr>
              <w:t>-</w:t>
            </w:r>
          </w:p>
        </w:tc>
        <w:tc>
          <w:tcPr>
            <w:tcW w:w="1240" w:type="dxa"/>
            <w:vAlign w:val="bottom"/>
            <w:tcBorders>
              <w:bottom w:val="single" w:sz="8" w:color="DBDBDB"/>
            </w:tcBorders>
            <w:shd w:val="clear" w:color="auto" w:fill="E7ECF0"/>
          </w:tcPr>
          <w:p>
            <w:pPr>
              <w:jc w:val="center"/>
              <w:spacing w:after="0"/>
              <w:rPr>
                <w:sz w:val="20"/>
                <w:szCs w:val="20"/>
                <w:color w:val="auto"/>
              </w:rPr>
            </w:pPr>
            <w:r>
              <w:rPr>
                <w:rFonts w:ascii="Arial" w:cs="Arial" w:eastAsia="Arial" w:hAnsi="Arial"/>
                <w:sz w:val="14"/>
                <w:szCs w:val="14"/>
                <w:color w:val="auto"/>
                <w:w w:val="84"/>
              </w:rPr>
              <w:t>-</w:t>
            </w:r>
          </w:p>
        </w:tc>
        <w:tc>
          <w:tcPr>
            <w:tcW w:w="1320" w:type="dxa"/>
            <w:vAlign w:val="bottom"/>
            <w:tcBorders>
              <w:bottom w:val="single" w:sz="8" w:color="DBDBDB"/>
            </w:tcBorders>
            <w:gridSpan w:val="2"/>
            <w:shd w:val="clear" w:color="auto" w:fill="E7ECF0"/>
          </w:tcPr>
          <w:p>
            <w:pPr>
              <w:jc w:val="center"/>
              <w:ind w:left="8"/>
              <w:spacing w:after="0"/>
              <w:rPr>
                <w:sz w:val="20"/>
                <w:szCs w:val="20"/>
                <w:color w:val="auto"/>
              </w:rPr>
            </w:pPr>
            <w:r>
              <w:rPr>
                <w:rFonts w:ascii="Arial" w:cs="Arial" w:eastAsia="Arial" w:hAnsi="Arial"/>
                <w:sz w:val="14"/>
                <w:szCs w:val="14"/>
                <w:color w:val="auto"/>
                <w:w w:val="84"/>
              </w:rPr>
              <w:t>-</w:t>
            </w:r>
          </w:p>
        </w:tc>
        <w:tc>
          <w:tcPr>
            <w:tcW w:w="1260" w:type="dxa"/>
            <w:vAlign w:val="bottom"/>
            <w:tcBorders>
              <w:bottom w:val="single" w:sz="8" w:color="DBDBDB"/>
            </w:tcBorders>
            <w:shd w:val="clear" w:color="auto" w:fill="E7ECF0"/>
          </w:tcPr>
          <w:p>
            <w:pPr>
              <w:jc w:val="center"/>
              <w:spacing w:after="0"/>
              <w:rPr>
                <w:sz w:val="20"/>
                <w:szCs w:val="20"/>
                <w:color w:val="auto"/>
              </w:rPr>
            </w:pPr>
            <w:r>
              <w:rPr>
                <w:rFonts w:ascii="Arial" w:cs="Arial" w:eastAsia="Arial" w:hAnsi="Arial"/>
                <w:sz w:val="14"/>
                <w:szCs w:val="14"/>
                <w:color w:val="auto"/>
                <w:w w:val="84"/>
              </w:rPr>
              <w:t>-</w:t>
            </w:r>
          </w:p>
        </w:tc>
        <w:tc>
          <w:tcPr>
            <w:tcW w:w="1240" w:type="dxa"/>
            <w:vAlign w:val="bottom"/>
            <w:tcBorders>
              <w:bottom w:val="single" w:sz="8" w:color="DBDBDB"/>
            </w:tcBorders>
            <w:shd w:val="clear" w:color="auto" w:fill="E7ECF0"/>
          </w:tcPr>
          <w:p>
            <w:pPr>
              <w:jc w:val="right"/>
              <w:spacing w:after="0"/>
              <w:rPr>
                <w:sz w:val="20"/>
                <w:szCs w:val="20"/>
                <w:color w:val="auto"/>
              </w:rPr>
            </w:pPr>
            <w:r>
              <w:rPr>
                <w:rFonts w:ascii="Arial" w:cs="Arial" w:eastAsia="Arial" w:hAnsi="Arial"/>
                <w:sz w:val="14"/>
                <w:szCs w:val="14"/>
                <w:color w:val="auto"/>
              </w:rPr>
              <w:t>3,714</w:t>
            </w:r>
          </w:p>
        </w:tc>
        <w:tc>
          <w:tcPr>
            <w:tcW w:w="1180" w:type="dxa"/>
            <w:vAlign w:val="bottom"/>
            <w:tcBorders>
              <w:bottom w:val="single" w:sz="8" w:color="DBDBDB"/>
            </w:tcBorders>
            <w:gridSpan w:val="2"/>
            <w:shd w:val="clear" w:color="auto" w:fill="E7ECF0"/>
          </w:tcPr>
          <w:p>
            <w:pPr>
              <w:jc w:val="right"/>
              <w:spacing w:after="0"/>
              <w:rPr>
                <w:sz w:val="20"/>
                <w:szCs w:val="20"/>
                <w:color w:val="auto"/>
              </w:rPr>
            </w:pPr>
            <w:r>
              <w:rPr>
                <w:rFonts w:ascii="Arial" w:cs="Arial" w:eastAsia="Arial" w:hAnsi="Arial"/>
                <w:sz w:val="14"/>
                <w:szCs w:val="14"/>
                <w:color w:val="auto"/>
              </w:rPr>
              <w:t>616,598</w:t>
            </w:r>
          </w:p>
        </w:tc>
        <w:tc>
          <w:tcPr>
            <w:tcW w:w="0" w:type="dxa"/>
            <w:vAlign w:val="bottom"/>
          </w:tcPr>
          <w:p>
            <w:pPr>
              <w:spacing w:after="0"/>
              <w:rPr>
                <w:sz w:val="1"/>
                <w:szCs w:val="1"/>
                <w:color w:val="auto"/>
              </w:rPr>
            </w:pPr>
          </w:p>
        </w:tc>
      </w:tr>
      <w:tr>
        <w:trPr>
          <w:trHeight w:val="84"/>
        </w:trPr>
        <w:tc>
          <w:tcPr>
            <w:tcW w:w="1520" w:type="dxa"/>
            <w:vAlign w:val="bottom"/>
            <w:vMerge w:val="continue"/>
            <w:shd w:val="clear" w:color="auto" w:fill="E7ECF0"/>
          </w:tcPr>
          <w:p>
            <w:pPr>
              <w:spacing w:after="0"/>
              <w:rPr>
                <w:sz w:val="7"/>
                <w:szCs w:val="7"/>
                <w:color w:val="auto"/>
              </w:rPr>
            </w:pPr>
          </w:p>
        </w:tc>
        <w:tc>
          <w:tcPr>
            <w:tcW w:w="1000" w:type="dxa"/>
            <w:vAlign w:val="bottom"/>
            <w:vMerge w:val="restart"/>
            <w:shd w:val="clear" w:color="auto" w:fill="E7ECF0"/>
          </w:tcPr>
          <w:p>
            <w:pPr>
              <w:jc w:val="center"/>
              <w:spacing w:after="0"/>
              <w:rPr>
                <w:sz w:val="20"/>
                <w:szCs w:val="20"/>
                <w:color w:val="auto"/>
              </w:rPr>
            </w:pPr>
            <w:r>
              <w:rPr>
                <w:rFonts w:ascii="Arial" w:cs="Arial" w:eastAsia="Arial" w:hAnsi="Arial"/>
                <w:sz w:val="14"/>
                <w:szCs w:val="14"/>
                <w:color w:val="auto"/>
              </w:rPr>
              <w:t>8/4/2021</w:t>
            </w:r>
          </w:p>
        </w:tc>
        <w:tc>
          <w:tcPr>
            <w:tcW w:w="1240" w:type="dxa"/>
            <w:vAlign w:val="bottom"/>
            <w:vMerge w:val="restart"/>
            <w:shd w:val="clear" w:color="auto" w:fill="E7ECF0"/>
          </w:tcPr>
          <w:p>
            <w:pPr>
              <w:jc w:val="center"/>
              <w:spacing w:after="0"/>
              <w:rPr>
                <w:sz w:val="20"/>
                <w:szCs w:val="20"/>
                <w:color w:val="auto"/>
              </w:rPr>
            </w:pPr>
            <w:r>
              <w:rPr>
                <w:rFonts w:ascii="Arial" w:cs="Arial" w:eastAsia="Arial" w:hAnsi="Arial"/>
                <w:sz w:val="14"/>
                <w:szCs w:val="14"/>
                <w:color w:val="auto"/>
                <w:w w:val="84"/>
              </w:rPr>
              <w:t>-</w:t>
            </w:r>
          </w:p>
        </w:tc>
        <w:tc>
          <w:tcPr>
            <w:tcW w:w="1240" w:type="dxa"/>
            <w:vAlign w:val="bottom"/>
            <w:vMerge w:val="restart"/>
            <w:shd w:val="clear" w:color="auto" w:fill="E7ECF0"/>
          </w:tcPr>
          <w:p>
            <w:pPr>
              <w:jc w:val="center"/>
              <w:spacing w:after="0"/>
              <w:rPr>
                <w:sz w:val="20"/>
                <w:szCs w:val="20"/>
                <w:color w:val="auto"/>
              </w:rPr>
            </w:pPr>
            <w:r>
              <w:rPr>
                <w:rFonts w:ascii="Arial" w:cs="Arial" w:eastAsia="Arial" w:hAnsi="Arial"/>
                <w:sz w:val="14"/>
                <w:szCs w:val="14"/>
                <w:color w:val="auto"/>
                <w:w w:val="84"/>
              </w:rPr>
              <w:t>-</w:t>
            </w:r>
          </w:p>
        </w:tc>
        <w:tc>
          <w:tcPr>
            <w:tcW w:w="1240" w:type="dxa"/>
            <w:vAlign w:val="bottom"/>
            <w:vMerge w:val="restart"/>
            <w:shd w:val="clear" w:color="auto" w:fill="E7ECF0"/>
          </w:tcPr>
          <w:p>
            <w:pPr>
              <w:jc w:val="center"/>
              <w:spacing w:after="0"/>
              <w:rPr>
                <w:sz w:val="20"/>
                <w:szCs w:val="20"/>
                <w:color w:val="auto"/>
              </w:rPr>
            </w:pPr>
            <w:r>
              <w:rPr>
                <w:rFonts w:ascii="Arial" w:cs="Arial" w:eastAsia="Arial" w:hAnsi="Arial"/>
                <w:sz w:val="14"/>
                <w:szCs w:val="14"/>
                <w:color w:val="auto"/>
                <w:w w:val="84"/>
              </w:rPr>
              <w:t>-</w:t>
            </w:r>
          </w:p>
        </w:tc>
        <w:tc>
          <w:tcPr>
            <w:tcW w:w="1320" w:type="dxa"/>
            <w:vAlign w:val="bottom"/>
            <w:gridSpan w:val="2"/>
            <w:vMerge w:val="restart"/>
            <w:shd w:val="clear" w:color="auto" w:fill="E7ECF0"/>
          </w:tcPr>
          <w:p>
            <w:pPr>
              <w:jc w:val="right"/>
              <w:spacing w:after="0"/>
              <w:rPr>
                <w:sz w:val="20"/>
                <w:szCs w:val="20"/>
                <w:color w:val="auto"/>
              </w:rPr>
            </w:pPr>
            <w:r>
              <w:rPr>
                <w:rFonts w:ascii="Arial" w:cs="Arial" w:eastAsia="Arial" w:hAnsi="Arial"/>
                <w:sz w:val="14"/>
                <w:szCs w:val="14"/>
                <w:color w:val="auto"/>
              </w:rPr>
              <w:t>825</w:t>
            </w:r>
          </w:p>
        </w:tc>
        <w:tc>
          <w:tcPr>
            <w:tcW w:w="1260" w:type="dxa"/>
            <w:vAlign w:val="bottom"/>
            <w:vMerge w:val="restart"/>
            <w:shd w:val="clear" w:color="auto" w:fill="E7ECF0"/>
          </w:tcPr>
          <w:p>
            <w:pPr>
              <w:jc w:val="right"/>
              <w:spacing w:after="0"/>
              <w:rPr>
                <w:sz w:val="20"/>
                <w:szCs w:val="20"/>
                <w:color w:val="auto"/>
              </w:rPr>
            </w:pPr>
            <w:r>
              <w:rPr>
                <w:rFonts w:ascii="Arial" w:cs="Arial" w:eastAsia="Arial" w:hAnsi="Arial"/>
                <w:sz w:val="14"/>
                <w:szCs w:val="14"/>
                <w:color w:val="auto"/>
              </w:rPr>
              <w:t>136,967</w:t>
            </w:r>
          </w:p>
        </w:tc>
        <w:tc>
          <w:tcPr>
            <w:tcW w:w="1240" w:type="dxa"/>
            <w:vAlign w:val="bottom"/>
            <w:vMerge w:val="restart"/>
            <w:shd w:val="clear" w:color="auto" w:fill="E7ECF0"/>
          </w:tcPr>
          <w:p>
            <w:pPr>
              <w:jc w:val="center"/>
              <w:spacing w:after="0"/>
              <w:rPr>
                <w:sz w:val="20"/>
                <w:szCs w:val="20"/>
                <w:color w:val="auto"/>
              </w:rPr>
            </w:pPr>
            <w:r>
              <w:rPr>
                <w:rFonts w:ascii="Arial" w:cs="Arial" w:eastAsia="Arial" w:hAnsi="Arial"/>
                <w:sz w:val="14"/>
                <w:szCs w:val="14"/>
                <w:color w:val="auto"/>
                <w:w w:val="84"/>
              </w:rPr>
              <w:t>-</w:t>
            </w:r>
          </w:p>
        </w:tc>
        <w:tc>
          <w:tcPr>
            <w:tcW w:w="940" w:type="dxa"/>
            <w:vAlign w:val="bottom"/>
            <w:vMerge w:val="restart"/>
            <w:shd w:val="clear" w:color="auto" w:fill="E7ECF0"/>
          </w:tcPr>
          <w:p>
            <w:pPr>
              <w:jc w:val="center"/>
              <w:ind w:left="149"/>
              <w:spacing w:after="0"/>
              <w:rPr>
                <w:sz w:val="20"/>
                <w:szCs w:val="20"/>
                <w:color w:val="auto"/>
              </w:rPr>
            </w:pPr>
            <w:r>
              <w:rPr>
                <w:rFonts w:ascii="Arial" w:cs="Arial" w:eastAsia="Arial" w:hAnsi="Arial"/>
                <w:sz w:val="14"/>
                <w:szCs w:val="14"/>
                <w:color w:val="auto"/>
                <w:w w:val="84"/>
              </w:rPr>
              <w:t>-</w:t>
            </w:r>
          </w:p>
        </w:tc>
        <w:tc>
          <w:tcPr>
            <w:tcW w:w="240" w:type="dxa"/>
            <w:vAlign w:val="bottom"/>
            <w:shd w:val="clear" w:color="auto" w:fill="E7ECF0"/>
          </w:tcPr>
          <w:p>
            <w:pPr>
              <w:spacing w:after="0"/>
              <w:rPr>
                <w:sz w:val="7"/>
                <w:szCs w:val="7"/>
                <w:color w:val="auto"/>
              </w:rPr>
            </w:pPr>
          </w:p>
        </w:tc>
        <w:tc>
          <w:tcPr>
            <w:tcW w:w="0" w:type="dxa"/>
            <w:vAlign w:val="bottom"/>
          </w:tcPr>
          <w:p>
            <w:pPr>
              <w:spacing w:after="0"/>
              <w:rPr>
                <w:sz w:val="1"/>
                <w:szCs w:val="1"/>
                <w:color w:val="auto"/>
              </w:rPr>
            </w:pPr>
          </w:p>
        </w:tc>
      </w:tr>
      <w:tr>
        <w:trPr>
          <w:trHeight w:val="125"/>
        </w:trPr>
        <w:tc>
          <w:tcPr>
            <w:tcW w:w="1520" w:type="dxa"/>
            <w:vAlign w:val="bottom"/>
            <w:tcBorders>
              <w:bottom w:val="single" w:sz="8" w:color="E7ECF0"/>
            </w:tcBorders>
            <w:shd w:val="clear" w:color="auto" w:fill="E7ECF0"/>
          </w:tcPr>
          <w:p>
            <w:pPr>
              <w:spacing w:after="0"/>
              <w:rPr>
                <w:sz w:val="10"/>
                <w:szCs w:val="10"/>
                <w:color w:val="auto"/>
              </w:rPr>
            </w:pPr>
          </w:p>
        </w:tc>
        <w:tc>
          <w:tcPr>
            <w:tcW w:w="1000" w:type="dxa"/>
            <w:vAlign w:val="bottom"/>
            <w:tcBorders>
              <w:bottom w:val="single" w:sz="8" w:color="DBDBDB"/>
            </w:tcBorders>
            <w:vMerge w:val="continue"/>
            <w:shd w:val="clear" w:color="auto" w:fill="E7ECF0"/>
          </w:tcPr>
          <w:p>
            <w:pPr>
              <w:spacing w:after="0"/>
              <w:rPr>
                <w:sz w:val="10"/>
                <w:szCs w:val="10"/>
                <w:color w:val="auto"/>
              </w:rPr>
            </w:pPr>
          </w:p>
        </w:tc>
        <w:tc>
          <w:tcPr>
            <w:tcW w:w="1240" w:type="dxa"/>
            <w:vAlign w:val="bottom"/>
            <w:tcBorders>
              <w:bottom w:val="single" w:sz="8" w:color="DBDBDB"/>
            </w:tcBorders>
            <w:vMerge w:val="continue"/>
            <w:shd w:val="clear" w:color="auto" w:fill="E7ECF0"/>
          </w:tcPr>
          <w:p>
            <w:pPr>
              <w:spacing w:after="0"/>
              <w:rPr>
                <w:sz w:val="10"/>
                <w:szCs w:val="10"/>
                <w:color w:val="auto"/>
              </w:rPr>
            </w:pPr>
          </w:p>
        </w:tc>
        <w:tc>
          <w:tcPr>
            <w:tcW w:w="1240" w:type="dxa"/>
            <w:vAlign w:val="bottom"/>
            <w:tcBorders>
              <w:bottom w:val="single" w:sz="8" w:color="DBDBDB"/>
            </w:tcBorders>
            <w:vMerge w:val="continue"/>
            <w:shd w:val="clear" w:color="auto" w:fill="E7ECF0"/>
          </w:tcPr>
          <w:p>
            <w:pPr>
              <w:spacing w:after="0"/>
              <w:rPr>
                <w:sz w:val="10"/>
                <w:szCs w:val="10"/>
                <w:color w:val="auto"/>
              </w:rPr>
            </w:pPr>
          </w:p>
        </w:tc>
        <w:tc>
          <w:tcPr>
            <w:tcW w:w="1240" w:type="dxa"/>
            <w:vAlign w:val="bottom"/>
            <w:tcBorders>
              <w:bottom w:val="single" w:sz="8" w:color="DBDBDB"/>
            </w:tcBorders>
            <w:vMerge w:val="continue"/>
            <w:shd w:val="clear" w:color="auto" w:fill="E7ECF0"/>
          </w:tcPr>
          <w:p>
            <w:pPr>
              <w:spacing w:after="0"/>
              <w:rPr>
                <w:sz w:val="10"/>
                <w:szCs w:val="10"/>
                <w:color w:val="auto"/>
              </w:rPr>
            </w:pPr>
          </w:p>
        </w:tc>
        <w:tc>
          <w:tcPr>
            <w:tcW w:w="1320" w:type="dxa"/>
            <w:vAlign w:val="bottom"/>
            <w:tcBorders>
              <w:bottom w:val="single" w:sz="8" w:color="DBDBDB"/>
            </w:tcBorders>
            <w:gridSpan w:val="2"/>
            <w:vMerge w:val="continue"/>
            <w:shd w:val="clear" w:color="auto" w:fill="E7ECF0"/>
          </w:tcPr>
          <w:p>
            <w:pPr>
              <w:spacing w:after="0"/>
              <w:rPr>
                <w:sz w:val="10"/>
                <w:szCs w:val="10"/>
                <w:color w:val="auto"/>
              </w:rPr>
            </w:pPr>
          </w:p>
        </w:tc>
        <w:tc>
          <w:tcPr>
            <w:tcW w:w="1260" w:type="dxa"/>
            <w:vAlign w:val="bottom"/>
            <w:tcBorders>
              <w:bottom w:val="single" w:sz="8" w:color="DBDBDB"/>
            </w:tcBorders>
            <w:vMerge w:val="continue"/>
            <w:shd w:val="clear" w:color="auto" w:fill="E7ECF0"/>
          </w:tcPr>
          <w:p>
            <w:pPr>
              <w:spacing w:after="0"/>
              <w:rPr>
                <w:sz w:val="10"/>
                <w:szCs w:val="10"/>
                <w:color w:val="auto"/>
              </w:rPr>
            </w:pPr>
          </w:p>
        </w:tc>
        <w:tc>
          <w:tcPr>
            <w:tcW w:w="1240" w:type="dxa"/>
            <w:vAlign w:val="bottom"/>
            <w:tcBorders>
              <w:bottom w:val="single" w:sz="8" w:color="DBDBDB"/>
            </w:tcBorders>
            <w:vMerge w:val="continue"/>
            <w:shd w:val="clear" w:color="auto" w:fill="E7ECF0"/>
          </w:tcPr>
          <w:p>
            <w:pPr>
              <w:spacing w:after="0"/>
              <w:rPr>
                <w:sz w:val="10"/>
                <w:szCs w:val="10"/>
                <w:color w:val="auto"/>
              </w:rPr>
            </w:pPr>
          </w:p>
        </w:tc>
        <w:tc>
          <w:tcPr>
            <w:tcW w:w="940" w:type="dxa"/>
            <w:vAlign w:val="bottom"/>
            <w:tcBorders>
              <w:bottom w:val="single" w:sz="8" w:color="DBDBDB"/>
            </w:tcBorders>
            <w:vMerge w:val="continue"/>
            <w:shd w:val="clear" w:color="auto" w:fill="E7ECF0"/>
          </w:tcPr>
          <w:p>
            <w:pPr>
              <w:spacing w:after="0"/>
              <w:rPr>
                <w:sz w:val="10"/>
                <w:szCs w:val="10"/>
                <w:color w:val="auto"/>
              </w:rPr>
            </w:pPr>
          </w:p>
        </w:tc>
        <w:tc>
          <w:tcPr>
            <w:tcW w:w="240" w:type="dxa"/>
            <w:vAlign w:val="bottom"/>
            <w:tcBorders>
              <w:bottom w:val="single" w:sz="8" w:color="DBDBDB"/>
            </w:tcBorders>
            <w:shd w:val="clear" w:color="auto" w:fill="E7ECF0"/>
          </w:tcPr>
          <w:p>
            <w:pPr>
              <w:spacing w:after="0"/>
              <w:rPr>
                <w:sz w:val="10"/>
                <w:szCs w:val="10"/>
                <w:color w:val="auto"/>
              </w:rPr>
            </w:pPr>
          </w:p>
        </w:tc>
        <w:tc>
          <w:tcPr>
            <w:tcW w:w="0" w:type="dxa"/>
            <w:vAlign w:val="bottom"/>
          </w:tcPr>
          <w:p>
            <w:pPr>
              <w:spacing w:after="0"/>
              <w:rPr>
                <w:sz w:val="1"/>
                <w:szCs w:val="1"/>
                <w:color w:val="auto"/>
              </w:rPr>
            </w:pPr>
          </w:p>
        </w:tc>
      </w:tr>
      <w:tr>
        <w:trPr>
          <w:trHeight w:val="210"/>
        </w:trPr>
        <w:tc>
          <w:tcPr>
            <w:tcW w:w="1520" w:type="dxa"/>
            <w:vAlign w:val="bottom"/>
            <w:tcBorders>
              <w:bottom w:val="single" w:sz="8" w:color="E7ECF0"/>
            </w:tcBorders>
            <w:shd w:val="clear" w:color="auto" w:fill="E7ECF0"/>
          </w:tcPr>
          <w:p>
            <w:pPr>
              <w:spacing w:after="0"/>
              <w:rPr>
                <w:sz w:val="18"/>
                <w:szCs w:val="18"/>
                <w:color w:val="auto"/>
              </w:rPr>
            </w:pPr>
          </w:p>
        </w:tc>
        <w:tc>
          <w:tcPr>
            <w:tcW w:w="1000" w:type="dxa"/>
            <w:vAlign w:val="bottom"/>
            <w:tcBorders>
              <w:bottom w:val="single" w:sz="8" w:color="DBDBDB"/>
            </w:tcBorders>
            <w:shd w:val="clear" w:color="auto" w:fill="E7ECF0"/>
          </w:tcPr>
          <w:p>
            <w:pPr>
              <w:jc w:val="center"/>
              <w:spacing w:after="0"/>
              <w:rPr>
                <w:sz w:val="20"/>
                <w:szCs w:val="20"/>
                <w:color w:val="auto"/>
              </w:rPr>
            </w:pPr>
            <w:r>
              <w:rPr>
                <w:rFonts w:ascii="Arial" w:cs="Arial" w:eastAsia="Arial" w:hAnsi="Arial"/>
                <w:sz w:val="14"/>
                <w:szCs w:val="14"/>
                <w:color w:val="auto"/>
              </w:rPr>
              <w:t>8/4/2022</w:t>
            </w:r>
          </w:p>
        </w:tc>
        <w:tc>
          <w:tcPr>
            <w:tcW w:w="1240" w:type="dxa"/>
            <w:vAlign w:val="bottom"/>
            <w:tcBorders>
              <w:bottom w:val="single" w:sz="8" w:color="DBDBDB"/>
            </w:tcBorders>
            <w:shd w:val="clear" w:color="auto" w:fill="E7ECF0"/>
          </w:tcPr>
          <w:p>
            <w:pPr>
              <w:jc w:val="center"/>
              <w:spacing w:after="0"/>
              <w:rPr>
                <w:sz w:val="20"/>
                <w:szCs w:val="20"/>
                <w:color w:val="auto"/>
              </w:rPr>
            </w:pPr>
            <w:r>
              <w:rPr>
                <w:rFonts w:ascii="Arial" w:cs="Arial" w:eastAsia="Arial" w:hAnsi="Arial"/>
                <w:sz w:val="14"/>
                <w:szCs w:val="14"/>
                <w:color w:val="auto"/>
                <w:w w:val="84"/>
              </w:rPr>
              <w:t>-</w:t>
            </w:r>
          </w:p>
        </w:tc>
        <w:tc>
          <w:tcPr>
            <w:tcW w:w="1240" w:type="dxa"/>
            <w:vAlign w:val="bottom"/>
            <w:tcBorders>
              <w:bottom w:val="single" w:sz="8" w:color="DBDBDB"/>
            </w:tcBorders>
            <w:shd w:val="clear" w:color="auto" w:fill="E7ECF0"/>
          </w:tcPr>
          <w:p>
            <w:pPr>
              <w:jc w:val="center"/>
              <w:spacing w:after="0"/>
              <w:rPr>
                <w:sz w:val="20"/>
                <w:szCs w:val="20"/>
                <w:color w:val="auto"/>
              </w:rPr>
            </w:pPr>
            <w:r>
              <w:rPr>
                <w:rFonts w:ascii="Arial" w:cs="Arial" w:eastAsia="Arial" w:hAnsi="Arial"/>
                <w:sz w:val="14"/>
                <w:szCs w:val="14"/>
                <w:color w:val="auto"/>
                <w:w w:val="84"/>
              </w:rPr>
              <w:t>-</w:t>
            </w:r>
          </w:p>
        </w:tc>
        <w:tc>
          <w:tcPr>
            <w:tcW w:w="1240" w:type="dxa"/>
            <w:vAlign w:val="bottom"/>
            <w:tcBorders>
              <w:bottom w:val="single" w:sz="8" w:color="DBDBDB"/>
            </w:tcBorders>
            <w:shd w:val="clear" w:color="auto" w:fill="E7ECF0"/>
          </w:tcPr>
          <w:p>
            <w:pPr>
              <w:jc w:val="center"/>
              <w:spacing w:after="0"/>
              <w:rPr>
                <w:sz w:val="20"/>
                <w:szCs w:val="20"/>
                <w:color w:val="auto"/>
              </w:rPr>
            </w:pPr>
            <w:r>
              <w:rPr>
                <w:rFonts w:ascii="Arial" w:cs="Arial" w:eastAsia="Arial" w:hAnsi="Arial"/>
                <w:sz w:val="14"/>
                <w:szCs w:val="14"/>
                <w:color w:val="auto"/>
                <w:w w:val="84"/>
              </w:rPr>
              <w:t>-</w:t>
            </w:r>
          </w:p>
        </w:tc>
        <w:tc>
          <w:tcPr>
            <w:tcW w:w="1320" w:type="dxa"/>
            <w:vAlign w:val="bottom"/>
            <w:tcBorders>
              <w:bottom w:val="single" w:sz="8" w:color="DBDBDB"/>
            </w:tcBorders>
            <w:gridSpan w:val="2"/>
            <w:shd w:val="clear" w:color="auto" w:fill="E7ECF0"/>
          </w:tcPr>
          <w:p>
            <w:pPr>
              <w:jc w:val="center"/>
              <w:ind w:left="8"/>
              <w:spacing w:after="0"/>
              <w:rPr>
                <w:sz w:val="20"/>
                <w:szCs w:val="20"/>
                <w:color w:val="auto"/>
              </w:rPr>
            </w:pPr>
            <w:r>
              <w:rPr>
                <w:rFonts w:ascii="Arial" w:cs="Arial" w:eastAsia="Arial" w:hAnsi="Arial"/>
                <w:sz w:val="14"/>
                <w:szCs w:val="14"/>
                <w:color w:val="auto"/>
                <w:w w:val="84"/>
              </w:rPr>
              <w:t>-</w:t>
            </w:r>
          </w:p>
        </w:tc>
        <w:tc>
          <w:tcPr>
            <w:tcW w:w="1260" w:type="dxa"/>
            <w:vAlign w:val="bottom"/>
            <w:tcBorders>
              <w:bottom w:val="single" w:sz="8" w:color="DBDBDB"/>
            </w:tcBorders>
            <w:shd w:val="clear" w:color="auto" w:fill="E7ECF0"/>
          </w:tcPr>
          <w:p>
            <w:pPr>
              <w:jc w:val="center"/>
              <w:spacing w:after="0"/>
              <w:rPr>
                <w:sz w:val="20"/>
                <w:szCs w:val="20"/>
                <w:color w:val="auto"/>
              </w:rPr>
            </w:pPr>
            <w:r>
              <w:rPr>
                <w:rFonts w:ascii="Arial" w:cs="Arial" w:eastAsia="Arial" w:hAnsi="Arial"/>
                <w:sz w:val="14"/>
                <w:szCs w:val="14"/>
                <w:color w:val="auto"/>
                <w:w w:val="84"/>
              </w:rPr>
              <w:t>-</w:t>
            </w:r>
          </w:p>
        </w:tc>
        <w:tc>
          <w:tcPr>
            <w:tcW w:w="1240" w:type="dxa"/>
            <w:vAlign w:val="bottom"/>
            <w:tcBorders>
              <w:bottom w:val="single" w:sz="8" w:color="DBDBDB"/>
            </w:tcBorders>
            <w:shd w:val="clear" w:color="auto" w:fill="E7ECF0"/>
          </w:tcPr>
          <w:p>
            <w:pPr>
              <w:jc w:val="right"/>
              <w:spacing w:after="0"/>
              <w:rPr>
                <w:sz w:val="20"/>
                <w:szCs w:val="20"/>
                <w:color w:val="auto"/>
              </w:rPr>
            </w:pPr>
            <w:r>
              <w:rPr>
                <w:rFonts w:ascii="Arial" w:cs="Arial" w:eastAsia="Arial" w:hAnsi="Arial"/>
                <w:sz w:val="14"/>
                <w:szCs w:val="14"/>
                <w:color w:val="auto"/>
              </w:rPr>
              <w:t>3,730</w:t>
            </w:r>
          </w:p>
        </w:tc>
        <w:tc>
          <w:tcPr>
            <w:tcW w:w="1180" w:type="dxa"/>
            <w:vAlign w:val="bottom"/>
            <w:tcBorders>
              <w:bottom w:val="single" w:sz="8" w:color="DBDBDB"/>
            </w:tcBorders>
            <w:gridSpan w:val="2"/>
            <w:shd w:val="clear" w:color="auto" w:fill="E7ECF0"/>
          </w:tcPr>
          <w:p>
            <w:pPr>
              <w:jc w:val="right"/>
              <w:spacing w:after="0"/>
              <w:rPr>
                <w:sz w:val="20"/>
                <w:szCs w:val="20"/>
                <w:color w:val="auto"/>
              </w:rPr>
            </w:pPr>
            <w:r>
              <w:rPr>
                <w:rFonts w:ascii="Arial" w:cs="Arial" w:eastAsia="Arial" w:hAnsi="Arial"/>
                <w:sz w:val="14"/>
                <w:szCs w:val="14"/>
                <w:color w:val="auto"/>
              </w:rPr>
              <w:t>619,255</w:t>
            </w:r>
          </w:p>
        </w:tc>
        <w:tc>
          <w:tcPr>
            <w:tcW w:w="0" w:type="dxa"/>
            <w:vAlign w:val="bottom"/>
          </w:tcPr>
          <w:p>
            <w:pPr>
              <w:spacing w:after="0"/>
              <w:rPr>
                <w:sz w:val="1"/>
                <w:szCs w:val="1"/>
                <w:color w:val="auto"/>
              </w:rPr>
            </w:pPr>
          </w:p>
        </w:tc>
      </w:tr>
      <w:tr>
        <w:trPr>
          <w:trHeight w:val="209"/>
        </w:trPr>
        <w:tc>
          <w:tcPr>
            <w:tcW w:w="1520" w:type="dxa"/>
            <w:vAlign w:val="bottom"/>
            <w:tcBorders>
              <w:bottom w:val="single" w:sz="8" w:color="E7ECF0"/>
            </w:tcBorders>
            <w:shd w:val="clear" w:color="auto" w:fill="E7ECF0"/>
          </w:tcPr>
          <w:p>
            <w:pPr>
              <w:spacing w:after="0"/>
              <w:rPr>
                <w:sz w:val="18"/>
                <w:szCs w:val="18"/>
                <w:color w:val="auto"/>
              </w:rPr>
            </w:pPr>
          </w:p>
        </w:tc>
        <w:tc>
          <w:tcPr>
            <w:tcW w:w="1000" w:type="dxa"/>
            <w:vAlign w:val="bottom"/>
            <w:tcBorders>
              <w:bottom w:val="single" w:sz="8" w:color="DBDBDB"/>
            </w:tcBorders>
            <w:shd w:val="clear" w:color="auto" w:fill="E7ECF0"/>
          </w:tcPr>
          <w:p>
            <w:pPr>
              <w:jc w:val="center"/>
              <w:spacing w:after="0"/>
              <w:rPr>
                <w:sz w:val="20"/>
                <w:szCs w:val="20"/>
                <w:color w:val="auto"/>
              </w:rPr>
            </w:pPr>
            <w:r>
              <w:rPr>
                <w:rFonts w:ascii="Arial" w:cs="Arial" w:eastAsia="Arial" w:hAnsi="Arial"/>
                <w:sz w:val="14"/>
                <w:szCs w:val="14"/>
                <w:color w:val="auto"/>
              </w:rPr>
              <w:t>8/4/2022</w:t>
            </w:r>
          </w:p>
        </w:tc>
        <w:tc>
          <w:tcPr>
            <w:tcW w:w="1240" w:type="dxa"/>
            <w:vAlign w:val="bottom"/>
            <w:tcBorders>
              <w:bottom w:val="single" w:sz="8" w:color="DBDBDB"/>
            </w:tcBorders>
            <w:shd w:val="clear" w:color="auto" w:fill="E7ECF0"/>
          </w:tcPr>
          <w:p>
            <w:pPr>
              <w:jc w:val="center"/>
              <w:spacing w:after="0"/>
              <w:rPr>
                <w:sz w:val="20"/>
                <w:szCs w:val="20"/>
                <w:color w:val="auto"/>
              </w:rPr>
            </w:pPr>
            <w:r>
              <w:rPr>
                <w:rFonts w:ascii="Arial" w:cs="Arial" w:eastAsia="Arial" w:hAnsi="Arial"/>
                <w:sz w:val="14"/>
                <w:szCs w:val="14"/>
                <w:color w:val="auto"/>
                <w:w w:val="84"/>
              </w:rPr>
              <w:t>-</w:t>
            </w:r>
          </w:p>
        </w:tc>
        <w:tc>
          <w:tcPr>
            <w:tcW w:w="1240" w:type="dxa"/>
            <w:vAlign w:val="bottom"/>
            <w:tcBorders>
              <w:bottom w:val="single" w:sz="8" w:color="DBDBDB"/>
            </w:tcBorders>
            <w:shd w:val="clear" w:color="auto" w:fill="E7ECF0"/>
          </w:tcPr>
          <w:p>
            <w:pPr>
              <w:jc w:val="center"/>
              <w:spacing w:after="0"/>
              <w:rPr>
                <w:sz w:val="20"/>
                <w:szCs w:val="20"/>
                <w:color w:val="auto"/>
              </w:rPr>
            </w:pPr>
            <w:r>
              <w:rPr>
                <w:rFonts w:ascii="Arial" w:cs="Arial" w:eastAsia="Arial" w:hAnsi="Arial"/>
                <w:sz w:val="14"/>
                <w:szCs w:val="14"/>
                <w:color w:val="auto"/>
                <w:w w:val="84"/>
              </w:rPr>
              <w:t>-</w:t>
            </w:r>
          </w:p>
        </w:tc>
        <w:tc>
          <w:tcPr>
            <w:tcW w:w="1240" w:type="dxa"/>
            <w:vAlign w:val="bottom"/>
            <w:tcBorders>
              <w:bottom w:val="single" w:sz="8" w:color="DBDBDB"/>
            </w:tcBorders>
            <w:shd w:val="clear" w:color="auto" w:fill="E7ECF0"/>
          </w:tcPr>
          <w:p>
            <w:pPr>
              <w:jc w:val="center"/>
              <w:spacing w:after="0"/>
              <w:rPr>
                <w:sz w:val="20"/>
                <w:szCs w:val="20"/>
                <w:color w:val="auto"/>
              </w:rPr>
            </w:pPr>
            <w:r>
              <w:rPr>
                <w:rFonts w:ascii="Arial" w:cs="Arial" w:eastAsia="Arial" w:hAnsi="Arial"/>
                <w:sz w:val="14"/>
                <w:szCs w:val="14"/>
                <w:color w:val="auto"/>
                <w:w w:val="84"/>
              </w:rPr>
              <w:t>-</w:t>
            </w:r>
          </w:p>
        </w:tc>
        <w:tc>
          <w:tcPr>
            <w:tcW w:w="1320" w:type="dxa"/>
            <w:vAlign w:val="bottom"/>
            <w:tcBorders>
              <w:bottom w:val="single" w:sz="8" w:color="DBDBDB"/>
            </w:tcBorders>
            <w:gridSpan w:val="2"/>
            <w:shd w:val="clear" w:color="auto" w:fill="E7ECF0"/>
          </w:tcPr>
          <w:p>
            <w:pPr>
              <w:jc w:val="right"/>
              <w:spacing w:after="0"/>
              <w:rPr>
                <w:sz w:val="20"/>
                <w:szCs w:val="20"/>
                <w:color w:val="auto"/>
              </w:rPr>
            </w:pPr>
            <w:r>
              <w:rPr>
                <w:rFonts w:ascii="Arial" w:cs="Arial" w:eastAsia="Arial" w:hAnsi="Arial"/>
                <w:sz w:val="14"/>
                <w:szCs w:val="14"/>
                <w:color w:val="auto"/>
              </w:rPr>
              <w:t>1,658</w:t>
            </w:r>
          </w:p>
        </w:tc>
        <w:tc>
          <w:tcPr>
            <w:tcW w:w="1260" w:type="dxa"/>
            <w:vAlign w:val="bottom"/>
            <w:tcBorders>
              <w:bottom w:val="single" w:sz="8" w:color="DBDBDB"/>
            </w:tcBorders>
            <w:shd w:val="clear" w:color="auto" w:fill="E7ECF0"/>
          </w:tcPr>
          <w:p>
            <w:pPr>
              <w:jc w:val="right"/>
              <w:spacing w:after="0"/>
              <w:rPr>
                <w:sz w:val="20"/>
                <w:szCs w:val="20"/>
                <w:color w:val="auto"/>
              </w:rPr>
            </w:pPr>
            <w:r>
              <w:rPr>
                <w:rFonts w:ascii="Arial" w:cs="Arial" w:eastAsia="Arial" w:hAnsi="Arial"/>
                <w:sz w:val="14"/>
                <w:szCs w:val="14"/>
                <w:color w:val="auto"/>
              </w:rPr>
              <w:t>275,261</w:t>
            </w:r>
          </w:p>
        </w:tc>
        <w:tc>
          <w:tcPr>
            <w:tcW w:w="1240" w:type="dxa"/>
            <w:vAlign w:val="bottom"/>
            <w:tcBorders>
              <w:bottom w:val="single" w:sz="8" w:color="DBDBDB"/>
            </w:tcBorders>
            <w:shd w:val="clear" w:color="auto" w:fill="E7ECF0"/>
          </w:tcPr>
          <w:p>
            <w:pPr>
              <w:jc w:val="center"/>
              <w:spacing w:after="0"/>
              <w:rPr>
                <w:sz w:val="20"/>
                <w:szCs w:val="20"/>
                <w:color w:val="auto"/>
              </w:rPr>
            </w:pPr>
            <w:r>
              <w:rPr>
                <w:rFonts w:ascii="Arial" w:cs="Arial" w:eastAsia="Arial" w:hAnsi="Arial"/>
                <w:sz w:val="14"/>
                <w:szCs w:val="14"/>
                <w:color w:val="auto"/>
                <w:w w:val="84"/>
              </w:rPr>
              <w:t>-</w:t>
            </w:r>
          </w:p>
        </w:tc>
        <w:tc>
          <w:tcPr>
            <w:tcW w:w="940" w:type="dxa"/>
            <w:vAlign w:val="bottom"/>
            <w:tcBorders>
              <w:bottom w:val="single" w:sz="8" w:color="DBDBDB"/>
            </w:tcBorders>
            <w:shd w:val="clear" w:color="auto" w:fill="E7ECF0"/>
          </w:tcPr>
          <w:p>
            <w:pPr>
              <w:jc w:val="center"/>
              <w:ind w:left="149"/>
              <w:spacing w:after="0"/>
              <w:rPr>
                <w:sz w:val="20"/>
                <w:szCs w:val="20"/>
                <w:color w:val="auto"/>
              </w:rPr>
            </w:pPr>
            <w:r>
              <w:rPr>
                <w:rFonts w:ascii="Arial" w:cs="Arial" w:eastAsia="Arial" w:hAnsi="Arial"/>
                <w:sz w:val="14"/>
                <w:szCs w:val="14"/>
                <w:color w:val="auto"/>
                <w:w w:val="84"/>
              </w:rPr>
              <w:t>-</w:t>
            </w:r>
          </w:p>
        </w:tc>
        <w:tc>
          <w:tcPr>
            <w:tcW w:w="240" w:type="dxa"/>
            <w:vAlign w:val="bottom"/>
            <w:tcBorders>
              <w:bottom w:val="single" w:sz="8" w:color="DBDBDB"/>
            </w:tcBorders>
            <w:shd w:val="clear" w:color="auto" w:fill="E7ECF0"/>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520" w:type="dxa"/>
            <w:vAlign w:val="bottom"/>
            <w:tcBorders>
              <w:bottom w:val="single" w:sz="8" w:color="E7ECF0"/>
            </w:tcBorders>
            <w:shd w:val="clear" w:color="auto" w:fill="E7ECF0"/>
          </w:tcPr>
          <w:p>
            <w:pPr>
              <w:spacing w:after="0"/>
              <w:rPr>
                <w:sz w:val="18"/>
                <w:szCs w:val="18"/>
                <w:color w:val="auto"/>
              </w:rPr>
            </w:pPr>
          </w:p>
        </w:tc>
        <w:tc>
          <w:tcPr>
            <w:tcW w:w="1000" w:type="dxa"/>
            <w:vAlign w:val="bottom"/>
            <w:tcBorders>
              <w:bottom w:val="single" w:sz="8" w:color="DBDBDB"/>
            </w:tcBorders>
            <w:shd w:val="clear" w:color="auto" w:fill="E7ECF0"/>
          </w:tcPr>
          <w:p>
            <w:pPr>
              <w:jc w:val="center"/>
              <w:spacing w:after="0"/>
              <w:rPr>
                <w:sz w:val="20"/>
                <w:szCs w:val="20"/>
                <w:color w:val="auto"/>
              </w:rPr>
            </w:pPr>
            <w:r>
              <w:rPr>
                <w:rFonts w:ascii="Arial" w:cs="Arial" w:eastAsia="Arial" w:hAnsi="Arial"/>
                <w:sz w:val="14"/>
                <w:szCs w:val="14"/>
                <w:color w:val="auto"/>
              </w:rPr>
              <w:t>8/4/2023</w:t>
            </w:r>
          </w:p>
        </w:tc>
        <w:tc>
          <w:tcPr>
            <w:tcW w:w="1240" w:type="dxa"/>
            <w:vAlign w:val="bottom"/>
            <w:tcBorders>
              <w:bottom w:val="single" w:sz="8" w:color="DBDBDB"/>
            </w:tcBorders>
            <w:shd w:val="clear" w:color="auto" w:fill="E7ECF0"/>
          </w:tcPr>
          <w:p>
            <w:pPr>
              <w:jc w:val="center"/>
              <w:spacing w:after="0"/>
              <w:rPr>
                <w:sz w:val="20"/>
                <w:szCs w:val="20"/>
                <w:color w:val="auto"/>
              </w:rPr>
            </w:pPr>
            <w:r>
              <w:rPr>
                <w:rFonts w:ascii="Arial" w:cs="Arial" w:eastAsia="Arial" w:hAnsi="Arial"/>
                <w:sz w:val="14"/>
                <w:szCs w:val="14"/>
                <w:color w:val="auto"/>
                <w:w w:val="84"/>
              </w:rPr>
              <w:t>-</w:t>
            </w:r>
          </w:p>
        </w:tc>
        <w:tc>
          <w:tcPr>
            <w:tcW w:w="1240" w:type="dxa"/>
            <w:vAlign w:val="bottom"/>
            <w:tcBorders>
              <w:bottom w:val="single" w:sz="8" w:color="DBDBDB"/>
            </w:tcBorders>
            <w:shd w:val="clear" w:color="auto" w:fill="E7ECF0"/>
          </w:tcPr>
          <w:p>
            <w:pPr>
              <w:jc w:val="center"/>
              <w:spacing w:after="0"/>
              <w:rPr>
                <w:sz w:val="20"/>
                <w:szCs w:val="20"/>
                <w:color w:val="auto"/>
              </w:rPr>
            </w:pPr>
            <w:r>
              <w:rPr>
                <w:rFonts w:ascii="Arial" w:cs="Arial" w:eastAsia="Arial" w:hAnsi="Arial"/>
                <w:sz w:val="14"/>
                <w:szCs w:val="14"/>
                <w:color w:val="auto"/>
                <w:w w:val="84"/>
              </w:rPr>
              <w:t>-</w:t>
            </w:r>
          </w:p>
        </w:tc>
        <w:tc>
          <w:tcPr>
            <w:tcW w:w="1240" w:type="dxa"/>
            <w:vAlign w:val="bottom"/>
            <w:tcBorders>
              <w:bottom w:val="single" w:sz="8" w:color="DBDBDB"/>
            </w:tcBorders>
            <w:shd w:val="clear" w:color="auto" w:fill="E7ECF0"/>
          </w:tcPr>
          <w:p>
            <w:pPr>
              <w:jc w:val="center"/>
              <w:spacing w:after="0"/>
              <w:rPr>
                <w:sz w:val="20"/>
                <w:szCs w:val="20"/>
                <w:color w:val="auto"/>
              </w:rPr>
            </w:pPr>
            <w:r>
              <w:rPr>
                <w:rFonts w:ascii="Arial" w:cs="Arial" w:eastAsia="Arial" w:hAnsi="Arial"/>
                <w:sz w:val="14"/>
                <w:szCs w:val="14"/>
                <w:color w:val="auto"/>
                <w:w w:val="84"/>
              </w:rPr>
              <w:t>-</w:t>
            </w:r>
          </w:p>
        </w:tc>
        <w:tc>
          <w:tcPr>
            <w:tcW w:w="80" w:type="dxa"/>
            <w:vAlign w:val="bottom"/>
            <w:tcBorders>
              <w:bottom w:val="single" w:sz="8" w:color="DBDBDB"/>
            </w:tcBorders>
            <w:shd w:val="clear" w:color="auto" w:fill="E7ECF0"/>
          </w:tcPr>
          <w:p>
            <w:pPr>
              <w:spacing w:after="0"/>
              <w:rPr>
                <w:sz w:val="18"/>
                <w:szCs w:val="18"/>
                <w:color w:val="auto"/>
              </w:rPr>
            </w:pPr>
          </w:p>
        </w:tc>
        <w:tc>
          <w:tcPr>
            <w:tcW w:w="1240" w:type="dxa"/>
            <w:vAlign w:val="bottom"/>
            <w:tcBorders>
              <w:bottom w:val="single" w:sz="8" w:color="DBDBDB"/>
            </w:tcBorders>
            <w:shd w:val="clear" w:color="auto" w:fill="E7ECF0"/>
          </w:tcPr>
          <w:p>
            <w:pPr>
              <w:jc w:val="center"/>
              <w:spacing w:after="0"/>
              <w:rPr>
                <w:sz w:val="20"/>
                <w:szCs w:val="20"/>
                <w:color w:val="auto"/>
              </w:rPr>
            </w:pPr>
            <w:r>
              <w:rPr>
                <w:rFonts w:ascii="Arial" w:cs="Arial" w:eastAsia="Arial" w:hAnsi="Arial"/>
                <w:sz w:val="14"/>
                <w:szCs w:val="14"/>
                <w:color w:val="auto"/>
                <w:w w:val="84"/>
              </w:rPr>
              <w:t>-</w:t>
            </w:r>
          </w:p>
        </w:tc>
        <w:tc>
          <w:tcPr>
            <w:tcW w:w="1260" w:type="dxa"/>
            <w:vAlign w:val="bottom"/>
            <w:tcBorders>
              <w:bottom w:val="single" w:sz="8" w:color="DBDBDB"/>
            </w:tcBorders>
            <w:shd w:val="clear" w:color="auto" w:fill="E7ECF0"/>
          </w:tcPr>
          <w:p>
            <w:pPr>
              <w:jc w:val="center"/>
              <w:spacing w:after="0"/>
              <w:rPr>
                <w:sz w:val="20"/>
                <w:szCs w:val="20"/>
                <w:color w:val="auto"/>
              </w:rPr>
            </w:pPr>
            <w:r>
              <w:rPr>
                <w:rFonts w:ascii="Arial" w:cs="Arial" w:eastAsia="Arial" w:hAnsi="Arial"/>
                <w:sz w:val="14"/>
                <w:szCs w:val="14"/>
                <w:color w:val="auto"/>
                <w:w w:val="84"/>
              </w:rPr>
              <w:t>-</w:t>
            </w:r>
          </w:p>
        </w:tc>
        <w:tc>
          <w:tcPr>
            <w:tcW w:w="1240" w:type="dxa"/>
            <w:vAlign w:val="bottom"/>
            <w:tcBorders>
              <w:bottom w:val="single" w:sz="8" w:color="DBDBDB"/>
            </w:tcBorders>
            <w:shd w:val="clear" w:color="auto" w:fill="E7ECF0"/>
          </w:tcPr>
          <w:p>
            <w:pPr>
              <w:jc w:val="right"/>
              <w:spacing w:after="0"/>
              <w:rPr>
                <w:sz w:val="20"/>
                <w:szCs w:val="20"/>
                <w:color w:val="auto"/>
              </w:rPr>
            </w:pPr>
            <w:r>
              <w:rPr>
                <w:rFonts w:ascii="Arial" w:cs="Arial" w:eastAsia="Arial" w:hAnsi="Arial"/>
                <w:sz w:val="14"/>
                <w:szCs w:val="14"/>
                <w:color w:val="auto"/>
              </w:rPr>
              <w:t>6,550</w:t>
            </w:r>
          </w:p>
        </w:tc>
        <w:tc>
          <w:tcPr>
            <w:tcW w:w="1180" w:type="dxa"/>
            <w:vAlign w:val="bottom"/>
            <w:tcBorders>
              <w:bottom w:val="single" w:sz="8" w:color="DBDBDB"/>
            </w:tcBorders>
            <w:gridSpan w:val="2"/>
            <w:shd w:val="clear" w:color="auto" w:fill="E7ECF0"/>
          </w:tcPr>
          <w:p>
            <w:pPr>
              <w:jc w:val="right"/>
              <w:spacing w:after="0"/>
              <w:rPr>
                <w:sz w:val="20"/>
                <w:szCs w:val="20"/>
                <w:color w:val="auto"/>
              </w:rPr>
            </w:pPr>
            <w:r>
              <w:rPr>
                <w:rFonts w:ascii="Arial" w:cs="Arial" w:eastAsia="Arial" w:hAnsi="Arial"/>
                <w:sz w:val="14"/>
                <w:szCs w:val="14"/>
                <w:color w:val="auto"/>
              </w:rPr>
              <w:t>1,087,431</w:t>
            </w:r>
          </w:p>
        </w:tc>
        <w:tc>
          <w:tcPr>
            <w:tcW w:w="0" w:type="dxa"/>
            <w:vAlign w:val="bottom"/>
          </w:tcPr>
          <w:p>
            <w:pPr>
              <w:spacing w:after="0"/>
              <w:rPr>
                <w:sz w:val="1"/>
                <w:szCs w:val="1"/>
                <w:color w:val="auto"/>
              </w:rPr>
            </w:pPr>
          </w:p>
        </w:tc>
      </w:tr>
      <w:tr>
        <w:trPr>
          <w:trHeight w:val="209"/>
        </w:trPr>
        <w:tc>
          <w:tcPr>
            <w:tcW w:w="1520" w:type="dxa"/>
            <w:vAlign w:val="bottom"/>
            <w:tcBorders>
              <w:bottom w:val="single" w:sz="8" w:color="DBDBDB"/>
            </w:tcBorders>
            <w:shd w:val="clear" w:color="auto" w:fill="E7ECF0"/>
          </w:tcPr>
          <w:p>
            <w:pPr>
              <w:spacing w:after="0"/>
              <w:rPr>
                <w:sz w:val="18"/>
                <w:szCs w:val="18"/>
                <w:color w:val="auto"/>
              </w:rPr>
            </w:pPr>
          </w:p>
        </w:tc>
        <w:tc>
          <w:tcPr>
            <w:tcW w:w="1000" w:type="dxa"/>
            <w:vAlign w:val="bottom"/>
            <w:tcBorders>
              <w:bottom w:val="single" w:sz="8" w:color="DBDBDB"/>
            </w:tcBorders>
            <w:shd w:val="clear" w:color="auto" w:fill="E7ECF0"/>
          </w:tcPr>
          <w:p>
            <w:pPr>
              <w:jc w:val="center"/>
              <w:spacing w:after="0"/>
              <w:rPr>
                <w:sz w:val="20"/>
                <w:szCs w:val="20"/>
                <w:color w:val="auto"/>
              </w:rPr>
            </w:pPr>
            <w:r>
              <w:rPr>
                <w:rFonts w:ascii="Arial" w:cs="Arial" w:eastAsia="Arial" w:hAnsi="Arial"/>
                <w:sz w:val="14"/>
                <w:szCs w:val="14"/>
                <w:color w:val="auto"/>
              </w:rPr>
              <w:t>8/4/2023</w:t>
            </w:r>
          </w:p>
        </w:tc>
        <w:tc>
          <w:tcPr>
            <w:tcW w:w="1240" w:type="dxa"/>
            <w:vAlign w:val="bottom"/>
            <w:tcBorders>
              <w:bottom w:val="single" w:sz="8" w:color="DBDBDB"/>
            </w:tcBorders>
            <w:shd w:val="clear" w:color="auto" w:fill="E7ECF0"/>
          </w:tcPr>
          <w:p>
            <w:pPr>
              <w:jc w:val="center"/>
              <w:spacing w:after="0"/>
              <w:rPr>
                <w:sz w:val="20"/>
                <w:szCs w:val="20"/>
                <w:color w:val="auto"/>
              </w:rPr>
            </w:pPr>
            <w:r>
              <w:rPr>
                <w:rFonts w:ascii="Arial" w:cs="Arial" w:eastAsia="Arial" w:hAnsi="Arial"/>
                <w:sz w:val="14"/>
                <w:szCs w:val="14"/>
                <w:color w:val="auto"/>
                <w:w w:val="84"/>
              </w:rPr>
              <w:t>-</w:t>
            </w:r>
          </w:p>
        </w:tc>
        <w:tc>
          <w:tcPr>
            <w:tcW w:w="1240" w:type="dxa"/>
            <w:vAlign w:val="bottom"/>
            <w:tcBorders>
              <w:bottom w:val="single" w:sz="8" w:color="DBDBDB"/>
            </w:tcBorders>
            <w:shd w:val="clear" w:color="auto" w:fill="E7ECF0"/>
          </w:tcPr>
          <w:p>
            <w:pPr>
              <w:jc w:val="center"/>
              <w:spacing w:after="0"/>
              <w:rPr>
                <w:sz w:val="20"/>
                <w:szCs w:val="20"/>
                <w:color w:val="auto"/>
              </w:rPr>
            </w:pPr>
            <w:r>
              <w:rPr>
                <w:rFonts w:ascii="Arial" w:cs="Arial" w:eastAsia="Arial" w:hAnsi="Arial"/>
                <w:sz w:val="14"/>
                <w:szCs w:val="14"/>
                <w:color w:val="auto"/>
                <w:w w:val="84"/>
              </w:rPr>
              <w:t>-</w:t>
            </w:r>
          </w:p>
        </w:tc>
        <w:tc>
          <w:tcPr>
            <w:tcW w:w="1240" w:type="dxa"/>
            <w:vAlign w:val="bottom"/>
            <w:tcBorders>
              <w:bottom w:val="single" w:sz="8" w:color="DBDBDB"/>
            </w:tcBorders>
            <w:shd w:val="clear" w:color="auto" w:fill="E7ECF0"/>
          </w:tcPr>
          <w:p>
            <w:pPr>
              <w:jc w:val="center"/>
              <w:spacing w:after="0"/>
              <w:rPr>
                <w:sz w:val="20"/>
                <w:szCs w:val="20"/>
                <w:color w:val="auto"/>
              </w:rPr>
            </w:pPr>
            <w:r>
              <w:rPr>
                <w:rFonts w:ascii="Arial" w:cs="Arial" w:eastAsia="Arial" w:hAnsi="Arial"/>
                <w:sz w:val="14"/>
                <w:szCs w:val="14"/>
                <w:color w:val="auto"/>
                <w:w w:val="84"/>
              </w:rPr>
              <w:t>-</w:t>
            </w:r>
          </w:p>
        </w:tc>
        <w:tc>
          <w:tcPr>
            <w:tcW w:w="80" w:type="dxa"/>
            <w:vAlign w:val="bottom"/>
            <w:tcBorders>
              <w:bottom w:val="single" w:sz="8" w:color="DBDBDB"/>
            </w:tcBorders>
            <w:shd w:val="clear" w:color="auto" w:fill="E7ECF0"/>
          </w:tcPr>
          <w:p>
            <w:pPr>
              <w:spacing w:after="0"/>
              <w:rPr>
                <w:sz w:val="18"/>
                <w:szCs w:val="18"/>
                <w:color w:val="auto"/>
              </w:rPr>
            </w:pPr>
          </w:p>
        </w:tc>
        <w:tc>
          <w:tcPr>
            <w:tcW w:w="1240" w:type="dxa"/>
            <w:vAlign w:val="bottom"/>
            <w:tcBorders>
              <w:bottom w:val="single" w:sz="8" w:color="DBDBDB"/>
            </w:tcBorders>
            <w:shd w:val="clear" w:color="auto" w:fill="E7ECF0"/>
          </w:tcPr>
          <w:p>
            <w:pPr>
              <w:jc w:val="right"/>
              <w:spacing w:after="0"/>
              <w:rPr>
                <w:sz w:val="20"/>
                <w:szCs w:val="20"/>
                <w:color w:val="auto"/>
              </w:rPr>
            </w:pPr>
            <w:r>
              <w:rPr>
                <w:rFonts w:ascii="Arial" w:cs="Arial" w:eastAsia="Arial" w:hAnsi="Arial"/>
                <w:sz w:val="14"/>
                <w:szCs w:val="14"/>
                <w:color w:val="auto"/>
              </w:rPr>
              <w:t>4,367</w:t>
            </w:r>
          </w:p>
        </w:tc>
        <w:tc>
          <w:tcPr>
            <w:tcW w:w="1260" w:type="dxa"/>
            <w:vAlign w:val="bottom"/>
            <w:tcBorders>
              <w:bottom w:val="single" w:sz="8" w:color="DBDBDB"/>
            </w:tcBorders>
            <w:shd w:val="clear" w:color="auto" w:fill="E7ECF0"/>
          </w:tcPr>
          <w:p>
            <w:pPr>
              <w:jc w:val="right"/>
              <w:spacing w:after="0"/>
              <w:rPr>
                <w:sz w:val="20"/>
                <w:szCs w:val="20"/>
                <w:color w:val="auto"/>
              </w:rPr>
            </w:pPr>
            <w:r>
              <w:rPr>
                <w:rFonts w:ascii="Arial" w:cs="Arial" w:eastAsia="Arial" w:hAnsi="Arial"/>
                <w:sz w:val="14"/>
                <w:szCs w:val="14"/>
                <w:color w:val="auto"/>
              </w:rPr>
              <w:t>725,009</w:t>
            </w:r>
          </w:p>
        </w:tc>
        <w:tc>
          <w:tcPr>
            <w:tcW w:w="1240" w:type="dxa"/>
            <w:vAlign w:val="bottom"/>
            <w:tcBorders>
              <w:bottom w:val="single" w:sz="8" w:color="DBDBDB"/>
            </w:tcBorders>
            <w:shd w:val="clear" w:color="auto" w:fill="E7ECF0"/>
          </w:tcPr>
          <w:p>
            <w:pPr>
              <w:jc w:val="center"/>
              <w:spacing w:after="0"/>
              <w:rPr>
                <w:sz w:val="20"/>
                <w:szCs w:val="20"/>
                <w:color w:val="auto"/>
              </w:rPr>
            </w:pPr>
            <w:r>
              <w:rPr>
                <w:rFonts w:ascii="Arial" w:cs="Arial" w:eastAsia="Arial" w:hAnsi="Arial"/>
                <w:sz w:val="14"/>
                <w:szCs w:val="14"/>
                <w:color w:val="auto"/>
                <w:w w:val="84"/>
              </w:rPr>
              <w:t>-</w:t>
            </w:r>
          </w:p>
        </w:tc>
        <w:tc>
          <w:tcPr>
            <w:tcW w:w="940" w:type="dxa"/>
            <w:vAlign w:val="bottom"/>
            <w:tcBorders>
              <w:bottom w:val="single" w:sz="8" w:color="DBDBDB"/>
            </w:tcBorders>
            <w:shd w:val="clear" w:color="auto" w:fill="E7ECF0"/>
          </w:tcPr>
          <w:p>
            <w:pPr>
              <w:jc w:val="center"/>
              <w:ind w:left="149"/>
              <w:spacing w:after="0"/>
              <w:rPr>
                <w:sz w:val="20"/>
                <w:szCs w:val="20"/>
                <w:color w:val="auto"/>
              </w:rPr>
            </w:pPr>
            <w:r>
              <w:rPr>
                <w:rFonts w:ascii="Arial" w:cs="Arial" w:eastAsia="Arial" w:hAnsi="Arial"/>
                <w:sz w:val="14"/>
                <w:szCs w:val="14"/>
                <w:color w:val="auto"/>
                <w:w w:val="84"/>
              </w:rPr>
              <w:t>-</w:t>
            </w:r>
          </w:p>
        </w:tc>
        <w:tc>
          <w:tcPr>
            <w:tcW w:w="240" w:type="dxa"/>
            <w:vAlign w:val="bottom"/>
            <w:tcBorders>
              <w:bottom w:val="single" w:sz="8" w:color="DBDBDB"/>
            </w:tcBorders>
            <w:shd w:val="clear" w:color="auto" w:fill="E7ECF0"/>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520" w:type="dxa"/>
            <w:vAlign w:val="bottom"/>
          </w:tcPr>
          <w:p>
            <w:pPr>
              <w:ind w:left="20"/>
              <w:spacing w:after="0"/>
              <w:rPr>
                <w:sz w:val="20"/>
                <w:szCs w:val="20"/>
                <w:color w:val="auto"/>
              </w:rPr>
            </w:pPr>
            <w:r>
              <w:rPr>
                <w:rFonts w:ascii="Arial" w:cs="Arial" w:eastAsia="Arial" w:hAnsi="Arial"/>
                <w:sz w:val="14"/>
                <w:szCs w:val="14"/>
                <w:color w:val="auto"/>
              </w:rPr>
              <w:t>Mimi L. Carsley</w:t>
            </w:r>
          </w:p>
        </w:tc>
        <w:tc>
          <w:tcPr>
            <w:tcW w:w="1000" w:type="dxa"/>
            <w:vAlign w:val="bottom"/>
            <w:tcBorders>
              <w:bottom w:val="single" w:sz="8" w:color="DBDBDB"/>
            </w:tcBorders>
          </w:tcPr>
          <w:p>
            <w:pPr>
              <w:jc w:val="center"/>
              <w:spacing w:after="0"/>
              <w:rPr>
                <w:sz w:val="20"/>
                <w:szCs w:val="20"/>
                <w:color w:val="auto"/>
              </w:rPr>
            </w:pPr>
            <w:r>
              <w:rPr>
                <w:rFonts w:ascii="Arial" w:cs="Arial" w:eastAsia="Arial" w:hAnsi="Arial"/>
                <w:sz w:val="14"/>
                <w:szCs w:val="14"/>
                <w:color w:val="auto"/>
              </w:rPr>
              <w:t>7/17/2022</w:t>
            </w:r>
          </w:p>
        </w:tc>
        <w:tc>
          <w:tcPr>
            <w:tcW w:w="1240" w:type="dxa"/>
            <w:vAlign w:val="bottom"/>
            <w:tcBorders>
              <w:bottom w:val="single" w:sz="8" w:color="DBDBDB"/>
            </w:tcBorders>
          </w:tcPr>
          <w:p>
            <w:pPr>
              <w:jc w:val="center"/>
              <w:spacing w:after="0"/>
              <w:rPr>
                <w:sz w:val="20"/>
                <w:szCs w:val="20"/>
                <w:color w:val="auto"/>
              </w:rPr>
            </w:pPr>
            <w:r>
              <w:rPr>
                <w:rFonts w:ascii="Arial" w:cs="Arial" w:eastAsia="Arial" w:hAnsi="Arial"/>
                <w:sz w:val="14"/>
                <w:szCs w:val="14"/>
                <w:color w:val="auto"/>
                <w:w w:val="84"/>
              </w:rPr>
              <w:t>-</w:t>
            </w:r>
          </w:p>
        </w:tc>
        <w:tc>
          <w:tcPr>
            <w:tcW w:w="1240" w:type="dxa"/>
            <w:vAlign w:val="bottom"/>
            <w:tcBorders>
              <w:bottom w:val="single" w:sz="8" w:color="DBDBDB"/>
            </w:tcBorders>
          </w:tcPr>
          <w:p>
            <w:pPr>
              <w:jc w:val="center"/>
              <w:spacing w:after="0"/>
              <w:rPr>
                <w:sz w:val="20"/>
                <w:szCs w:val="20"/>
                <w:color w:val="auto"/>
              </w:rPr>
            </w:pPr>
            <w:r>
              <w:rPr>
                <w:rFonts w:ascii="Arial" w:cs="Arial" w:eastAsia="Arial" w:hAnsi="Arial"/>
                <w:sz w:val="14"/>
                <w:szCs w:val="14"/>
                <w:color w:val="auto"/>
                <w:w w:val="84"/>
              </w:rPr>
              <w:t>-</w:t>
            </w:r>
          </w:p>
        </w:tc>
        <w:tc>
          <w:tcPr>
            <w:tcW w:w="1240" w:type="dxa"/>
            <w:vAlign w:val="bottom"/>
            <w:tcBorders>
              <w:bottom w:val="single" w:sz="8" w:color="DBDBDB"/>
            </w:tcBorders>
          </w:tcPr>
          <w:p>
            <w:pPr>
              <w:jc w:val="center"/>
              <w:spacing w:after="0"/>
              <w:rPr>
                <w:sz w:val="20"/>
                <w:szCs w:val="20"/>
                <w:color w:val="auto"/>
              </w:rPr>
            </w:pPr>
            <w:r>
              <w:rPr>
                <w:rFonts w:ascii="Arial" w:cs="Arial" w:eastAsia="Arial" w:hAnsi="Arial"/>
                <w:sz w:val="14"/>
                <w:szCs w:val="14"/>
                <w:color w:val="auto"/>
                <w:w w:val="84"/>
              </w:rPr>
              <w:t>-</w:t>
            </w:r>
          </w:p>
        </w:tc>
        <w:tc>
          <w:tcPr>
            <w:tcW w:w="1320" w:type="dxa"/>
            <w:vAlign w:val="bottom"/>
            <w:tcBorders>
              <w:bottom w:val="single" w:sz="8" w:color="DBDBDB"/>
            </w:tcBorders>
            <w:gridSpan w:val="2"/>
          </w:tcPr>
          <w:p>
            <w:pPr>
              <w:jc w:val="right"/>
              <w:spacing w:after="0"/>
              <w:rPr>
                <w:sz w:val="20"/>
                <w:szCs w:val="20"/>
                <w:color w:val="auto"/>
              </w:rPr>
            </w:pPr>
            <w:r>
              <w:rPr>
                <w:rFonts w:ascii="Arial" w:cs="Arial" w:eastAsia="Arial" w:hAnsi="Arial"/>
                <w:sz w:val="14"/>
                <w:szCs w:val="14"/>
                <w:color w:val="auto"/>
              </w:rPr>
              <w:t>1,052</w:t>
            </w:r>
          </w:p>
        </w:tc>
        <w:tc>
          <w:tcPr>
            <w:tcW w:w="126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174,653</w:t>
            </w:r>
          </w:p>
        </w:tc>
        <w:tc>
          <w:tcPr>
            <w:tcW w:w="1240" w:type="dxa"/>
            <w:vAlign w:val="bottom"/>
            <w:tcBorders>
              <w:bottom w:val="single" w:sz="8" w:color="DBDBDB"/>
            </w:tcBorders>
          </w:tcPr>
          <w:p>
            <w:pPr>
              <w:jc w:val="center"/>
              <w:spacing w:after="0"/>
              <w:rPr>
                <w:sz w:val="20"/>
                <w:szCs w:val="20"/>
                <w:color w:val="auto"/>
              </w:rPr>
            </w:pPr>
            <w:r>
              <w:rPr>
                <w:rFonts w:ascii="Arial" w:cs="Arial" w:eastAsia="Arial" w:hAnsi="Arial"/>
                <w:sz w:val="14"/>
                <w:szCs w:val="14"/>
                <w:color w:val="auto"/>
                <w:w w:val="84"/>
              </w:rPr>
              <w:t>-</w:t>
            </w:r>
          </w:p>
        </w:tc>
        <w:tc>
          <w:tcPr>
            <w:tcW w:w="940" w:type="dxa"/>
            <w:vAlign w:val="bottom"/>
            <w:tcBorders>
              <w:bottom w:val="single" w:sz="8" w:color="DBDBDB"/>
            </w:tcBorders>
          </w:tcPr>
          <w:p>
            <w:pPr>
              <w:jc w:val="center"/>
              <w:ind w:left="149"/>
              <w:spacing w:after="0"/>
              <w:rPr>
                <w:sz w:val="20"/>
                <w:szCs w:val="20"/>
                <w:color w:val="auto"/>
              </w:rPr>
            </w:pPr>
            <w:r>
              <w:rPr>
                <w:rFonts w:ascii="Arial" w:cs="Arial" w:eastAsia="Arial" w:hAnsi="Arial"/>
                <w:sz w:val="14"/>
                <w:szCs w:val="14"/>
                <w:color w:val="auto"/>
                <w:w w:val="84"/>
              </w:rPr>
              <w:t>-</w:t>
            </w:r>
          </w:p>
        </w:tc>
        <w:tc>
          <w:tcPr>
            <w:tcW w:w="240" w:type="dxa"/>
            <w:vAlign w:val="bottom"/>
            <w:tcBorders>
              <w:bottom w:val="single" w:sz="8" w:color="DBDBDB"/>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520" w:type="dxa"/>
            <w:vAlign w:val="bottom"/>
          </w:tcPr>
          <w:p>
            <w:pPr>
              <w:spacing w:after="0"/>
              <w:rPr>
                <w:sz w:val="18"/>
                <w:szCs w:val="18"/>
                <w:color w:val="auto"/>
              </w:rPr>
            </w:pPr>
          </w:p>
        </w:tc>
        <w:tc>
          <w:tcPr>
            <w:tcW w:w="1000" w:type="dxa"/>
            <w:vAlign w:val="bottom"/>
            <w:tcBorders>
              <w:bottom w:val="single" w:sz="8" w:color="DBDBDB"/>
            </w:tcBorders>
          </w:tcPr>
          <w:p>
            <w:pPr>
              <w:jc w:val="center"/>
              <w:spacing w:after="0"/>
              <w:rPr>
                <w:sz w:val="20"/>
                <w:szCs w:val="20"/>
                <w:color w:val="auto"/>
              </w:rPr>
            </w:pPr>
            <w:r>
              <w:rPr>
                <w:rFonts w:ascii="Arial" w:cs="Arial" w:eastAsia="Arial" w:hAnsi="Arial"/>
                <w:sz w:val="14"/>
                <w:szCs w:val="14"/>
                <w:color w:val="auto"/>
              </w:rPr>
              <w:t>8/4/2022</w:t>
            </w:r>
          </w:p>
        </w:tc>
        <w:tc>
          <w:tcPr>
            <w:tcW w:w="1240" w:type="dxa"/>
            <w:vAlign w:val="bottom"/>
            <w:tcBorders>
              <w:bottom w:val="single" w:sz="8" w:color="DBDBDB"/>
            </w:tcBorders>
          </w:tcPr>
          <w:p>
            <w:pPr>
              <w:jc w:val="center"/>
              <w:spacing w:after="0"/>
              <w:rPr>
                <w:sz w:val="20"/>
                <w:szCs w:val="20"/>
                <w:color w:val="auto"/>
              </w:rPr>
            </w:pPr>
            <w:r>
              <w:rPr>
                <w:rFonts w:ascii="Arial" w:cs="Arial" w:eastAsia="Arial" w:hAnsi="Arial"/>
                <w:sz w:val="14"/>
                <w:szCs w:val="14"/>
                <w:color w:val="auto"/>
                <w:w w:val="84"/>
              </w:rPr>
              <w:t>-</w:t>
            </w:r>
          </w:p>
        </w:tc>
        <w:tc>
          <w:tcPr>
            <w:tcW w:w="1240" w:type="dxa"/>
            <w:vAlign w:val="bottom"/>
            <w:tcBorders>
              <w:bottom w:val="single" w:sz="8" w:color="DBDBDB"/>
            </w:tcBorders>
          </w:tcPr>
          <w:p>
            <w:pPr>
              <w:jc w:val="center"/>
              <w:spacing w:after="0"/>
              <w:rPr>
                <w:sz w:val="20"/>
                <w:szCs w:val="20"/>
                <w:color w:val="auto"/>
              </w:rPr>
            </w:pPr>
            <w:r>
              <w:rPr>
                <w:rFonts w:ascii="Arial" w:cs="Arial" w:eastAsia="Arial" w:hAnsi="Arial"/>
                <w:sz w:val="14"/>
                <w:szCs w:val="14"/>
                <w:color w:val="auto"/>
                <w:w w:val="84"/>
              </w:rPr>
              <w:t>-</w:t>
            </w:r>
          </w:p>
        </w:tc>
        <w:tc>
          <w:tcPr>
            <w:tcW w:w="1240" w:type="dxa"/>
            <w:vAlign w:val="bottom"/>
            <w:tcBorders>
              <w:bottom w:val="single" w:sz="8" w:color="DBDBDB"/>
            </w:tcBorders>
          </w:tcPr>
          <w:p>
            <w:pPr>
              <w:jc w:val="center"/>
              <w:spacing w:after="0"/>
              <w:rPr>
                <w:sz w:val="20"/>
                <w:szCs w:val="20"/>
                <w:color w:val="auto"/>
              </w:rPr>
            </w:pPr>
            <w:r>
              <w:rPr>
                <w:rFonts w:ascii="Arial" w:cs="Arial" w:eastAsia="Arial" w:hAnsi="Arial"/>
                <w:sz w:val="14"/>
                <w:szCs w:val="14"/>
                <w:color w:val="auto"/>
                <w:w w:val="84"/>
              </w:rPr>
              <w:t>-</w:t>
            </w:r>
          </w:p>
        </w:tc>
        <w:tc>
          <w:tcPr>
            <w:tcW w:w="1320" w:type="dxa"/>
            <w:vAlign w:val="bottom"/>
            <w:tcBorders>
              <w:bottom w:val="single" w:sz="8" w:color="DBDBDB"/>
            </w:tcBorders>
            <w:gridSpan w:val="2"/>
          </w:tcPr>
          <w:p>
            <w:pPr>
              <w:jc w:val="center"/>
              <w:ind w:left="8"/>
              <w:spacing w:after="0"/>
              <w:rPr>
                <w:sz w:val="20"/>
                <w:szCs w:val="20"/>
                <w:color w:val="auto"/>
              </w:rPr>
            </w:pPr>
            <w:r>
              <w:rPr>
                <w:rFonts w:ascii="Arial" w:cs="Arial" w:eastAsia="Arial" w:hAnsi="Arial"/>
                <w:sz w:val="14"/>
                <w:szCs w:val="14"/>
                <w:color w:val="auto"/>
                <w:w w:val="84"/>
              </w:rPr>
              <w:t>-</w:t>
            </w:r>
          </w:p>
        </w:tc>
        <w:tc>
          <w:tcPr>
            <w:tcW w:w="1260" w:type="dxa"/>
            <w:vAlign w:val="bottom"/>
            <w:tcBorders>
              <w:bottom w:val="single" w:sz="8" w:color="DBDBDB"/>
            </w:tcBorders>
          </w:tcPr>
          <w:p>
            <w:pPr>
              <w:jc w:val="center"/>
              <w:spacing w:after="0"/>
              <w:rPr>
                <w:sz w:val="20"/>
                <w:szCs w:val="20"/>
                <w:color w:val="auto"/>
              </w:rPr>
            </w:pPr>
            <w:r>
              <w:rPr>
                <w:rFonts w:ascii="Arial" w:cs="Arial" w:eastAsia="Arial" w:hAnsi="Arial"/>
                <w:sz w:val="14"/>
                <w:szCs w:val="14"/>
                <w:color w:val="auto"/>
                <w:w w:val="84"/>
              </w:rPr>
              <w:t>-</w:t>
            </w:r>
          </w:p>
        </w:tc>
        <w:tc>
          <w:tcPr>
            <w:tcW w:w="124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2,739</w:t>
            </w:r>
          </w:p>
        </w:tc>
        <w:tc>
          <w:tcPr>
            <w:tcW w:w="1180" w:type="dxa"/>
            <w:vAlign w:val="bottom"/>
            <w:tcBorders>
              <w:bottom w:val="single" w:sz="8" w:color="DBDBDB"/>
            </w:tcBorders>
            <w:gridSpan w:val="2"/>
          </w:tcPr>
          <w:p>
            <w:pPr>
              <w:jc w:val="right"/>
              <w:spacing w:after="0"/>
              <w:rPr>
                <w:sz w:val="20"/>
                <w:szCs w:val="20"/>
                <w:color w:val="auto"/>
              </w:rPr>
            </w:pPr>
            <w:r>
              <w:rPr>
                <w:rFonts w:ascii="Arial" w:cs="Arial" w:eastAsia="Arial" w:hAnsi="Arial"/>
                <w:sz w:val="14"/>
                <w:szCs w:val="14"/>
                <w:color w:val="auto"/>
              </w:rPr>
              <w:t>454,729</w:t>
            </w:r>
          </w:p>
        </w:tc>
        <w:tc>
          <w:tcPr>
            <w:tcW w:w="0" w:type="dxa"/>
            <w:vAlign w:val="bottom"/>
          </w:tcPr>
          <w:p>
            <w:pPr>
              <w:spacing w:after="0"/>
              <w:rPr>
                <w:sz w:val="1"/>
                <w:szCs w:val="1"/>
                <w:color w:val="auto"/>
              </w:rPr>
            </w:pPr>
          </w:p>
        </w:tc>
      </w:tr>
      <w:tr>
        <w:trPr>
          <w:trHeight w:val="209"/>
        </w:trPr>
        <w:tc>
          <w:tcPr>
            <w:tcW w:w="1520" w:type="dxa"/>
            <w:vAlign w:val="bottom"/>
          </w:tcPr>
          <w:p>
            <w:pPr>
              <w:spacing w:after="0"/>
              <w:rPr>
                <w:sz w:val="18"/>
                <w:szCs w:val="18"/>
                <w:color w:val="auto"/>
              </w:rPr>
            </w:pPr>
          </w:p>
        </w:tc>
        <w:tc>
          <w:tcPr>
            <w:tcW w:w="1000" w:type="dxa"/>
            <w:vAlign w:val="bottom"/>
            <w:tcBorders>
              <w:bottom w:val="single" w:sz="8" w:color="DBDBDB"/>
            </w:tcBorders>
          </w:tcPr>
          <w:p>
            <w:pPr>
              <w:jc w:val="center"/>
              <w:spacing w:after="0"/>
              <w:rPr>
                <w:sz w:val="20"/>
                <w:szCs w:val="20"/>
                <w:color w:val="auto"/>
              </w:rPr>
            </w:pPr>
            <w:r>
              <w:rPr>
                <w:rFonts w:ascii="Arial" w:cs="Arial" w:eastAsia="Arial" w:hAnsi="Arial"/>
                <w:sz w:val="14"/>
                <w:szCs w:val="14"/>
                <w:color w:val="auto"/>
              </w:rPr>
              <w:t>8/4/2022</w:t>
            </w:r>
          </w:p>
        </w:tc>
        <w:tc>
          <w:tcPr>
            <w:tcW w:w="1240" w:type="dxa"/>
            <w:vAlign w:val="bottom"/>
            <w:tcBorders>
              <w:bottom w:val="single" w:sz="8" w:color="DBDBDB"/>
            </w:tcBorders>
          </w:tcPr>
          <w:p>
            <w:pPr>
              <w:jc w:val="center"/>
              <w:spacing w:after="0"/>
              <w:rPr>
                <w:sz w:val="20"/>
                <w:szCs w:val="20"/>
                <w:color w:val="auto"/>
              </w:rPr>
            </w:pPr>
            <w:r>
              <w:rPr>
                <w:rFonts w:ascii="Arial" w:cs="Arial" w:eastAsia="Arial" w:hAnsi="Arial"/>
                <w:sz w:val="14"/>
                <w:szCs w:val="14"/>
                <w:color w:val="auto"/>
                <w:w w:val="84"/>
              </w:rPr>
              <w:t>-</w:t>
            </w:r>
          </w:p>
        </w:tc>
        <w:tc>
          <w:tcPr>
            <w:tcW w:w="1240" w:type="dxa"/>
            <w:vAlign w:val="bottom"/>
            <w:tcBorders>
              <w:bottom w:val="single" w:sz="8" w:color="DBDBDB"/>
            </w:tcBorders>
          </w:tcPr>
          <w:p>
            <w:pPr>
              <w:jc w:val="center"/>
              <w:spacing w:after="0"/>
              <w:rPr>
                <w:sz w:val="20"/>
                <w:szCs w:val="20"/>
                <w:color w:val="auto"/>
              </w:rPr>
            </w:pPr>
            <w:r>
              <w:rPr>
                <w:rFonts w:ascii="Arial" w:cs="Arial" w:eastAsia="Arial" w:hAnsi="Arial"/>
                <w:sz w:val="14"/>
                <w:szCs w:val="14"/>
                <w:color w:val="auto"/>
                <w:w w:val="84"/>
              </w:rPr>
              <w:t>-</w:t>
            </w:r>
          </w:p>
        </w:tc>
        <w:tc>
          <w:tcPr>
            <w:tcW w:w="1240" w:type="dxa"/>
            <w:vAlign w:val="bottom"/>
            <w:tcBorders>
              <w:bottom w:val="single" w:sz="8" w:color="DBDBDB"/>
            </w:tcBorders>
          </w:tcPr>
          <w:p>
            <w:pPr>
              <w:jc w:val="center"/>
              <w:spacing w:after="0"/>
              <w:rPr>
                <w:sz w:val="20"/>
                <w:szCs w:val="20"/>
                <w:color w:val="auto"/>
              </w:rPr>
            </w:pPr>
            <w:r>
              <w:rPr>
                <w:rFonts w:ascii="Arial" w:cs="Arial" w:eastAsia="Arial" w:hAnsi="Arial"/>
                <w:sz w:val="14"/>
                <w:szCs w:val="14"/>
                <w:color w:val="auto"/>
                <w:w w:val="84"/>
              </w:rPr>
              <w:t>-</w:t>
            </w:r>
          </w:p>
        </w:tc>
        <w:tc>
          <w:tcPr>
            <w:tcW w:w="1320" w:type="dxa"/>
            <w:vAlign w:val="bottom"/>
            <w:tcBorders>
              <w:bottom w:val="single" w:sz="8" w:color="DBDBDB"/>
            </w:tcBorders>
            <w:gridSpan w:val="2"/>
          </w:tcPr>
          <w:p>
            <w:pPr>
              <w:jc w:val="right"/>
              <w:spacing w:after="0"/>
              <w:rPr>
                <w:sz w:val="20"/>
                <w:szCs w:val="20"/>
                <w:color w:val="auto"/>
              </w:rPr>
            </w:pPr>
            <w:r>
              <w:rPr>
                <w:rFonts w:ascii="Arial" w:cs="Arial" w:eastAsia="Arial" w:hAnsi="Arial"/>
                <w:sz w:val="14"/>
                <w:szCs w:val="14"/>
                <w:color w:val="auto"/>
              </w:rPr>
              <w:t>1,217</w:t>
            </w:r>
          </w:p>
        </w:tc>
        <w:tc>
          <w:tcPr>
            <w:tcW w:w="126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202,046</w:t>
            </w:r>
          </w:p>
        </w:tc>
        <w:tc>
          <w:tcPr>
            <w:tcW w:w="124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0</w:t>
            </w:r>
          </w:p>
        </w:tc>
        <w:tc>
          <w:tcPr>
            <w:tcW w:w="940" w:type="dxa"/>
            <w:vAlign w:val="bottom"/>
            <w:tcBorders>
              <w:bottom w:val="single" w:sz="8" w:color="DBDBDB"/>
            </w:tcBorders>
          </w:tcPr>
          <w:p>
            <w:pPr>
              <w:spacing w:after="0"/>
              <w:rPr>
                <w:sz w:val="18"/>
                <w:szCs w:val="18"/>
                <w:color w:val="auto"/>
              </w:rPr>
            </w:pPr>
          </w:p>
        </w:tc>
        <w:tc>
          <w:tcPr>
            <w:tcW w:w="24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0</w:t>
            </w:r>
          </w:p>
        </w:tc>
        <w:tc>
          <w:tcPr>
            <w:tcW w:w="0" w:type="dxa"/>
            <w:vAlign w:val="bottom"/>
          </w:tcPr>
          <w:p>
            <w:pPr>
              <w:spacing w:after="0"/>
              <w:rPr>
                <w:sz w:val="1"/>
                <w:szCs w:val="1"/>
                <w:color w:val="auto"/>
              </w:rPr>
            </w:pPr>
          </w:p>
        </w:tc>
      </w:tr>
      <w:tr>
        <w:trPr>
          <w:trHeight w:val="210"/>
        </w:trPr>
        <w:tc>
          <w:tcPr>
            <w:tcW w:w="1520" w:type="dxa"/>
            <w:vAlign w:val="bottom"/>
          </w:tcPr>
          <w:p>
            <w:pPr>
              <w:spacing w:after="0"/>
              <w:rPr>
                <w:sz w:val="18"/>
                <w:szCs w:val="18"/>
                <w:color w:val="auto"/>
              </w:rPr>
            </w:pPr>
          </w:p>
        </w:tc>
        <w:tc>
          <w:tcPr>
            <w:tcW w:w="1000" w:type="dxa"/>
            <w:vAlign w:val="bottom"/>
            <w:tcBorders>
              <w:bottom w:val="single" w:sz="8" w:color="DBDBDB"/>
            </w:tcBorders>
          </w:tcPr>
          <w:p>
            <w:pPr>
              <w:jc w:val="center"/>
              <w:spacing w:after="0"/>
              <w:rPr>
                <w:sz w:val="20"/>
                <w:szCs w:val="20"/>
                <w:color w:val="auto"/>
              </w:rPr>
            </w:pPr>
            <w:r>
              <w:rPr>
                <w:rFonts w:ascii="Arial" w:cs="Arial" w:eastAsia="Arial" w:hAnsi="Arial"/>
                <w:sz w:val="14"/>
                <w:szCs w:val="14"/>
                <w:color w:val="auto"/>
              </w:rPr>
              <w:t>8/4/2023</w:t>
            </w:r>
          </w:p>
        </w:tc>
        <w:tc>
          <w:tcPr>
            <w:tcW w:w="1240" w:type="dxa"/>
            <w:vAlign w:val="bottom"/>
            <w:tcBorders>
              <w:bottom w:val="single" w:sz="8" w:color="DBDBDB"/>
            </w:tcBorders>
          </w:tcPr>
          <w:p>
            <w:pPr>
              <w:jc w:val="center"/>
              <w:spacing w:after="0"/>
              <w:rPr>
                <w:sz w:val="20"/>
                <w:szCs w:val="20"/>
                <w:color w:val="auto"/>
              </w:rPr>
            </w:pPr>
            <w:r>
              <w:rPr>
                <w:rFonts w:ascii="Arial" w:cs="Arial" w:eastAsia="Arial" w:hAnsi="Arial"/>
                <w:sz w:val="14"/>
                <w:szCs w:val="14"/>
                <w:color w:val="auto"/>
                <w:w w:val="84"/>
              </w:rPr>
              <w:t>-</w:t>
            </w:r>
          </w:p>
        </w:tc>
        <w:tc>
          <w:tcPr>
            <w:tcW w:w="1240" w:type="dxa"/>
            <w:vAlign w:val="bottom"/>
            <w:tcBorders>
              <w:bottom w:val="single" w:sz="8" w:color="DBDBDB"/>
            </w:tcBorders>
          </w:tcPr>
          <w:p>
            <w:pPr>
              <w:jc w:val="center"/>
              <w:spacing w:after="0"/>
              <w:rPr>
                <w:sz w:val="20"/>
                <w:szCs w:val="20"/>
                <w:color w:val="auto"/>
              </w:rPr>
            </w:pPr>
            <w:r>
              <w:rPr>
                <w:rFonts w:ascii="Arial" w:cs="Arial" w:eastAsia="Arial" w:hAnsi="Arial"/>
                <w:sz w:val="14"/>
                <w:szCs w:val="14"/>
                <w:color w:val="auto"/>
                <w:w w:val="84"/>
              </w:rPr>
              <w:t>-</w:t>
            </w:r>
          </w:p>
        </w:tc>
        <w:tc>
          <w:tcPr>
            <w:tcW w:w="1240" w:type="dxa"/>
            <w:vAlign w:val="bottom"/>
            <w:tcBorders>
              <w:bottom w:val="single" w:sz="8" w:color="DBDBDB"/>
            </w:tcBorders>
          </w:tcPr>
          <w:p>
            <w:pPr>
              <w:jc w:val="center"/>
              <w:spacing w:after="0"/>
              <w:rPr>
                <w:sz w:val="20"/>
                <w:szCs w:val="20"/>
                <w:color w:val="auto"/>
              </w:rPr>
            </w:pPr>
            <w:r>
              <w:rPr>
                <w:rFonts w:ascii="Arial" w:cs="Arial" w:eastAsia="Arial" w:hAnsi="Arial"/>
                <w:sz w:val="14"/>
                <w:szCs w:val="14"/>
                <w:color w:val="auto"/>
                <w:w w:val="84"/>
              </w:rPr>
              <w:t>-</w:t>
            </w:r>
          </w:p>
        </w:tc>
        <w:tc>
          <w:tcPr>
            <w:tcW w:w="1320" w:type="dxa"/>
            <w:vAlign w:val="bottom"/>
            <w:tcBorders>
              <w:bottom w:val="single" w:sz="8" w:color="DBDBDB"/>
            </w:tcBorders>
            <w:gridSpan w:val="2"/>
          </w:tcPr>
          <w:p>
            <w:pPr>
              <w:jc w:val="center"/>
              <w:ind w:left="8"/>
              <w:spacing w:after="0"/>
              <w:rPr>
                <w:sz w:val="20"/>
                <w:szCs w:val="20"/>
                <w:color w:val="auto"/>
              </w:rPr>
            </w:pPr>
            <w:r>
              <w:rPr>
                <w:rFonts w:ascii="Arial" w:cs="Arial" w:eastAsia="Arial" w:hAnsi="Arial"/>
                <w:sz w:val="14"/>
                <w:szCs w:val="14"/>
                <w:color w:val="auto"/>
                <w:w w:val="84"/>
              </w:rPr>
              <w:t>-</w:t>
            </w:r>
          </w:p>
        </w:tc>
        <w:tc>
          <w:tcPr>
            <w:tcW w:w="1260" w:type="dxa"/>
            <w:vAlign w:val="bottom"/>
            <w:tcBorders>
              <w:bottom w:val="single" w:sz="8" w:color="DBDBDB"/>
            </w:tcBorders>
          </w:tcPr>
          <w:p>
            <w:pPr>
              <w:jc w:val="center"/>
              <w:spacing w:after="0"/>
              <w:rPr>
                <w:sz w:val="20"/>
                <w:szCs w:val="20"/>
                <w:color w:val="auto"/>
              </w:rPr>
            </w:pPr>
            <w:r>
              <w:rPr>
                <w:rFonts w:ascii="Arial" w:cs="Arial" w:eastAsia="Arial" w:hAnsi="Arial"/>
                <w:sz w:val="14"/>
                <w:szCs w:val="14"/>
                <w:color w:val="auto"/>
                <w:w w:val="84"/>
              </w:rPr>
              <w:t>-</w:t>
            </w:r>
          </w:p>
        </w:tc>
        <w:tc>
          <w:tcPr>
            <w:tcW w:w="124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5,411</w:t>
            </w:r>
          </w:p>
        </w:tc>
        <w:tc>
          <w:tcPr>
            <w:tcW w:w="1180" w:type="dxa"/>
            <w:vAlign w:val="bottom"/>
            <w:tcBorders>
              <w:bottom w:val="single" w:sz="8" w:color="DBDBDB"/>
            </w:tcBorders>
            <w:gridSpan w:val="2"/>
          </w:tcPr>
          <w:p>
            <w:pPr>
              <w:jc w:val="right"/>
              <w:spacing w:after="0"/>
              <w:rPr>
                <w:sz w:val="20"/>
                <w:szCs w:val="20"/>
                <w:color w:val="auto"/>
              </w:rPr>
            </w:pPr>
            <w:r>
              <w:rPr>
                <w:rFonts w:ascii="Arial" w:cs="Arial" w:eastAsia="Arial" w:hAnsi="Arial"/>
                <w:sz w:val="14"/>
                <w:szCs w:val="14"/>
                <w:color w:val="auto"/>
              </w:rPr>
              <w:t>898,334</w:t>
            </w:r>
          </w:p>
        </w:tc>
        <w:tc>
          <w:tcPr>
            <w:tcW w:w="0" w:type="dxa"/>
            <w:vAlign w:val="bottom"/>
          </w:tcPr>
          <w:p>
            <w:pPr>
              <w:spacing w:after="0"/>
              <w:rPr>
                <w:sz w:val="1"/>
                <w:szCs w:val="1"/>
                <w:color w:val="auto"/>
              </w:rPr>
            </w:pPr>
          </w:p>
        </w:tc>
      </w:tr>
      <w:tr>
        <w:trPr>
          <w:trHeight w:val="210"/>
        </w:trPr>
        <w:tc>
          <w:tcPr>
            <w:tcW w:w="1520" w:type="dxa"/>
            <w:vAlign w:val="bottom"/>
            <w:tcBorders>
              <w:bottom w:val="single" w:sz="8" w:color="DBDBDB"/>
            </w:tcBorders>
          </w:tcPr>
          <w:p>
            <w:pPr>
              <w:spacing w:after="0"/>
              <w:rPr>
                <w:sz w:val="18"/>
                <w:szCs w:val="18"/>
                <w:color w:val="auto"/>
              </w:rPr>
            </w:pPr>
          </w:p>
        </w:tc>
        <w:tc>
          <w:tcPr>
            <w:tcW w:w="1000" w:type="dxa"/>
            <w:vAlign w:val="bottom"/>
            <w:tcBorders>
              <w:bottom w:val="single" w:sz="8" w:color="DBDBDB"/>
            </w:tcBorders>
          </w:tcPr>
          <w:p>
            <w:pPr>
              <w:jc w:val="center"/>
              <w:spacing w:after="0"/>
              <w:rPr>
                <w:sz w:val="20"/>
                <w:szCs w:val="20"/>
                <w:color w:val="auto"/>
              </w:rPr>
            </w:pPr>
            <w:r>
              <w:rPr>
                <w:rFonts w:ascii="Arial" w:cs="Arial" w:eastAsia="Arial" w:hAnsi="Arial"/>
                <w:sz w:val="14"/>
                <w:szCs w:val="14"/>
                <w:color w:val="auto"/>
              </w:rPr>
              <w:t>8/4/2023</w:t>
            </w:r>
          </w:p>
        </w:tc>
        <w:tc>
          <w:tcPr>
            <w:tcW w:w="1240" w:type="dxa"/>
            <w:vAlign w:val="bottom"/>
            <w:tcBorders>
              <w:bottom w:val="single" w:sz="8" w:color="DBDBDB"/>
            </w:tcBorders>
          </w:tcPr>
          <w:p>
            <w:pPr>
              <w:jc w:val="center"/>
              <w:spacing w:after="0"/>
              <w:rPr>
                <w:sz w:val="20"/>
                <w:szCs w:val="20"/>
                <w:color w:val="auto"/>
              </w:rPr>
            </w:pPr>
            <w:r>
              <w:rPr>
                <w:rFonts w:ascii="Arial" w:cs="Arial" w:eastAsia="Arial" w:hAnsi="Arial"/>
                <w:sz w:val="14"/>
                <w:szCs w:val="14"/>
                <w:color w:val="auto"/>
                <w:w w:val="84"/>
              </w:rPr>
              <w:t>-</w:t>
            </w:r>
          </w:p>
        </w:tc>
        <w:tc>
          <w:tcPr>
            <w:tcW w:w="1240" w:type="dxa"/>
            <w:vAlign w:val="bottom"/>
            <w:tcBorders>
              <w:bottom w:val="single" w:sz="8" w:color="DBDBDB"/>
            </w:tcBorders>
          </w:tcPr>
          <w:p>
            <w:pPr>
              <w:jc w:val="center"/>
              <w:spacing w:after="0"/>
              <w:rPr>
                <w:sz w:val="20"/>
                <w:szCs w:val="20"/>
                <w:color w:val="auto"/>
              </w:rPr>
            </w:pPr>
            <w:r>
              <w:rPr>
                <w:rFonts w:ascii="Arial" w:cs="Arial" w:eastAsia="Arial" w:hAnsi="Arial"/>
                <w:sz w:val="14"/>
                <w:szCs w:val="14"/>
                <w:color w:val="auto"/>
                <w:w w:val="84"/>
              </w:rPr>
              <w:t>-</w:t>
            </w:r>
          </w:p>
        </w:tc>
        <w:tc>
          <w:tcPr>
            <w:tcW w:w="1240" w:type="dxa"/>
            <w:vAlign w:val="bottom"/>
            <w:tcBorders>
              <w:bottom w:val="single" w:sz="8" w:color="DBDBDB"/>
            </w:tcBorders>
          </w:tcPr>
          <w:p>
            <w:pPr>
              <w:jc w:val="center"/>
              <w:spacing w:after="0"/>
              <w:rPr>
                <w:sz w:val="20"/>
                <w:szCs w:val="20"/>
                <w:color w:val="auto"/>
              </w:rPr>
            </w:pPr>
            <w:r>
              <w:rPr>
                <w:rFonts w:ascii="Arial" w:cs="Arial" w:eastAsia="Arial" w:hAnsi="Arial"/>
                <w:sz w:val="14"/>
                <w:szCs w:val="14"/>
                <w:color w:val="auto"/>
                <w:w w:val="84"/>
              </w:rPr>
              <w:t>-</w:t>
            </w:r>
          </w:p>
        </w:tc>
        <w:tc>
          <w:tcPr>
            <w:tcW w:w="1320" w:type="dxa"/>
            <w:vAlign w:val="bottom"/>
            <w:tcBorders>
              <w:bottom w:val="single" w:sz="8" w:color="DBDBDB"/>
            </w:tcBorders>
            <w:gridSpan w:val="2"/>
          </w:tcPr>
          <w:p>
            <w:pPr>
              <w:jc w:val="right"/>
              <w:spacing w:after="0"/>
              <w:rPr>
                <w:sz w:val="20"/>
                <w:szCs w:val="20"/>
                <w:color w:val="auto"/>
              </w:rPr>
            </w:pPr>
            <w:r>
              <w:rPr>
                <w:rFonts w:ascii="Arial" w:cs="Arial" w:eastAsia="Arial" w:hAnsi="Arial"/>
                <w:sz w:val="14"/>
                <w:szCs w:val="14"/>
                <w:color w:val="auto"/>
              </w:rPr>
              <w:t>3,607</w:t>
            </w:r>
          </w:p>
        </w:tc>
        <w:tc>
          <w:tcPr>
            <w:tcW w:w="126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598,834</w:t>
            </w:r>
          </w:p>
        </w:tc>
        <w:tc>
          <w:tcPr>
            <w:tcW w:w="1240" w:type="dxa"/>
            <w:vAlign w:val="bottom"/>
            <w:tcBorders>
              <w:bottom w:val="single" w:sz="8" w:color="DBDBDB"/>
            </w:tcBorders>
          </w:tcPr>
          <w:p>
            <w:pPr>
              <w:jc w:val="center"/>
              <w:spacing w:after="0"/>
              <w:rPr>
                <w:sz w:val="20"/>
                <w:szCs w:val="20"/>
                <w:color w:val="auto"/>
              </w:rPr>
            </w:pPr>
            <w:r>
              <w:rPr>
                <w:rFonts w:ascii="Arial" w:cs="Arial" w:eastAsia="Arial" w:hAnsi="Arial"/>
                <w:sz w:val="14"/>
                <w:szCs w:val="14"/>
                <w:color w:val="auto"/>
                <w:w w:val="84"/>
              </w:rPr>
              <w:t>-</w:t>
            </w:r>
          </w:p>
        </w:tc>
        <w:tc>
          <w:tcPr>
            <w:tcW w:w="940" w:type="dxa"/>
            <w:vAlign w:val="bottom"/>
            <w:tcBorders>
              <w:bottom w:val="single" w:sz="8" w:color="DBDBDB"/>
            </w:tcBorders>
          </w:tcPr>
          <w:p>
            <w:pPr>
              <w:jc w:val="center"/>
              <w:ind w:left="149"/>
              <w:spacing w:after="0"/>
              <w:rPr>
                <w:sz w:val="20"/>
                <w:szCs w:val="20"/>
                <w:color w:val="auto"/>
              </w:rPr>
            </w:pPr>
            <w:r>
              <w:rPr>
                <w:rFonts w:ascii="Arial" w:cs="Arial" w:eastAsia="Arial" w:hAnsi="Arial"/>
                <w:sz w:val="14"/>
                <w:szCs w:val="14"/>
                <w:color w:val="auto"/>
                <w:w w:val="84"/>
              </w:rPr>
              <w:t>-</w:t>
            </w:r>
          </w:p>
        </w:tc>
        <w:tc>
          <w:tcPr>
            <w:tcW w:w="240" w:type="dxa"/>
            <w:vAlign w:val="bottom"/>
            <w:tcBorders>
              <w:bottom w:val="single" w:sz="8" w:color="DBDBDB"/>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520" w:type="dxa"/>
            <w:vAlign w:val="bottom"/>
            <w:tcBorders>
              <w:bottom w:val="single" w:sz="8" w:color="E7ECF0"/>
            </w:tcBorders>
            <w:shd w:val="clear" w:color="auto" w:fill="E7ECF0"/>
          </w:tcPr>
          <w:p>
            <w:pPr>
              <w:ind w:left="20"/>
              <w:spacing w:after="0"/>
              <w:rPr>
                <w:sz w:val="20"/>
                <w:szCs w:val="20"/>
                <w:color w:val="auto"/>
              </w:rPr>
            </w:pPr>
            <w:r>
              <w:rPr>
                <w:rFonts w:ascii="Arial" w:cs="Arial" w:eastAsia="Arial" w:hAnsi="Arial"/>
                <w:sz w:val="14"/>
                <w:szCs w:val="14"/>
                <w:color w:val="auto"/>
              </w:rPr>
              <w:t>Craig K. Morgan</w:t>
            </w:r>
          </w:p>
        </w:tc>
        <w:tc>
          <w:tcPr>
            <w:tcW w:w="1000" w:type="dxa"/>
            <w:vAlign w:val="bottom"/>
            <w:tcBorders>
              <w:bottom w:val="single" w:sz="8" w:color="DBDBDB"/>
            </w:tcBorders>
            <w:shd w:val="clear" w:color="auto" w:fill="E7ECF0"/>
          </w:tcPr>
          <w:p>
            <w:pPr>
              <w:jc w:val="center"/>
              <w:spacing w:after="0"/>
              <w:rPr>
                <w:sz w:val="20"/>
                <w:szCs w:val="20"/>
                <w:color w:val="auto"/>
              </w:rPr>
            </w:pPr>
            <w:r>
              <w:rPr>
                <w:rFonts w:ascii="Arial" w:cs="Arial" w:eastAsia="Arial" w:hAnsi="Arial"/>
                <w:sz w:val="14"/>
                <w:szCs w:val="14"/>
                <w:color w:val="auto"/>
              </w:rPr>
              <w:t>8/4/2021</w:t>
            </w:r>
          </w:p>
        </w:tc>
        <w:tc>
          <w:tcPr>
            <w:tcW w:w="1240" w:type="dxa"/>
            <w:vAlign w:val="bottom"/>
            <w:tcBorders>
              <w:bottom w:val="single" w:sz="8" w:color="DBDBDB"/>
            </w:tcBorders>
            <w:shd w:val="clear" w:color="auto" w:fill="E7ECF0"/>
          </w:tcPr>
          <w:p>
            <w:pPr>
              <w:jc w:val="center"/>
              <w:spacing w:after="0"/>
              <w:rPr>
                <w:sz w:val="20"/>
                <w:szCs w:val="20"/>
                <w:color w:val="auto"/>
              </w:rPr>
            </w:pPr>
            <w:r>
              <w:rPr>
                <w:rFonts w:ascii="Arial" w:cs="Arial" w:eastAsia="Arial" w:hAnsi="Arial"/>
                <w:sz w:val="14"/>
                <w:szCs w:val="14"/>
                <w:color w:val="auto"/>
                <w:w w:val="84"/>
              </w:rPr>
              <w:t>-</w:t>
            </w:r>
          </w:p>
        </w:tc>
        <w:tc>
          <w:tcPr>
            <w:tcW w:w="1240" w:type="dxa"/>
            <w:vAlign w:val="bottom"/>
            <w:tcBorders>
              <w:bottom w:val="single" w:sz="8" w:color="DBDBDB"/>
            </w:tcBorders>
            <w:shd w:val="clear" w:color="auto" w:fill="E7ECF0"/>
          </w:tcPr>
          <w:p>
            <w:pPr>
              <w:jc w:val="center"/>
              <w:spacing w:after="0"/>
              <w:rPr>
                <w:sz w:val="20"/>
                <w:szCs w:val="20"/>
                <w:color w:val="auto"/>
              </w:rPr>
            </w:pPr>
            <w:r>
              <w:rPr>
                <w:rFonts w:ascii="Arial" w:cs="Arial" w:eastAsia="Arial" w:hAnsi="Arial"/>
                <w:sz w:val="14"/>
                <w:szCs w:val="14"/>
                <w:color w:val="auto"/>
                <w:w w:val="84"/>
              </w:rPr>
              <w:t>-</w:t>
            </w:r>
          </w:p>
        </w:tc>
        <w:tc>
          <w:tcPr>
            <w:tcW w:w="1240" w:type="dxa"/>
            <w:vAlign w:val="bottom"/>
            <w:tcBorders>
              <w:bottom w:val="single" w:sz="8" w:color="DBDBDB"/>
            </w:tcBorders>
            <w:shd w:val="clear" w:color="auto" w:fill="E7ECF0"/>
          </w:tcPr>
          <w:p>
            <w:pPr>
              <w:jc w:val="center"/>
              <w:spacing w:after="0"/>
              <w:rPr>
                <w:sz w:val="20"/>
                <w:szCs w:val="20"/>
                <w:color w:val="auto"/>
              </w:rPr>
            </w:pPr>
            <w:r>
              <w:rPr>
                <w:rFonts w:ascii="Arial" w:cs="Arial" w:eastAsia="Arial" w:hAnsi="Arial"/>
                <w:sz w:val="14"/>
                <w:szCs w:val="14"/>
                <w:color w:val="auto"/>
                <w:w w:val="84"/>
              </w:rPr>
              <w:t>-</w:t>
            </w:r>
          </w:p>
        </w:tc>
        <w:tc>
          <w:tcPr>
            <w:tcW w:w="1320" w:type="dxa"/>
            <w:vAlign w:val="bottom"/>
            <w:tcBorders>
              <w:bottom w:val="single" w:sz="8" w:color="DBDBDB"/>
            </w:tcBorders>
            <w:gridSpan w:val="2"/>
            <w:shd w:val="clear" w:color="auto" w:fill="E7ECF0"/>
          </w:tcPr>
          <w:p>
            <w:pPr>
              <w:jc w:val="center"/>
              <w:ind w:left="8"/>
              <w:spacing w:after="0"/>
              <w:rPr>
                <w:sz w:val="20"/>
                <w:szCs w:val="20"/>
                <w:color w:val="auto"/>
              </w:rPr>
            </w:pPr>
            <w:r>
              <w:rPr>
                <w:rFonts w:ascii="Arial" w:cs="Arial" w:eastAsia="Arial" w:hAnsi="Arial"/>
                <w:sz w:val="14"/>
                <w:szCs w:val="14"/>
                <w:color w:val="auto"/>
                <w:w w:val="84"/>
              </w:rPr>
              <w:t>-</w:t>
            </w:r>
          </w:p>
        </w:tc>
        <w:tc>
          <w:tcPr>
            <w:tcW w:w="1260" w:type="dxa"/>
            <w:vAlign w:val="bottom"/>
            <w:tcBorders>
              <w:bottom w:val="single" w:sz="8" w:color="DBDBDB"/>
            </w:tcBorders>
            <w:shd w:val="clear" w:color="auto" w:fill="E7ECF0"/>
          </w:tcPr>
          <w:p>
            <w:pPr>
              <w:jc w:val="center"/>
              <w:spacing w:after="0"/>
              <w:rPr>
                <w:sz w:val="20"/>
                <w:szCs w:val="20"/>
                <w:color w:val="auto"/>
              </w:rPr>
            </w:pPr>
            <w:r>
              <w:rPr>
                <w:rFonts w:ascii="Arial" w:cs="Arial" w:eastAsia="Arial" w:hAnsi="Arial"/>
                <w:sz w:val="14"/>
                <w:szCs w:val="14"/>
                <w:color w:val="auto"/>
                <w:w w:val="84"/>
              </w:rPr>
              <w:t>-</w:t>
            </w:r>
          </w:p>
        </w:tc>
        <w:tc>
          <w:tcPr>
            <w:tcW w:w="1240" w:type="dxa"/>
            <w:vAlign w:val="bottom"/>
            <w:tcBorders>
              <w:bottom w:val="single" w:sz="8" w:color="DBDBDB"/>
            </w:tcBorders>
            <w:shd w:val="clear" w:color="auto" w:fill="E7ECF0"/>
          </w:tcPr>
          <w:p>
            <w:pPr>
              <w:jc w:val="right"/>
              <w:spacing w:after="0"/>
              <w:rPr>
                <w:sz w:val="20"/>
                <w:szCs w:val="20"/>
                <w:color w:val="auto"/>
              </w:rPr>
            </w:pPr>
            <w:r>
              <w:rPr>
                <w:rFonts w:ascii="Arial" w:cs="Arial" w:eastAsia="Arial" w:hAnsi="Arial"/>
                <w:sz w:val="14"/>
                <w:szCs w:val="14"/>
                <w:color w:val="auto"/>
              </w:rPr>
              <w:t>1,614</w:t>
            </w:r>
          </w:p>
        </w:tc>
        <w:tc>
          <w:tcPr>
            <w:tcW w:w="1180" w:type="dxa"/>
            <w:vAlign w:val="bottom"/>
            <w:tcBorders>
              <w:bottom w:val="single" w:sz="8" w:color="DBDBDB"/>
            </w:tcBorders>
            <w:gridSpan w:val="2"/>
            <w:shd w:val="clear" w:color="auto" w:fill="E7ECF0"/>
          </w:tcPr>
          <w:p>
            <w:pPr>
              <w:jc w:val="right"/>
              <w:spacing w:after="0"/>
              <w:rPr>
                <w:sz w:val="20"/>
                <w:szCs w:val="20"/>
                <w:color w:val="auto"/>
              </w:rPr>
            </w:pPr>
            <w:r>
              <w:rPr>
                <w:rFonts w:ascii="Arial" w:cs="Arial" w:eastAsia="Arial" w:hAnsi="Arial"/>
                <w:sz w:val="14"/>
                <w:szCs w:val="14"/>
                <w:color w:val="auto"/>
              </w:rPr>
              <w:t>267,956</w:t>
            </w:r>
          </w:p>
        </w:tc>
        <w:tc>
          <w:tcPr>
            <w:tcW w:w="0" w:type="dxa"/>
            <w:vAlign w:val="bottom"/>
          </w:tcPr>
          <w:p>
            <w:pPr>
              <w:spacing w:after="0"/>
              <w:rPr>
                <w:sz w:val="1"/>
                <w:szCs w:val="1"/>
                <w:color w:val="auto"/>
              </w:rPr>
            </w:pPr>
          </w:p>
        </w:tc>
      </w:tr>
      <w:tr>
        <w:trPr>
          <w:trHeight w:val="210"/>
        </w:trPr>
        <w:tc>
          <w:tcPr>
            <w:tcW w:w="1520" w:type="dxa"/>
            <w:vAlign w:val="bottom"/>
            <w:tcBorders>
              <w:bottom w:val="single" w:sz="8" w:color="E7ECF0"/>
            </w:tcBorders>
            <w:shd w:val="clear" w:color="auto" w:fill="E7ECF0"/>
          </w:tcPr>
          <w:p>
            <w:pPr>
              <w:spacing w:after="0"/>
              <w:rPr>
                <w:sz w:val="18"/>
                <w:szCs w:val="18"/>
                <w:color w:val="auto"/>
              </w:rPr>
            </w:pPr>
          </w:p>
        </w:tc>
        <w:tc>
          <w:tcPr>
            <w:tcW w:w="1000" w:type="dxa"/>
            <w:vAlign w:val="bottom"/>
            <w:tcBorders>
              <w:bottom w:val="single" w:sz="8" w:color="DBDBDB"/>
            </w:tcBorders>
            <w:shd w:val="clear" w:color="auto" w:fill="E7ECF0"/>
          </w:tcPr>
          <w:p>
            <w:pPr>
              <w:jc w:val="center"/>
              <w:spacing w:after="0"/>
              <w:rPr>
                <w:sz w:val="20"/>
                <w:szCs w:val="20"/>
                <w:color w:val="auto"/>
              </w:rPr>
            </w:pPr>
            <w:r>
              <w:rPr>
                <w:rFonts w:ascii="Arial" w:cs="Arial" w:eastAsia="Arial" w:hAnsi="Arial"/>
                <w:sz w:val="14"/>
                <w:szCs w:val="14"/>
                <w:color w:val="auto"/>
              </w:rPr>
              <w:t>8/4/2021</w:t>
            </w:r>
          </w:p>
        </w:tc>
        <w:tc>
          <w:tcPr>
            <w:tcW w:w="1240" w:type="dxa"/>
            <w:vAlign w:val="bottom"/>
            <w:tcBorders>
              <w:bottom w:val="single" w:sz="8" w:color="DBDBDB"/>
            </w:tcBorders>
            <w:shd w:val="clear" w:color="auto" w:fill="E7ECF0"/>
          </w:tcPr>
          <w:p>
            <w:pPr>
              <w:jc w:val="center"/>
              <w:spacing w:after="0"/>
              <w:rPr>
                <w:sz w:val="20"/>
                <w:szCs w:val="20"/>
                <w:color w:val="auto"/>
              </w:rPr>
            </w:pPr>
            <w:r>
              <w:rPr>
                <w:rFonts w:ascii="Arial" w:cs="Arial" w:eastAsia="Arial" w:hAnsi="Arial"/>
                <w:sz w:val="14"/>
                <w:szCs w:val="14"/>
                <w:color w:val="auto"/>
                <w:w w:val="84"/>
              </w:rPr>
              <w:t>-</w:t>
            </w:r>
          </w:p>
        </w:tc>
        <w:tc>
          <w:tcPr>
            <w:tcW w:w="1240" w:type="dxa"/>
            <w:vAlign w:val="bottom"/>
            <w:tcBorders>
              <w:bottom w:val="single" w:sz="8" w:color="DBDBDB"/>
            </w:tcBorders>
            <w:shd w:val="clear" w:color="auto" w:fill="E7ECF0"/>
          </w:tcPr>
          <w:p>
            <w:pPr>
              <w:jc w:val="center"/>
              <w:spacing w:after="0"/>
              <w:rPr>
                <w:sz w:val="20"/>
                <w:szCs w:val="20"/>
                <w:color w:val="auto"/>
              </w:rPr>
            </w:pPr>
            <w:r>
              <w:rPr>
                <w:rFonts w:ascii="Arial" w:cs="Arial" w:eastAsia="Arial" w:hAnsi="Arial"/>
                <w:sz w:val="14"/>
                <w:szCs w:val="14"/>
                <w:color w:val="auto"/>
                <w:w w:val="84"/>
              </w:rPr>
              <w:t>-</w:t>
            </w:r>
          </w:p>
        </w:tc>
        <w:tc>
          <w:tcPr>
            <w:tcW w:w="1240" w:type="dxa"/>
            <w:vAlign w:val="bottom"/>
            <w:tcBorders>
              <w:bottom w:val="single" w:sz="8" w:color="DBDBDB"/>
            </w:tcBorders>
            <w:shd w:val="clear" w:color="auto" w:fill="E7ECF0"/>
          </w:tcPr>
          <w:p>
            <w:pPr>
              <w:jc w:val="center"/>
              <w:spacing w:after="0"/>
              <w:rPr>
                <w:sz w:val="20"/>
                <w:szCs w:val="20"/>
                <w:color w:val="auto"/>
              </w:rPr>
            </w:pPr>
            <w:r>
              <w:rPr>
                <w:rFonts w:ascii="Arial" w:cs="Arial" w:eastAsia="Arial" w:hAnsi="Arial"/>
                <w:sz w:val="14"/>
                <w:szCs w:val="14"/>
                <w:color w:val="auto"/>
                <w:w w:val="84"/>
              </w:rPr>
              <w:t>-</w:t>
            </w:r>
          </w:p>
        </w:tc>
        <w:tc>
          <w:tcPr>
            <w:tcW w:w="1320" w:type="dxa"/>
            <w:vAlign w:val="bottom"/>
            <w:tcBorders>
              <w:bottom w:val="single" w:sz="8" w:color="DBDBDB"/>
            </w:tcBorders>
            <w:gridSpan w:val="2"/>
            <w:shd w:val="clear" w:color="auto" w:fill="E7ECF0"/>
          </w:tcPr>
          <w:p>
            <w:pPr>
              <w:jc w:val="right"/>
              <w:spacing w:after="0"/>
              <w:rPr>
                <w:sz w:val="20"/>
                <w:szCs w:val="20"/>
                <w:color w:val="auto"/>
              </w:rPr>
            </w:pPr>
            <w:r>
              <w:rPr>
                <w:rFonts w:ascii="Arial" w:cs="Arial" w:eastAsia="Arial" w:hAnsi="Arial"/>
                <w:sz w:val="14"/>
                <w:szCs w:val="14"/>
                <w:color w:val="auto"/>
              </w:rPr>
              <w:t>358</w:t>
            </w:r>
          </w:p>
        </w:tc>
        <w:tc>
          <w:tcPr>
            <w:tcW w:w="1260" w:type="dxa"/>
            <w:vAlign w:val="bottom"/>
            <w:tcBorders>
              <w:bottom w:val="single" w:sz="8" w:color="DBDBDB"/>
            </w:tcBorders>
            <w:shd w:val="clear" w:color="auto" w:fill="E7ECF0"/>
          </w:tcPr>
          <w:p>
            <w:pPr>
              <w:jc w:val="right"/>
              <w:spacing w:after="0"/>
              <w:rPr>
                <w:sz w:val="20"/>
                <w:szCs w:val="20"/>
                <w:color w:val="auto"/>
              </w:rPr>
            </w:pPr>
            <w:r>
              <w:rPr>
                <w:rFonts w:ascii="Arial" w:cs="Arial" w:eastAsia="Arial" w:hAnsi="Arial"/>
                <w:sz w:val="14"/>
                <w:szCs w:val="14"/>
                <w:color w:val="auto"/>
              </w:rPr>
              <w:t>59,435</w:t>
            </w:r>
          </w:p>
        </w:tc>
        <w:tc>
          <w:tcPr>
            <w:tcW w:w="1240" w:type="dxa"/>
            <w:vAlign w:val="bottom"/>
            <w:tcBorders>
              <w:bottom w:val="single" w:sz="8" w:color="DBDBDB"/>
            </w:tcBorders>
            <w:shd w:val="clear" w:color="auto" w:fill="E7ECF0"/>
          </w:tcPr>
          <w:p>
            <w:pPr>
              <w:jc w:val="center"/>
              <w:spacing w:after="0"/>
              <w:rPr>
                <w:sz w:val="20"/>
                <w:szCs w:val="20"/>
                <w:color w:val="auto"/>
              </w:rPr>
            </w:pPr>
            <w:r>
              <w:rPr>
                <w:rFonts w:ascii="Arial" w:cs="Arial" w:eastAsia="Arial" w:hAnsi="Arial"/>
                <w:sz w:val="14"/>
                <w:szCs w:val="14"/>
                <w:color w:val="auto"/>
                <w:w w:val="84"/>
              </w:rPr>
              <w:t>-</w:t>
            </w:r>
          </w:p>
        </w:tc>
        <w:tc>
          <w:tcPr>
            <w:tcW w:w="940" w:type="dxa"/>
            <w:vAlign w:val="bottom"/>
            <w:tcBorders>
              <w:bottom w:val="single" w:sz="8" w:color="DBDBDB"/>
            </w:tcBorders>
            <w:shd w:val="clear" w:color="auto" w:fill="E7ECF0"/>
          </w:tcPr>
          <w:p>
            <w:pPr>
              <w:jc w:val="center"/>
              <w:ind w:left="149"/>
              <w:spacing w:after="0"/>
              <w:rPr>
                <w:sz w:val="20"/>
                <w:szCs w:val="20"/>
                <w:color w:val="auto"/>
              </w:rPr>
            </w:pPr>
            <w:r>
              <w:rPr>
                <w:rFonts w:ascii="Arial" w:cs="Arial" w:eastAsia="Arial" w:hAnsi="Arial"/>
                <w:sz w:val="14"/>
                <w:szCs w:val="14"/>
                <w:color w:val="auto"/>
                <w:w w:val="84"/>
              </w:rPr>
              <w:t>-</w:t>
            </w:r>
          </w:p>
        </w:tc>
        <w:tc>
          <w:tcPr>
            <w:tcW w:w="240" w:type="dxa"/>
            <w:vAlign w:val="bottom"/>
            <w:tcBorders>
              <w:bottom w:val="single" w:sz="8" w:color="DBDBDB"/>
            </w:tcBorders>
            <w:shd w:val="clear" w:color="auto" w:fill="E7ECF0"/>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520" w:type="dxa"/>
            <w:vAlign w:val="bottom"/>
            <w:tcBorders>
              <w:bottom w:val="single" w:sz="8" w:color="E7ECF0"/>
            </w:tcBorders>
            <w:shd w:val="clear" w:color="auto" w:fill="E7ECF0"/>
          </w:tcPr>
          <w:p>
            <w:pPr>
              <w:spacing w:after="0"/>
              <w:rPr>
                <w:sz w:val="18"/>
                <w:szCs w:val="18"/>
                <w:color w:val="auto"/>
              </w:rPr>
            </w:pPr>
          </w:p>
        </w:tc>
        <w:tc>
          <w:tcPr>
            <w:tcW w:w="1000" w:type="dxa"/>
            <w:vAlign w:val="bottom"/>
            <w:tcBorders>
              <w:bottom w:val="single" w:sz="8" w:color="DBDBDB"/>
            </w:tcBorders>
            <w:shd w:val="clear" w:color="auto" w:fill="E7ECF0"/>
          </w:tcPr>
          <w:p>
            <w:pPr>
              <w:jc w:val="center"/>
              <w:spacing w:after="0"/>
              <w:rPr>
                <w:sz w:val="20"/>
                <w:szCs w:val="20"/>
                <w:color w:val="auto"/>
              </w:rPr>
            </w:pPr>
            <w:r>
              <w:rPr>
                <w:rFonts w:ascii="Arial" w:cs="Arial" w:eastAsia="Arial" w:hAnsi="Arial"/>
                <w:sz w:val="14"/>
                <w:szCs w:val="14"/>
                <w:color w:val="auto"/>
              </w:rPr>
              <w:t>8/4/2022</w:t>
            </w:r>
          </w:p>
        </w:tc>
        <w:tc>
          <w:tcPr>
            <w:tcW w:w="1240" w:type="dxa"/>
            <w:vAlign w:val="bottom"/>
            <w:tcBorders>
              <w:bottom w:val="single" w:sz="8" w:color="DBDBDB"/>
            </w:tcBorders>
            <w:shd w:val="clear" w:color="auto" w:fill="E7ECF0"/>
          </w:tcPr>
          <w:p>
            <w:pPr>
              <w:jc w:val="center"/>
              <w:spacing w:after="0"/>
              <w:rPr>
                <w:sz w:val="20"/>
                <w:szCs w:val="20"/>
                <w:color w:val="auto"/>
              </w:rPr>
            </w:pPr>
            <w:r>
              <w:rPr>
                <w:rFonts w:ascii="Arial" w:cs="Arial" w:eastAsia="Arial" w:hAnsi="Arial"/>
                <w:sz w:val="14"/>
                <w:szCs w:val="14"/>
                <w:color w:val="auto"/>
                <w:w w:val="84"/>
              </w:rPr>
              <w:t>-</w:t>
            </w:r>
          </w:p>
        </w:tc>
        <w:tc>
          <w:tcPr>
            <w:tcW w:w="1240" w:type="dxa"/>
            <w:vAlign w:val="bottom"/>
            <w:tcBorders>
              <w:bottom w:val="single" w:sz="8" w:color="DBDBDB"/>
            </w:tcBorders>
            <w:shd w:val="clear" w:color="auto" w:fill="E7ECF0"/>
          </w:tcPr>
          <w:p>
            <w:pPr>
              <w:jc w:val="center"/>
              <w:spacing w:after="0"/>
              <w:rPr>
                <w:sz w:val="20"/>
                <w:szCs w:val="20"/>
                <w:color w:val="auto"/>
              </w:rPr>
            </w:pPr>
            <w:r>
              <w:rPr>
                <w:rFonts w:ascii="Arial" w:cs="Arial" w:eastAsia="Arial" w:hAnsi="Arial"/>
                <w:sz w:val="14"/>
                <w:szCs w:val="14"/>
                <w:color w:val="auto"/>
                <w:w w:val="84"/>
              </w:rPr>
              <w:t>-</w:t>
            </w:r>
          </w:p>
        </w:tc>
        <w:tc>
          <w:tcPr>
            <w:tcW w:w="1240" w:type="dxa"/>
            <w:vAlign w:val="bottom"/>
            <w:tcBorders>
              <w:bottom w:val="single" w:sz="8" w:color="DBDBDB"/>
            </w:tcBorders>
            <w:shd w:val="clear" w:color="auto" w:fill="E7ECF0"/>
          </w:tcPr>
          <w:p>
            <w:pPr>
              <w:jc w:val="center"/>
              <w:spacing w:after="0"/>
              <w:rPr>
                <w:sz w:val="20"/>
                <w:szCs w:val="20"/>
                <w:color w:val="auto"/>
              </w:rPr>
            </w:pPr>
            <w:r>
              <w:rPr>
                <w:rFonts w:ascii="Arial" w:cs="Arial" w:eastAsia="Arial" w:hAnsi="Arial"/>
                <w:sz w:val="14"/>
                <w:szCs w:val="14"/>
                <w:color w:val="auto"/>
                <w:w w:val="84"/>
              </w:rPr>
              <w:t>-</w:t>
            </w:r>
          </w:p>
        </w:tc>
        <w:tc>
          <w:tcPr>
            <w:tcW w:w="1320" w:type="dxa"/>
            <w:vAlign w:val="bottom"/>
            <w:tcBorders>
              <w:bottom w:val="single" w:sz="8" w:color="DBDBDB"/>
            </w:tcBorders>
            <w:gridSpan w:val="2"/>
            <w:shd w:val="clear" w:color="auto" w:fill="E7ECF0"/>
          </w:tcPr>
          <w:p>
            <w:pPr>
              <w:jc w:val="center"/>
              <w:ind w:left="8"/>
              <w:spacing w:after="0"/>
              <w:rPr>
                <w:sz w:val="20"/>
                <w:szCs w:val="20"/>
                <w:color w:val="auto"/>
              </w:rPr>
            </w:pPr>
            <w:r>
              <w:rPr>
                <w:rFonts w:ascii="Arial" w:cs="Arial" w:eastAsia="Arial" w:hAnsi="Arial"/>
                <w:sz w:val="14"/>
                <w:szCs w:val="14"/>
                <w:color w:val="auto"/>
                <w:w w:val="84"/>
              </w:rPr>
              <w:t>-</w:t>
            </w:r>
          </w:p>
        </w:tc>
        <w:tc>
          <w:tcPr>
            <w:tcW w:w="1260" w:type="dxa"/>
            <w:vAlign w:val="bottom"/>
            <w:tcBorders>
              <w:bottom w:val="single" w:sz="8" w:color="DBDBDB"/>
            </w:tcBorders>
            <w:shd w:val="clear" w:color="auto" w:fill="E7ECF0"/>
          </w:tcPr>
          <w:p>
            <w:pPr>
              <w:jc w:val="center"/>
              <w:spacing w:after="0"/>
              <w:rPr>
                <w:sz w:val="20"/>
                <w:szCs w:val="20"/>
                <w:color w:val="auto"/>
              </w:rPr>
            </w:pPr>
            <w:r>
              <w:rPr>
                <w:rFonts w:ascii="Arial" w:cs="Arial" w:eastAsia="Arial" w:hAnsi="Arial"/>
                <w:sz w:val="14"/>
                <w:szCs w:val="14"/>
                <w:color w:val="auto"/>
                <w:w w:val="84"/>
              </w:rPr>
              <w:t>-</w:t>
            </w:r>
          </w:p>
        </w:tc>
        <w:tc>
          <w:tcPr>
            <w:tcW w:w="1240" w:type="dxa"/>
            <w:vAlign w:val="bottom"/>
            <w:tcBorders>
              <w:bottom w:val="single" w:sz="8" w:color="DBDBDB"/>
            </w:tcBorders>
            <w:shd w:val="clear" w:color="auto" w:fill="E7ECF0"/>
          </w:tcPr>
          <w:p>
            <w:pPr>
              <w:jc w:val="right"/>
              <w:spacing w:after="0"/>
              <w:rPr>
                <w:sz w:val="20"/>
                <w:szCs w:val="20"/>
                <w:color w:val="auto"/>
              </w:rPr>
            </w:pPr>
            <w:r>
              <w:rPr>
                <w:rFonts w:ascii="Arial" w:cs="Arial" w:eastAsia="Arial" w:hAnsi="Arial"/>
                <w:sz w:val="14"/>
                <w:szCs w:val="14"/>
                <w:color w:val="auto"/>
              </w:rPr>
              <w:t>2,480</w:t>
            </w:r>
          </w:p>
        </w:tc>
        <w:tc>
          <w:tcPr>
            <w:tcW w:w="1180" w:type="dxa"/>
            <w:vAlign w:val="bottom"/>
            <w:tcBorders>
              <w:bottom w:val="single" w:sz="8" w:color="DBDBDB"/>
            </w:tcBorders>
            <w:gridSpan w:val="2"/>
            <w:shd w:val="clear" w:color="auto" w:fill="E7ECF0"/>
          </w:tcPr>
          <w:p>
            <w:pPr>
              <w:jc w:val="right"/>
              <w:spacing w:after="0"/>
              <w:rPr>
                <w:sz w:val="20"/>
                <w:szCs w:val="20"/>
                <w:color w:val="auto"/>
              </w:rPr>
            </w:pPr>
            <w:r>
              <w:rPr>
                <w:rFonts w:ascii="Arial" w:cs="Arial" w:eastAsia="Arial" w:hAnsi="Arial"/>
                <w:sz w:val="14"/>
                <w:szCs w:val="14"/>
                <w:color w:val="auto"/>
              </w:rPr>
              <w:t>411,730</w:t>
            </w:r>
          </w:p>
        </w:tc>
        <w:tc>
          <w:tcPr>
            <w:tcW w:w="0" w:type="dxa"/>
            <w:vAlign w:val="bottom"/>
          </w:tcPr>
          <w:p>
            <w:pPr>
              <w:spacing w:after="0"/>
              <w:rPr>
                <w:sz w:val="1"/>
                <w:szCs w:val="1"/>
                <w:color w:val="auto"/>
              </w:rPr>
            </w:pPr>
          </w:p>
        </w:tc>
      </w:tr>
      <w:tr>
        <w:trPr>
          <w:trHeight w:val="210"/>
        </w:trPr>
        <w:tc>
          <w:tcPr>
            <w:tcW w:w="1520" w:type="dxa"/>
            <w:vAlign w:val="bottom"/>
            <w:tcBorders>
              <w:bottom w:val="single" w:sz="8" w:color="E7ECF0"/>
            </w:tcBorders>
            <w:shd w:val="clear" w:color="auto" w:fill="E7ECF0"/>
          </w:tcPr>
          <w:p>
            <w:pPr>
              <w:spacing w:after="0"/>
              <w:rPr>
                <w:sz w:val="18"/>
                <w:szCs w:val="18"/>
                <w:color w:val="auto"/>
              </w:rPr>
            </w:pPr>
          </w:p>
        </w:tc>
        <w:tc>
          <w:tcPr>
            <w:tcW w:w="1000" w:type="dxa"/>
            <w:vAlign w:val="bottom"/>
            <w:tcBorders>
              <w:bottom w:val="single" w:sz="8" w:color="DBDBDB"/>
            </w:tcBorders>
            <w:shd w:val="clear" w:color="auto" w:fill="E7ECF0"/>
          </w:tcPr>
          <w:p>
            <w:pPr>
              <w:jc w:val="center"/>
              <w:spacing w:after="0"/>
              <w:rPr>
                <w:sz w:val="20"/>
                <w:szCs w:val="20"/>
                <w:color w:val="auto"/>
              </w:rPr>
            </w:pPr>
            <w:r>
              <w:rPr>
                <w:rFonts w:ascii="Arial" w:cs="Arial" w:eastAsia="Arial" w:hAnsi="Arial"/>
                <w:sz w:val="14"/>
                <w:szCs w:val="14"/>
                <w:color w:val="auto"/>
              </w:rPr>
              <w:t>8/4/2022</w:t>
            </w:r>
          </w:p>
        </w:tc>
        <w:tc>
          <w:tcPr>
            <w:tcW w:w="1240" w:type="dxa"/>
            <w:vAlign w:val="bottom"/>
            <w:tcBorders>
              <w:bottom w:val="single" w:sz="8" w:color="DBDBDB"/>
            </w:tcBorders>
            <w:shd w:val="clear" w:color="auto" w:fill="E7ECF0"/>
          </w:tcPr>
          <w:p>
            <w:pPr>
              <w:jc w:val="center"/>
              <w:spacing w:after="0"/>
              <w:rPr>
                <w:sz w:val="20"/>
                <w:szCs w:val="20"/>
                <w:color w:val="auto"/>
              </w:rPr>
            </w:pPr>
            <w:r>
              <w:rPr>
                <w:rFonts w:ascii="Arial" w:cs="Arial" w:eastAsia="Arial" w:hAnsi="Arial"/>
                <w:sz w:val="14"/>
                <w:szCs w:val="14"/>
                <w:color w:val="auto"/>
                <w:w w:val="84"/>
              </w:rPr>
              <w:t>-</w:t>
            </w:r>
          </w:p>
        </w:tc>
        <w:tc>
          <w:tcPr>
            <w:tcW w:w="1240" w:type="dxa"/>
            <w:vAlign w:val="bottom"/>
            <w:tcBorders>
              <w:bottom w:val="single" w:sz="8" w:color="DBDBDB"/>
            </w:tcBorders>
            <w:shd w:val="clear" w:color="auto" w:fill="E7ECF0"/>
          </w:tcPr>
          <w:p>
            <w:pPr>
              <w:jc w:val="center"/>
              <w:spacing w:after="0"/>
              <w:rPr>
                <w:sz w:val="20"/>
                <w:szCs w:val="20"/>
                <w:color w:val="auto"/>
              </w:rPr>
            </w:pPr>
            <w:r>
              <w:rPr>
                <w:rFonts w:ascii="Arial" w:cs="Arial" w:eastAsia="Arial" w:hAnsi="Arial"/>
                <w:sz w:val="14"/>
                <w:szCs w:val="14"/>
                <w:color w:val="auto"/>
                <w:w w:val="84"/>
              </w:rPr>
              <w:t>-</w:t>
            </w:r>
          </w:p>
        </w:tc>
        <w:tc>
          <w:tcPr>
            <w:tcW w:w="1240" w:type="dxa"/>
            <w:vAlign w:val="bottom"/>
            <w:tcBorders>
              <w:bottom w:val="single" w:sz="8" w:color="DBDBDB"/>
            </w:tcBorders>
            <w:shd w:val="clear" w:color="auto" w:fill="E7ECF0"/>
          </w:tcPr>
          <w:p>
            <w:pPr>
              <w:jc w:val="center"/>
              <w:spacing w:after="0"/>
              <w:rPr>
                <w:sz w:val="20"/>
                <w:szCs w:val="20"/>
                <w:color w:val="auto"/>
              </w:rPr>
            </w:pPr>
            <w:r>
              <w:rPr>
                <w:rFonts w:ascii="Arial" w:cs="Arial" w:eastAsia="Arial" w:hAnsi="Arial"/>
                <w:sz w:val="14"/>
                <w:szCs w:val="14"/>
                <w:color w:val="auto"/>
                <w:w w:val="84"/>
              </w:rPr>
              <w:t>-</w:t>
            </w:r>
          </w:p>
        </w:tc>
        <w:tc>
          <w:tcPr>
            <w:tcW w:w="1320" w:type="dxa"/>
            <w:vAlign w:val="bottom"/>
            <w:tcBorders>
              <w:bottom w:val="single" w:sz="8" w:color="DBDBDB"/>
            </w:tcBorders>
            <w:gridSpan w:val="2"/>
            <w:shd w:val="clear" w:color="auto" w:fill="E7ECF0"/>
          </w:tcPr>
          <w:p>
            <w:pPr>
              <w:jc w:val="right"/>
              <w:spacing w:after="0"/>
              <w:rPr>
                <w:sz w:val="20"/>
                <w:szCs w:val="20"/>
                <w:color w:val="auto"/>
              </w:rPr>
            </w:pPr>
            <w:r>
              <w:rPr>
                <w:rFonts w:ascii="Arial" w:cs="Arial" w:eastAsia="Arial" w:hAnsi="Arial"/>
                <w:sz w:val="14"/>
                <w:szCs w:val="14"/>
                <w:color w:val="auto"/>
              </w:rPr>
              <w:t>1,102</w:t>
            </w:r>
          </w:p>
        </w:tc>
        <w:tc>
          <w:tcPr>
            <w:tcW w:w="1260" w:type="dxa"/>
            <w:vAlign w:val="bottom"/>
            <w:tcBorders>
              <w:bottom w:val="single" w:sz="8" w:color="DBDBDB"/>
            </w:tcBorders>
            <w:shd w:val="clear" w:color="auto" w:fill="E7ECF0"/>
          </w:tcPr>
          <w:p>
            <w:pPr>
              <w:jc w:val="right"/>
              <w:spacing w:after="0"/>
              <w:rPr>
                <w:sz w:val="20"/>
                <w:szCs w:val="20"/>
                <w:color w:val="auto"/>
              </w:rPr>
            </w:pPr>
            <w:r>
              <w:rPr>
                <w:rFonts w:ascii="Arial" w:cs="Arial" w:eastAsia="Arial" w:hAnsi="Arial"/>
                <w:sz w:val="14"/>
                <w:szCs w:val="14"/>
                <w:color w:val="auto"/>
              </w:rPr>
              <w:t>182,954</w:t>
            </w:r>
          </w:p>
        </w:tc>
        <w:tc>
          <w:tcPr>
            <w:tcW w:w="1240" w:type="dxa"/>
            <w:vAlign w:val="bottom"/>
            <w:tcBorders>
              <w:bottom w:val="single" w:sz="8" w:color="DBDBDB"/>
            </w:tcBorders>
            <w:shd w:val="clear" w:color="auto" w:fill="E7ECF0"/>
          </w:tcPr>
          <w:p>
            <w:pPr>
              <w:spacing w:after="0"/>
              <w:rPr>
                <w:sz w:val="18"/>
                <w:szCs w:val="18"/>
                <w:color w:val="auto"/>
              </w:rPr>
            </w:pPr>
          </w:p>
        </w:tc>
        <w:tc>
          <w:tcPr>
            <w:tcW w:w="940" w:type="dxa"/>
            <w:vAlign w:val="bottom"/>
            <w:tcBorders>
              <w:bottom w:val="single" w:sz="8" w:color="DBDBDB"/>
            </w:tcBorders>
            <w:shd w:val="clear" w:color="auto" w:fill="E7ECF0"/>
          </w:tcPr>
          <w:p>
            <w:pPr>
              <w:spacing w:after="0"/>
              <w:rPr>
                <w:sz w:val="18"/>
                <w:szCs w:val="18"/>
                <w:color w:val="auto"/>
              </w:rPr>
            </w:pPr>
          </w:p>
        </w:tc>
        <w:tc>
          <w:tcPr>
            <w:tcW w:w="240" w:type="dxa"/>
            <w:vAlign w:val="bottom"/>
            <w:tcBorders>
              <w:bottom w:val="single" w:sz="8" w:color="DBDBDB"/>
            </w:tcBorders>
            <w:shd w:val="clear" w:color="auto" w:fill="E7ECF0"/>
          </w:tcPr>
          <w:p>
            <w:pPr>
              <w:jc w:val="right"/>
              <w:spacing w:after="0"/>
              <w:rPr>
                <w:sz w:val="20"/>
                <w:szCs w:val="20"/>
                <w:color w:val="auto"/>
              </w:rPr>
            </w:pPr>
            <w:r>
              <w:rPr>
                <w:rFonts w:ascii="Arial" w:cs="Arial" w:eastAsia="Arial" w:hAnsi="Arial"/>
                <w:sz w:val="14"/>
                <w:szCs w:val="14"/>
                <w:color w:val="auto"/>
              </w:rPr>
              <w:t>0</w:t>
            </w:r>
          </w:p>
        </w:tc>
        <w:tc>
          <w:tcPr>
            <w:tcW w:w="0" w:type="dxa"/>
            <w:vAlign w:val="bottom"/>
          </w:tcPr>
          <w:p>
            <w:pPr>
              <w:spacing w:after="0"/>
              <w:rPr>
                <w:sz w:val="1"/>
                <w:szCs w:val="1"/>
                <w:color w:val="auto"/>
              </w:rPr>
            </w:pPr>
          </w:p>
        </w:tc>
      </w:tr>
      <w:tr>
        <w:trPr>
          <w:trHeight w:val="210"/>
        </w:trPr>
        <w:tc>
          <w:tcPr>
            <w:tcW w:w="1520" w:type="dxa"/>
            <w:vAlign w:val="bottom"/>
            <w:tcBorders>
              <w:bottom w:val="single" w:sz="8" w:color="E7ECF0"/>
            </w:tcBorders>
            <w:shd w:val="clear" w:color="auto" w:fill="E7ECF0"/>
          </w:tcPr>
          <w:p>
            <w:pPr>
              <w:spacing w:after="0"/>
              <w:rPr>
                <w:sz w:val="18"/>
                <w:szCs w:val="18"/>
                <w:color w:val="auto"/>
              </w:rPr>
            </w:pPr>
          </w:p>
        </w:tc>
        <w:tc>
          <w:tcPr>
            <w:tcW w:w="1000" w:type="dxa"/>
            <w:vAlign w:val="bottom"/>
            <w:tcBorders>
              <w:bottom w:val="single" w:sz="8" w:color="DBDBDB"/>
            </w:tcBorders>
            <w:shd w:val="clear" w:color="auto" w:fill="E7ECF0"/>
          </w:tcPr>
          <w:p>
            <w:pPr>
              <w:jc w:val="center"/>
              <w:spacing w:after="0"/>
              <w:rPr>
                <w:sz w:val="20"/>
                <w:szCs w:val="20"/>
                <w:color w:val="auto"/>
              </w:rPr>
            </w:pPr>
            <w:r>
              <w:rPr>
                <w:rFonts w:ascii="Arial" w:cs="Arial" w:eastAsia="Arial" w:hAnsi="Arial"/>
                <w:sz w:val="14"/>
                <w:szCs w:val="14"/>
                <w:color w:val="auto"/>
              </w:rPr>
              <w:t>8/4/2023</w:t>
            </w:r>
          </w:p>
        </w:tc>
        <w:tc>
          <w:tcPr>
            <w:tcW w:w="1240" w:type="dxa"/>
            <w:vAlign w:val="bottom"/>
            <w:tcBorders>
              <w:bottom w:val="single" w:sz="8" w:color="DBDBDB"/>
            </w:tcBorders>
            <w:shd w:val="clear" w:color="auto" w:fill="E7ECF0"/>
          </w:tcPr>
          <w:p>
            <w:pPr>
              <w:jc w:val="center"/>
              <w:spacing w:after="0"/>
              <w:rPr>
                <w:sz w:val="20"/>
                <w:szCs w:val="20"/>
                <w:color w:val="auto"/>
              </w:rPr>
            </w:pPr>
            <w:r>
              <w:rPr>
                <w:rFonts w:ascii="Arial" w:cs="Arial" w:eastAsia="Arial" w:hAnsi="Arial"/>
                <w:sz w:val="14"/>
                <w:szCs w:val="14"/>
                <w:color w:val="auto"/>
                <w:w w:val="84"/>
              </w:rPr>
              <w:t>-</w:t>
            </w:r>
          </w:p>
        </w:tc>
        <w:tc>
          <w:tcPr>
            <w:tcW w:w="1240" w:type="dxa"/>
            <w:vAlign w:val="bottom"/>
            <w:tcBorders>
              <w:bottom w:val="single" w:sz="8" w:color="DBDBDB"/>
            </w:tcBorders>
            <w:shd w:val="clear" w:color="auto" w:fill="E7ECF0"/>
          </w:tcPr>
          <w:p>
            <w:pPr>
              <w:jc w:val="center"/>
              <w:spacing w:after="0"/>
              <w:rPr>
                <w:sz w:val="20"/>
                <w:szCs w:val="20"/>
                <w:color w:val="auto"/>
              </w:rPr>
            </w:pPr>
            <w:r>
              <w:rPr>
                <w:rFonts w:ascii="Arial" w:cs="Arial" w:eastAsia="Arial" w:hAnsi="Arial"/>
                <w:sz w:val="14"/>
                <w:szCs w:val="14"/>
                <w:color w:val="auto"/>
                <w:w w:val="84"/>
              </w:rPr>
              <w:t>-</w:t>
            </w:r>
          </w:p>
        </w:tc>
        <w:tc>
          <w:tcPr>
            <w:tcW w:w="1240" w:type="dxa"/>
            <w:vAlign w:val="bottom"/>
            <w:tcBorders>
              <w:bottom w:val="single" w:sz="8" w:color="DBDBDB"/>
            </w:tcBorders>
            <w:shd w:val="clear" w:color="auto" w:fill="E7ECF0"/>
          </w:tcPr>
          <w:p>
            <w:pPr>
              <w:jc w:val="center"/>
              <w:spacing w:after="0"/>
              <w:rPr>
                <w:sz w:val="20"/>
                <w:szCs w:val="20"/>
                <w:color w:val="auto"/>
              </w:rPr>
            </w:pPr>
            <w:r>
              <w:rPr>
                <w:rFonts w:ascii="Arial" w:cs="Arial" w:eastAsia="Arial" w:hAnsi="Arial"/>
                <w:sz w:val="14"/>
                <w:szCs w:val="14"/>
                <w:color w:val="auto"/>
                <w:w w:val="84"/>
              </w:rPr>
              <w:t>-</w:t>
            </w:r>
          </w:p>
        </w:tc>
        <w:tc>
          <w:tcPr>
            <w:tcW w:w="1320" w:type="dxa"/>
            <w:vAlign w:val="bottom"/>
            <w:tcBorders>
              <w:bottom w:val="single" w:sz="8" w:color="DBDBDB"/>
            </w:tcBorders>
            <w:gridSpan w:val="2"/>
            <w:shd w:val="clear" w:color="auto" w:fill="E7ECF0"/>
          </w:tcPr>
          <w:p>
            <w:pPr>
              <w:jc w:val="center"/>
              <w:ind w:left="8"/>
              <w:spacing w:after="0"/>
              <w:rPr>
                <w:sz w:val="20"/>
                <w:szCs w:val="20"/>
                <w:color w:val="auto"/>
              </w:rPr>
            </w:pPr>
            <w:r>
              <w:rPr>
                <w:rFonts w:ascii="Arial" w:cs="Arial" w:eastAsia="Arial" w:hAnsi="Arial"/>
                <w:sz w:val="14"/>
                <w:szCs w:val="14"/>
                <w:color w:val="auto"/>
                <w:w w:val="84"/>
              </w:rPr>
              <w:t>-</w:t>
            </w:r>
          </w:p>
        </w:tc>
        <w:tc>
          <w:tcPr>
            <w:tcW w:w="1260" w:type="dxa"/>
            <w:vAlign w:val="bottom"/>
            <w:tcBorders>
              <w:bottom w:val="single" w:sz="8" w:color="DBDBDB"/>
            </w:tcBorders>
            <w:shd w:val="clear" w:color="auto" w:fill="E7ECF0"/>
          </w:tcPr>
          <w:p>
            <w:pPr>
              <w:jc w:val="center"/>
              <w:spacing w:after="0"/>
              <w:rPr>
                <w:sz w:val="20"/>
                <w:szCs w:val="20"/>
                <w:color w:val="auto"/>
              </w:rPr>
            </w:pPr>
            <w:r>
              <w:rPr>
                <w:rFonts w:ascii="Arial" w:cs="Arial" w:eastAsia="Arial" w:hAnsi="Arial"/>
                <w:sz w:val="14"/>
                <w:szCs w:val="14"/>
                <w:color w:val="auto"/>
                <w:w w:val="84"/>
              </w:rPr>
              <w:t>-</w:t>
            </w:r>
          </w:p>
        </w:tc>
        <w:tc>
          <w:tcPr>
            <w:tcW w:w="1240" w:type="dxa"/>
            <w:vAlign w:val="bottom"/>
            <w:tcBorders>
              <w:bottom w:val="single" w:sz="8" w:color="DBDBDB"/>
            </w:tcBorders>
            <w:shd w:val="clear" w:color="auto" w:fill="E7ECF0"/>
          </w:tcPr>
          <w:p>
            <w:pPr>
              <w:jc w:val="right"/>
              <w:spacing w:after="0"/>
              <w:rPr>
                <w:sz w:val="20"/>
                <w:szCs w:val="20"/>
                <w:color w:val="auto"/>
              </w:rPr>
            </w:pPr>
            <w:r>
              <w:rPr>
                <w:rFonts w:ascii="Arial" w:cs="Arial" w:eastAsia="Arial" w:hAnsi="Arial"/>
                <w:sz w:val="14"/>
                <w:szCs w:val="14"/>
                <w:color w:val="auto"/>
              </w:rPr>
              <w:t>3,014</w:t>
            </w:r>
          </w:p>
        </w:tc>
        <w:tc>
          <w:tcPr>
            <w:tcW w:w="1180" w:type="dxa"/>
            <w:vAlign w:val="bottom"/>
            <w:tcBorders>
              <w:bottom w:val="single" w:sz="8" w:color="DBDBDB"/>
            </w:tcBorders>
            <w:gridSpan w:val="2"/>
            <w:shd w:val="clear" w:color="auto" w:fill="E7ECF0"/>
          </w:tcPr>
          <w:p>
            <w:pPr>
              <w:jc w:val="right"/>
              <w:spacing w:after="0"/>
              <w:rPr>
                <w:sz w:val="20"/>
                <w:szCs w:val="20"/>
                <w:color w:val="auto"/>
              </w:rPr>
            </w:pPr>
            <w:r>
              <w:rPr>
                <w:rFonts w:ascii="Arial" w:cs="Arial" w:eastAsia="Arial" w:hAnsi="Arial"/>
                <w:sz w:val="14"/>
                <w:szCs w:val="14"/>
                <w:color w:val="auto"/>
              </w:rPr>
              <w:t>500,384</w:t>
            </w:r>
          </w:p>
        </w:tc>
        <w:tc>
          <w:tcPr>
            <w:tcW w:w="0" w:type="dxa"/>
            <w:vAlign w:val="bottom"/>
          </w:tcPr>
          <w:p>
            <w:pPr>
              <w:spacing w:after="0"/>
              <w:rPr>
                <w:sz w:val="1"/>
                <w:szCs w:val="1"/>
                <w:color w:val="auto"/>
              </w:rPr>
            </w:pPr>
          </w:p>
        </w:tc>
      </w:tr>
      <w:tr>
        <w:trPr>
          <w:trHeight w:val="209"/>
        </w:trPr>
        <w:tc>
          <w:tcPr>
            <w:tcW w:w="1520" w:type="dxa"/>
            <w:vAlign w:val="bottom"/>
            <w:tcBorders>
              <w:bottom w:val="single" w:sz="8" w:color="DBDBDB"/>
            </w:tcBorders>
            <w:shd w:val="clear" w:color="auto" w:fill="E7ECF0"/>
          </w:tcPr>
          <w:p>
            <w:pPr>
              <w:spacing w:after="0"/>
              <w:rPr>
                <w:sz w:val="18"/>
                <w:szCs w:val="18"/>
                <w:color w:val="auto"/>
              </w:rPr>
            </w:pPr>
          </w:p>
        </w:tc>
        <w:tc>
          <w:tcPr>
            <w:tcW w:w="1000" w:type="dxa"/>
            <w:vAlign w:val="bottom"/>
            <w:tcBorders>
              <w:bottom w:val="single" w:sz="8" w:color="DBDBDB"/>
            </w:tcBorders>
            <w:shd w:val="clear" w:color="auto" w:fill="E7ECF0"/>
          </w:tcPr>
          <w:p>
            <w:pPr>
              <w:jc w:val="center"/>
              <w:spacing w:after="0"/>
              <w:rPr>
                <w:sz w:val="20"/>
                <w:szCs w:val="20"/>
                <w:color w:val="auto"/>
              </w:rPr>
            </w:pPr>
            <w:r>
              <w:rPr>
                <w:rFonts w:ascii="Arial" w:cs="Arial" w:eastAsia="Arial" w:hAnsi="Arial"/>
                <w:sz w:val="14"/>
                <w:szCs w:val="14"/>
                <w:color w:val="auto"/>
              </w:rPr>
              <w:t>8/4/2023</w:t>
            </w:r>
          </w:p>
        </w:tc>
        <w:tc>
          <w:tcPr>
            <w:tcW w:w="1240" w:type="dxa"/>
            <w:vAlign w:val="bottom"/>
            <w:tcBorders>
              <w:bottom w:val="single" w:sz="8" w:color="DBDBDB"/>
            </w:tcBorders>
            <w:shd w:val="clear" w:color="auto" w:fill="E7ECF0"/>
          </w:tcPr>
          <w:p>
            <w:pPr>
              <w:jc w:val="center"/>
              <w:spacing w:after="0"/>
              <w:rPr>
                <w:sz w:val="20"/>
                <w:szCs w:val="20"/>
                <w:color w:val="auto"/>
              </w:rPr>
            </w:pPr>
            <w:r>
              <w:rPr>
                <w:rFonts w:ascii="Arial" w:cs="Arial" w:eastAsia="Arial" w:hAnsi="Arial"/>
                <w:sz w:val="14"/>
                <w:szCs w:val="14"/>
                <w:color w:val="auto"/>
                <w:w w:val="84"/>
              </w:rPr>
              <w:t>-</w:t>
            </w:r>
          </w:p>
        </w:tc>
        <w:tc>
          <w:tcPr>
            <w:tcW w:w="1240" w:type="dxa"/>
            <w:vAlign w:val="bottom"/>
            <w:tcBorders>
              <w:bottom w:val="single" w:sz="8" w:color="DBDBDB"/>
            </w:tcBorders>
            <w:shd w:val="clear" w:color="auto" w:fill="E7ECF0"/>
          </w:tcPr>
          <w:p>
            <w:pPr>
              <w:jc w:val="center"/>
              <w:spacing w:after="0"/>
              <w:rPr>
                <w:sz w:val="20"/>
                <w:szCs w:val="20"/>
                <w:color w:val="auto"/>
              </w:rPr>
            </w:pPr>
            <w:r>
              <w:rPr>
                <w:rFonts w:ascii="Arial" w:cs="Arial" w:eastAsia="Arial" w:hAnsi="Arial"/>
                <w:sz w:val="14"/>
                <w:szCs w:val="14"/>
                <w:color w:val="auto"/>
                <w:w w:val="84"/>
              </w:rPr>
              <w:t>-</w:t>
            </w:r>
          </w:p>
        </w:tc>
        <w:tc>
          <w:tcPr>
            <w:tcW w:w="1240" w:type="dxa"/>
            <w:vAlign w:val="bottom"/>
            <w:tcBorders>
              <w:bottom w:val="single" w:sz="8" w:color="DBDBDB"/>
            </w:tcBorders>
            <w:shd w:val="clear" w:color="auto" w:fill="E7ECF0"/>
          </w:tcPr>
          <w:p>
            <w:pPr>
              <w:jc w:val="center"/>
              <w:spacing w:after="0"/>
              <w:rPr>
                <w:sz w:val="20"/>
                <w:szCs w:val="20"/>
                <w:color w:val="auto"/>
              </w:rPr>
            </w:pPr>
            <w:r>
              <w:rPr>
                <w:rFonts w:ascii="Arial" w:cs="Arial" w:eastAsia="Arial" w:hAnsi="Arial"/>
                <w:sz w:val="14"/>
                <w:szCs w:val="14"/>
                <w:color w:val="auto"/>
                <w:w w:val="84"/>
              </w:rPr>
              <w:t>-</w:t>
            </w:r>
          </w:p>
        </w:tc>
        <w:tc>
          <w:tcPr>
            <w:tcW w:w="1320" w:type="dxa"/>
            <w:vAlign w:val="bottom"/>
            <w:tcBorders>
              <w:bottom w:val="single" w:sz="8" w:color="DBDBDB"/>
            </w:tcBorders>
            <w:gridSpan w:val="2"/>
            <w:shd w:val="clear" w:color="auto" w:fill="E7ECF0"/>
          </w:tcPr>
          <w:p>
            <w:pPr>
              <w:jc w:val="right"/>
              <w:spacing w:after="0"/>
              <w:rPr>
                <w:sz w:val="20"/>
                <w:szCs w:val="20"/>
                <w:color w:val="auto"/>
              </w:rPr>
            </w:pPr>
            <w:r>
              <w:rPr>
                <w:rFonts w:ascii="Arial" w:cs="Arial" w:eastAsia="Arial" w:hAnsi="Arial"/>
                <w:sz w:val="14"/>
                <w:szCs w:val="14"/>
                <w:color w:val="auto"/>
              </w:rPr>
              <w:t>2,009</w:t>
            </w:r>
          </w:p>
        </w:tc>
        <w:tc>
          <w:tcPr>
            <w:tcW w:w="1260" w:type="dxa"/>
            <w:vAlign w:val="bottom"/>
            <w:tcBorders>
              <w:bottom w:val="single" w:sz="8" w:color="DBDBDB"/>
            </w:tcBorders>
            <w:shd w:val="clear" w:color="auto" w:fill="E7ECF0"/>
          </w:tcPr>
          <w:p>
            <w:pPr>
              <w:jc w:val="right"/>
              <w:spacing w:after="0"/>
              <w:rPr>
                <w:sz w:val="20"/>
                <w:szCs w:val="20"/>
                <w:color w:val="auto"/>
              </w:rPr>
            </w:pPr>
            <w:r>
              <w:rPr>
                <w:rFonts w:ascii="Arial" w:cs="Arial" w:eastAsia="Arial" w:hAnsi="Arial"/>
                <w:sz w:val="14"/>
                <w:szCs w:val="14"/>
                <w:color w:val="auto"/>
              </w:rPr>
              <w:t>333,534</w:t>
            </w:r>
          </w:p>
        </w:tc>
        <w:tc>
          <w:tcPr>
            <w:tcW w:w="1240" w:type="dxa"/>
            <w:vAlign w:val="bottom"/>
            <w:tcBorders>
              <w:bottom w:val="single" w:sz="8" w:color="DBDBDB"/>
            </w:tcBorders>
            <w:shd w:val="clear" w:color="auto" w:fill="E7ECF0"/>
          </w:tcPr>
          <w:p>
            <w:pPr>
              <w:jc w:val="center"/>
              <w:spacing w:after="0"/>
              <w:rPr>
                <w:sz w:val="20"/>
                <w:szCs w:val="20"/>
                <w:color w:val="auto"/>
              </w:rPr>
            </w:pPr>
            <w:r>
              <w:rPr>
                <w:rFonts w:ascii="Arial" w:cs="Arial" w:eastAsia="Arial" w:hAnsi="Arial"/>
                <w:sz w:val="14"/>
                <w:szCs w:val="14"/>
                <w:color w:val="auto"/>
                <w:w w:val="84"/>
              </w:rPr>
              <w:t>-</w:t>
            </w:r>
          </w:p>
        </w:tc>
        <w:tc>
          <w:tcPr>
            <w:tcW w:w="940" w:type="dxa"/>
            <w:vAlign w:val="bottom"/>
            <w:tcBorders>
              <w:bottom w:val="single" w:sz="8" w:color="DBDBDB"/>
            </w:tcBorders>
            <w:shd w:val="clear" w:color="auto" w:fill="E7ECF0"/>
          </w:tcPr>
          <w:p>
            <w:pPr>
              <w:jc w:val="center"/>
              <w:ind w:left="149"/>
              <w:spacing w:after="0"/>
              <w:rPr>
                <w:sz w:val="20"/>
                <w:szCs w:val="20"/>
                <w:color w:val="auto"/>
              </w:rPr>
            </w:pPr>
            <w:r>
              <w:rPr>
                <w:rFonts w:ascii="Arial" w:cs="Arial" w:eastAsia="Arial" w:hAnsi="Arial"/>
                <w:sz w:val="14"/>
                <w:szCs w:val="14"/>
                <w:color w:val="auto"/>
                <w:w w:val="84"/>
              </w:rPr>
              <w:t>-</w:t>
            </w:r>
          </w:p>
        </w:tc>
        <w:tc>
          <w:tcPr>
            <w:tcW w:w="240" w:type="dxa"/>
            <w:vAlign w:val="bottom"/>
            <w:tcBorders>
              <w:bottom w:val="single" w:sz="8" w:color="DBDBDB"/>
            </w:tcBorders>
            <w:shd w:val="clear" w:color="auto" w:fill="E7ECF0"/>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520" w:type="dxa"/>
            <w:vAlign w:val="bottom"/>
          </w:tcPr>
          <w:p>
            <w:pPr>
              <w:ind w:left="20"/>
              <w:spacing w:after="0"/>
              <w:rPr>
                <w:sz w:val="20"/>
                <w:szCs w:val="20"/>
                <w:color w:val="auto"/>
              </w:rPr>
            </w:pPr>
            <w:r>
              <w:rPr>
                <w:rFonts w:ascii="Arial" w:cs="Arial" w:eastAsia="Arial" w:hAnsi="Arial"/>
                <w:sz w:val="14"/>
                <w:szCs w:val="14"/>
                <w:color w:val="auto"/>
              </w:rPr>
              <w:t>Stacey. E. Zengel</w:t>
            </w:r>
          </w:p>
        </w:tc>
        <w:tc>
          <w:tcPr>
            <w:tcW w:w="1000" w:type="dxa"/>
            <w:vAlign w:val="bottom"/>
            <w:tcBorders>
              <w:bottom w:val="single" w:sz="8" w:color="DBDBDB"/>
            </w:tcBorders>
          </w:tcPr>
          <w:p>
            <w:pPr>
              <w:jc w:val="center"/>
              <w:spacing w:after="0"/>
              <w:rPr>
                <w:sz w:val="20"/>
                <w:szCs w:val="20"/>
                <w:color w:val="auto"/>
              </w:rPr>
            </w:pPr>
            <w:r>
              <w:rPr>
                <w:rFonts w:ascii="Arial" w:cs="Arial" w:eastAsia="Arial" w:hAnsi="Arial"/>
                <w:sz w:val="14"/>
                <w:szCs w:val="14"/>
                <w:color w:val="auto"/>
              </w:rPr>
              <w:t>8/4/2021</w:t>
            </w:r>
          </w:p>
        </w:tc>
        <w:tc>
          <w:tcPr>
            <w:tcW w:w="1240" w:type="dxa"/>
            <w:vAlign w:val="bottom"/>
            <w:tcBorders>
              <w:bottom w:val="single" w:sz="8" w:color="DBDBDB"/>
            </w:tcBorders>
          </w:tcPr>
          <w:p>
            <w:pPr>
              <w:jc w:val="center"/>
              <w:spacing w:after="0"/>
              <w:rPr>
                <w:sz w:val="20"/>
                <w:szCs w:val="20"/>
                <w:color w:val="auto"/>
              </w:rPr>
            </w:pPr>
            <w:r>
              <w:rPr>
                <w:rFonts w:ascii="Arial" w:cs="Arial" w:eastAsia="Arial" w:hAnsi="Arial"/>
                <w:sz w:val="14"/>
                <w:szCs w:val="14"/>
                <w:color w:val="auto"/>
                <w:w w:val="84"/>
              </w:rPr>
              <w:t>-</w:t>
            </w:r>
          </w:p>
        </w:tc>
        <w:tc>
          <w:tcPr>
            <w:tcW w:w="1240" w:type="dxa"/>
            <w:vAlign w:val="bottom"/>
            <w:tcBorders>
              <w:bottom w:val="single" w:sz="8" w:color="DBDBDB"/>
            </w:tcBorders>
          </w:tcPr>
          <w:p>
            <w:pPr>
              <w:jc w:val="center"/>
              <w:spacing w:after="0"/>
              <w:rPr>
                <w:sz w:val="20"/>
                <w:szCs w:val="20"/>
                <w:color w:val="auto"/>
              </w:rPr>
            </w:pPr>
            <w:r>
              <w:rPr>
                <w:rFonts w:ascii="Arial" w:cs="Arial" w:eastAsia="Arial" w:hAnsi="Arial"/>
                <w:sz w:val="14"/>
                <w:szCs w:val="14"/>
                <w:color w:val="auto"/>
                <w:w w:val="84"/>
              </w:rPr>
              <w:t>-</w:t>
            </w:r>
          </w:p>
        </w:tc>
        <w:tc>
          <w:tcPr>
            <w:tcW w:w="1240" w:type="dxa"/>
            <w:vAlign w:val="bottom"/>
            <w:tcBorders>
              <w:bottom w:val="single" w:sz="8" w:color="DBDBDB"/>
            </w:tcBorders>
          </w:tcPr>
          <w:p>
            <w:pPr>
              <w:jc w:val="center"/>
              <w:spacing w:after="0"/>
              <w:rPr>
                <w:sz w:val="20"/>
                <w:szCs w:val="20"/>
                <w:color w:val="auto"/>
              </w:rPr>
            </w:pPr>
            <w:r>
              <w:rPr>
                <w:rFonts w:ascii="Arial" w:cs="Arial" w:eastAsia="Arial" w:hAnsi="Arial"/>
                <w:sz w:val="14"/>
                <w:szCs w:val="14"/>
                <w:color w:val="auto"/>
                <w:w w:val="84"/>
              </w:rPr>
              <w:t>-</w:t>
            </w:r>
          </w:p>
        </w:tc>
        <w:tc>
          <w:tcPr>
            <w:tcW w:w="1320" w:type="dxa"/>
            <w:vAlign w:val="bottom"/>
            <w:tcBorders>
              <w:bottom w:val="single" w:sz="8" w:color="DBDBDB"/>
            </w:tcBorders>
            <w:gridSpan w:val="2"/>
          </w:tcPr>
          <w:p>
            <w:pPr>
              <w:jc w:val="center"/>
              <w:ind w:left="8"/>
              <w:spacing w:after="0"/>
              <w:rPr>
                <w:sz w:val="20"/>
                <w:szCs w:val="20"/>
                <w:color w:val="auto"/>
              </w:rPr>
            </w:pPr>
            <w:r>
              <w:rPr>
                <w:rFonts w:ascii="Arial" w:cs="Arial" w:eastAsia="Arial" w:hAnsi="Arial"/>
                <w:sz w:val="14"/>
                <w:szCs w:val="14"/>
                <w:color w:val="auto"/>
                <w:w w:val="84"/>
              </w:rPr>
              <w:t>-</w:t>
            </w:r>
          </w:p>
        </w:tc>
        <w:tc>
          <w:tcPr>
            <w:tcW w:w="1260" w:type="dxa"/>
            <w:vAlign w:val="bottom"/>
            <w:tcBorders>
              <w:bottom w:val="single" w:sz="8" w:color="DBDBDB"/>
            </w:tcBorders>
          </w:tcPr>
          <w:p>
            <w:pPr>
              <w:jc w:val="center"/>
              <w:spacing w:after="0"/>
              <w:rPr>
                <w:sz w:val="20"/>
                <w:szCs w:val="20"/>
                <w:color w:val="auto"/>
              </w:rPr>
            </w:pPr>
            <w:r>
              <w:rPr>
                <w:rFonts w:ascii="Arial" w:cs="Arial" w:eastAsia="Arial" w:hAnsi="Arial"/>
                <w:sz w:val="14"/>
                <w:szCs w:val="14"/>
                <w:color w:val="auto"/>
                <w:w w:val="84"/>
              </w:rPr>
              <w:t>-</w:t>
            </w:r>
          </w:p>
        </w:tc>
        <w:tc>
          <w:tcPr>
            <w:tcW w:w="124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1,156</w:t>
            </w:r>
          </w:p>
        </w:tc>
        <w:tc>
          <w:tcPr>
            <w:tcW w:w="1180" w:type="dxa"/>
            <w:vAlign w:val="bottom"/>
            <w:tcBorders>
              <w:bottom w:val="single" w:sz="8" w:color="DBDBDB"/>
            </w:tcBorders>
            <w:gridSpan w:val="2"/>
          </w:tcPr>
          <w:p>
            <w:pPr>
              <w:jc w:val="right"/>
              <w:spacing w:after="0"/>
              <w:rPr>
                <w:sz w:val="20"/>
                <w:szCs w:val="20"/>
                <w:color w:val="auto"/>
              </w:rPr>
            </w:pPr>
            <w:r>
              <w:rPr>
                <w:rFonts w:ascii="Arial" w:cs="Arial" w:eastAsia="Arial" w:hAnsi="Arial"/>
                <w:sz w:val="14"/>
                <w:szCs w:val="14"/>
                <w:color w:val="auto"/>
              </w:rPr>
              <w:t>191,919</w:t>
            </w:r>
          </w:p>
        </w:tc>
        <w:tc>
          <w:tcPr>
            <w:tcW w:w="0" w:type="dxa"/>
            <w:vAlign w:val="bottom"/>
          </w:tcPr>
          <w:p>
            <w:pPr>
              <w:spacing w:after="0"/>
              <w:rPr>
                <w:sz w:val="1"/>
                <w:szCs w:val="1"/>
                <w:color w:val="auto"/>
              </w:rPr>
            </w:pPr>
          </w:p>
        </w:tc>
      </w:tr>
      <w:tr>
        <w:trPr>
          <w:trHeight w:val="210"/>
        </w:trPr>
        <w:tc>
          <w:tcPr>
            <w:tcW w:w="1520" w:type="dxa"/>
            <w:vAlign w:val="bottom"/>
          </w:tcPr>
          <w:p>
            <w:pPr>
              <w:spacing w:after="0"/>
              <w:rPr>
                <w:sz w:val="18"/>
                <w:szCs w:val="18"/>
                <w:color w:val="auto"/>
              </w:rPr>
            </w:pPr>
          </w:p>
        </w:tc>
        <w:tc>
          <w:tcPr>
            <w:tcW w:w="1000" w:type="dxa"/>
            <w:vAlign w:val="bottom"/>
            <w:tcBorders>
              <w:bottom w:val="single" w:sz="8" w:color="DBDBDB"/>
            </w:tcBorders>
          </w:tcPr>
          <w:p>
            <w:pPr>
              <w:jc w:val="center"/>
              <w:spacing w:after="0"/>
              <w:rPr>
                <w:sz w:val="20"/>
                <w:szCs w:val="20"/>
                <w:color w:val="auto"/>
              </w:rPr>
            </w:pPr>
            <w:r>
              <w:rPr>
                <w:rFonts w:ascii="Arial" w:cs="Arial" w:eastAsia="Arial" w:hAnsi="Arial"/>
                <w:sz w:val="14"/>
                <w:szCs w:val="14"/>
                <w:color w:val="auto"/>
              </w:rPr>
              <w:t>8/4/2021</w:t>
            </w:r>
          </w:p>
        </w:tc>
        <w:tc>
          <w:tcPr>
            <w:tcW w:w="1240" w:type="dxa"/>
            <w:vAlign w:val="bottom"/>
            <w:tcBorders>
              <w:bottom w:val="single" w:sz="8" w:color="DBDBDB"/>
            </w:tcBorders>
          </w:tcPr>
          <w:p>
            <w:pPr>
              <w:jc w:val="center"/>
              <w:spacing w:after="0"/>
              <w:rPr>
                <w:sz w:val="20"/>
                <w:szCs w:val="20"/>
                <w:color w:val="auto"/>
              </w:rPr>
            </w:pPr>
            <w:r>
              <w:rPr>
                <w:rFonts w:ascii="Arial" w:cs="Arial" w:eastAsia="Arial" w:hAnsi="Arial"/>
                <w:sz w:val="14"/>
                <w:szCs w:val="14"/>
                <w:color w:val="auto"/>
                <w:w w:val="84"/>
              </w:rPr>
              <w:t>-</w:t>
            </w:r>
          </w:p>
        </w:tc>
        <w:tc>
          <w:tcPr>
            <w:tcW w:w="1240" w:type="dxa"/>
            <w:vAlign w:val="bottom"/>
            <w:tcBorders>
              <w:bottom w:val="single" w:sz="8" w:color="DBDBDB"/>
            </w:tcBorders>
          </w:tcPr>
          <w:p>
            <w:pPr>
              <w:jc w:val="center"/>
              <w:spacing w:after="0"/>
              <w:rPr>
                <w:sz w:val="20"/>
                <w:szCs w:val="20"/>
                <w:color w:val="auto"/>
              </w:rPr>
            </w:pPr>
            <w:r>
              <w:rPr>
                <w:rFonts w:ascii="Arial" w:cs="Arial" w:eastAsia="Arial" w:hAnsi="Arial"/>
                <w:sz w:val="14"/>
                <w:szCs w:val="14"/>
                <w:color w:val="auto"/>
                <w:w w:val="84"/>
              </w:rPr>
              <w:t>-</w:t>
            </w:r>
          </w:p>
        </w:tc>
        <w:tc>
          <w:tcPr>
            <w:tcW w:w="1240" w:type="dxa"/>
            <w:vAlign w:val="bottom"/>
            <w:tcBorders>
              <w:bottom w:val="single" w:sz="8" w:color="DBDBDB"/>
            </w:tcBorders>
          </w:tcPr>
          <w:p>
            <w:pPr>
              <w:jc w:val="center"/>
              <w:spacing w:after="0"/>
              <w:rPr>
                <w:sz w:val="20"/>
                <w:szCs w:val="20"/>
                <w:color w:val="auto"/>
              </w:rPr>
            </w:pPr>
            <w:r>
              <w:rPr>
                <w:rFonts w:ascii="Arial" w:cs="Arial" w:eastAsia="Arial" w:hAnsi="Arial"/>
                <w:sz w:val="14"/>
                <w:szCs w:val="14"/>
                <w:color w:val="auto"/>
                <w:w w:val="84"/>
              </w:rPr>
              <w:t>-</w:t>
            </w:r>
          </w:p>
        </w:tc>
        <w:tc>
          <w:tcPr>
            <w:tcW w:w="1320" w:type="dxa"/>
            <w:vAlign w:val="bottom"/>
            <w:tcBorders>
              <w:bottom w:val="single" w:sz="8" w:color="DBDBDB"/>
            </w:tcBorders>
            <w:gridSpan w:val="2"/>
          </w:tcPr>
          <w:p>
            <w:pPr>
              <w:jc w:val="right"/>
              <w:spacing w:after="0"/>
              <w:rPr>
                <w:sz w:val="20"/>
                <w:szCs w:val="20"/>
                <w:color w:val="auto"/>
              </w:rPr>
            </w:pPr>
            <w:r>
              <w:rPr>
                <w:rFonts w:ascii="Arial" w:cs="Arial" w:eastAsia="Arial" w:hAnsi="Arial"/>
                <w:sz w:val="14"/>
                <w:szCs w:val="14"/>
                <w:color w:val="auto"/>
              </w:rPr>
              <w:t>257</w:t>
            </w:r>
          </w:p>
        </w:tc>
        <w:tc>
          <w:tcPr>
            <w:tcW w:w="126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42,667</w:t>
            </w:r>
          </w:p>
        </w:tc>
        <w:tc>
          <w:tcPr>
            <w:tcW w:w="1240" w:type="dxa"/>
            <w:vAlign w:val="bottom"/>
            <w:tcBorders>
              <w:bottom w:val="single" w:sz="8" w:color="DBDBDB"/>
            </w:tcBorders>
          </w:tcPr>
          <w:p>
            <w:pPr>
              <w:jc w:val="center"/>
              <w:spacing w:after="0"/>
              <w:rPr>
                <w:sz w:val="20"/>
                <w:szCs w:val="20"/>
                <w:color w:val="auto"/>
              </w:rPr>
            </w:pPr>
            <w:r>
              <w:rPr>
                <w:rFonts w:ascii="Arial" w:cs="Arial" w:eastAsia="Arial" w:hAnsi="Arial"/>
                <w:sz w:val="14"/>
                <w:szCs w:val="14"/>
                <w:color w:val="auto"/>
                <w:w w:val="84"/>
              </w:rPr>
              <w:t>-</w:t>
            </w:r>
          </w:p>
        </w:tc>
        <w:tc>
          <w:tcPr>
            <w:tcW w:w="940" w:type="dxa"/>
            <w:vAlign w:val="bottom"/>
            <w:tcBorders>
              <w:bottom w:val="single" w:sz="8" w:color="DBDBDB"/>
            </w:tcBorders>
          </w:tcPr>
          <w:p>
            <w:pPr>
              <w:jc w:val="center"/>
              <w:ind w:left="149"/>
              <w:spacing w:after="0"/>
              <w:rPr>
                <w:sz w:val="20"/>
                <w:szCs w:val="20"/>
                <w:color w:val="auto"/>
              </w:rPr>
            </w:pPr>
            <w:r>
              <w:rPr>
                <w:rFonts w:ascii="Arial" w:cs="Arial" w:eastAsia="Arial" w:hAnsi="Arial"/>
                <w:sz w:val="14"/>
                <w:szCs w:val="14"/>
                <w:color w:val="auto"/>
                <w:w w:val="84"/>
              </w:rPr>
              <w:t>-</w:t>
            </w:r>
          </w:p>
        </w:tc>
        <w:tc>
          <w:tcPr>
            <w:tcW w:w="240" w:type="dxa"/>
            <w:vAlign w:val="bottom"/>
            <w:tcBorders>
              <w:bottom w:val="single" w:sz="8" w:color="DBDBDB"/>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520" w:type="dxa"/>
            <w:vAlign w:val="bottom"/>
          </w:tcPr>
          <w:p>
            <w:pPr>
              <w:spacing w:after="0"/>
              <w:rPr>
                <w:sz w:val="18"/>
                <w:szCs w:val="18"/>
                <w:color w:val="auto"/>
              </w:rPr>
            </w:pPr>
          </w:p>
        </w:tc>
        <w:tc>
          <w:tcPr>
            <w:tcW w:w="1000" w:type="dxa"/>
            <w:vAlign w:val="bottom"/>
            <w:tcBorders>
              <w:bottom w:val="single" w:sz="8" w:color="DBDBDB"/>
            </w:tcBorders>
          </w:tcPr>
          <w:p>
            <w:pPr>
              <w:jc w:val="center"/>
              <w:spacing w:after="0"/>
              <w:rPr>
                <w:sz w:val="20"/>
                <w:szCs w:val="20"/>
                <w:color w:val="auto"/>
              </w:rPr>
            </w:pPr>
            <w:r>
              <w:rPr>
                <w:rFonts w:ascii="Arial" w:cs="Arial" w:eastAsia="Arial" w:hAnsi="Arial"/>
                <w:sz w:val="14"/>
                <w:szCs w:val="14"/>
                <w:color w:val="auto"/>
              </w:rPr>
              <w:t>8/4/2022</w:t>
            </w:r>
          </w:p>
        </w:tc>
        <w:tc>
          <w:tcPr>
            <w:tcW w:w="1240" w:type="dxa"/>
            <w:vAlign w:val="bottom"/>
            <w:tcBorders>
              <w:bottom w:val="single" w:sz="8" w:color="DBDBDB"/>
            </w:tcBorders>
          </w:tcPr>
          <w:p>
            <w:pPr>
              <w:jc w:val="center"/>
              <w:spacing w:after="0"/>
              <w:rPr>
                <w:sz w:val="20"/>
                <w:szCs w:val="20"/>
                <w:color w:val="auto"/>
              </w:rPr>
            </w:pPr>
            <w:r>
              <w:rPr>
                <w:rFonts w:ascii="Arial" w:cs="Arial" w:eastAsia="Arial" w:hAnsi="Arial"/>
                <w:sz w:val="14"/>
                <w:szCs w:val="14"/>
                <w:color w:val="auto"/>
                <w:w w:val="84"/>
              </w:rPr>
              <w:t>-</w:t>
            </w:r>
          </w:p>
        </w:tc>
        <w:tc>
          <w:tcPr>
            <w:tcW w:w="1240" w:type="dxa"/>
            <w:vAlign w:val="bottom"/>
            <w:tcBorders>
              <w:bottom w:val="single" w:sz="8" w:color="DBDBDB"/>
            </w:tcBorders>
          </w:tcPr>
          <w:p>
            <w:pPr>
              <w:jc w:val="center"/>
              <w:spacing w:after="0"/>
              <w:rPr>
                <w:sz w:val="20"/>
                <w:szCs w:val="20"/>
                <w:color w:val="auto"/>
              </w:rPr>
            </w:pPr>
            <w:r>
              <w:rPr>
                <w:rFonts w:ascii="Arial" w:cs="Arial" w:eastAsia="Arial" w:hAnsi="Arial"/>
                <w:sz w:val="14"/>
                <w:szCs w:val="14"/>
                <w:color w:val="auto"/>
                <w:w w:val="84"/>
              </w:rPr>
              <w:t>-</w:t>
            </w:r>
          </w:p>
        </w:tc>
        <w:tc>
          <w:tcPr>
            <w:tcW w:w="1240" w:type="dxa"/>
            <w:vAlign w:val="bottom"/>
            <w:tcBorders>
              <w:bottom w:val="single" w:sz="8" w:color="DBDBDB"/>
            </w:tcBorders>
          </w:tcPr>
          <w:p>
            <w:pPr>
              <w:jc w:val="center"/>
              <w:spacing w:after="0"/>
              <w:rPr>
                <w:sz w:val="20"/>
                <w:szCs w:val="20"/>
                <w:color w:val="auto"/>
              </w:rPr>
            </w:pPr>
            <w:r>
              <w:rPr>
                <w:rFonts w:ascii="Arial" w:cs="Arial" w:eastAsia="Arial" w:hAnsi="Arial"/>
                <w:sz w:val="14"/>
                <w:szCs w:val="14"/>
                <w:color w:val="auto"/>
                <w:w w:val="84"/>
              </w:rPr>
              <w:t>-</w:t>
            </w:r>
          </w:p>
        </w:tc>
        <w:tc>
          <w:tcPr>
            <w:tcW w:w="1320" w:type="dxa"/>
            <w:vAlign w:val="bottom"/>
            <w:tcBorders>
              <w:bottom w:val="single" w:sz="8" w:color="DBDBDB"/>
            </w:tcBorders>
            <w:gridSpan w:val="2"/>
          </w:tcPr>
          <w:p>
            <w:pPr>
              <w:jc w:val="center"/>
              <w:ind w:left="8"/>
              <w:spacing w:after="0"/>
              <w:rPr>
                <w:sz w:val="20"/>
                <w:szCs w:val="20"/>
                <w:color w:val="auto"/>
              </w:rPr>
            </w:pPr>
            <w:r>
              <w:rPr>
                <w:rFonts w:ascii="Arial" w:cs="Arial" w:eastAsia="Arial" w:hAnsi="Arial"/>
                <w:sz w:val="14"/>
                <w:szCs w:val="14"/>
                <w:color w:val="auto"/>
                <w:w w:val="84"/>
              </w:rPr>
              <w:t>-</w:t>
            </w:r>
          </w:p>
        </w:tc>
        <w:tc>
          <w:tcPr>
            <w:tcW w:w="1260" w:type="dxa"/>
            <w:vAlign w:val="bottom"/>
            <w:tcBorders>
              <w:bottom w:val="single" w:sz="8" w:color="DBDBDB"/>
            </w:tcBorders>
          </w:tcPr>
          <w:p>
            <w:pPr>
              <w:jc w:val="center"/>
              <w:spacing w:after="0"/>
              <w:rPr>
                <w:sz w:val="20"/>
                <w:szCs w:val="20"/>
                <w:color w:val="auto"/>
              </w:rPr>
            </w:pPr>
            <w:r>
              <w:rPr>
                <w:rFonts w:ascii="Arial" w:cs="Arial" w:eastAsia="Arial" w:hAnsi="Arial"/>
                <w:sz w:val="14"/>
                <w:szCs w:val="14"/>
                <w:color w:val="auto"/>
                <w:w w:val="84"/>
              </w:rPr>
              <w:t>-</w:t>
            </w:r>
          </w:p>
        </w:tc>
        <w:tc>
          <w:tcPr>
            <w:tcW w:w="124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663</w:t>
            </w:r>
          </w:p>
        </w:tc>
        <w:tc>
          <w:tcPr>
            <w:tcW w:w="1180" w:type="dxa"/>
            <w:vAlign w:val="bottom"/>
            <w:tcBorders>
              <w:bottom w:val="single" w:sz="8" w:color="DBDBDB"/>
            </w:tcBorders>
            <w:gridSpan w:val="2"/>
          </w:tcPr>
          <w:p>
            <w:pPr>
              <w:jc w:val="right"/>
              <w:spacing w:after="0"/>
              <w:rPr>
                <w:sz w:val="20"/>
                <w:szCs w:val="20"/>
                <w:color w:val="auto"/>
              </w:rPr>
            </w:pPr>
            <w:r>
              <w:rPr>
                <w:rFonts w:ascii="Arial" w:cs="Arial" w:eastAsia="Arial" w:hAnsi="Arial"/>
                <w:sz w:val="14"/>
                <w:szCs w:val="14"/>
                <w:color w:val="auto"/>
              </w:rPr>
              <w:t>110,071</w:t>
            </w:r>
          </w:p>
        </w:tc>
        <w:tc>
          <w:tcPr>
            <w:tcW w:w="0" w:type="dxa"/>
            <w:vAlign w:val="bottom"/>
          </w:tcPr>
          <w:p>
            <w:pPr>
              <w:spacing w:after="0"/>
              <w:rPr>
                <w:sz w:val="1"/>
                <w:szCs w:val="1"/>
                <w:color w:val="auto"/>
              </w:rPr>
            </w:pPr>
          </w:p>
        </w:tc>
      </w:tr>
      <w:tr>
        <w:trPr>
          <w:trHeight w:val="210"/>
        </w:trPr>
        <w:tc>
          <w:tcPr>
            <w:tcW w:w="1520" w:type="dxa"/>
            <w:vAlign w:val="bottom"/>
          </w:tcPr>
          <w:p>
            <w:pPr>
              <w:spacing w:after="0"/>
              <w:rPr>
                <w:sz w:val="18"/>
                <w:szCs w:val="18"/>
                <w:color w:val="auto"/>
              </w:rPr>
            </w:pPr>
          </w:p>
        </w:tc>
        <w:tc>
          <w:tcPr>
            <w:tcW w:w="1000" w:type="dxa"/>
            <w:vAlign w:val="bottom"/>
            <w:tcBorders>
              <w:bottom w:val="single" w:sz="8" w:color="DBDBDB"/>
            </w:tcBorders>
          </w:tcPr>
          <w:p>
            <w:pPr>
              <w:jc w:val="center"/>
              <w:spacing w:after="0"/>
              <w:rPr>
                <w:sz w:val="20"/>
                <w:szCs w:val="20"/>
                <w:color w:val="auto"/>
              </w:rPr>
            </w:pPr>
            <w:r>
              <w:rPr>
                <w:rFonts w:ascii="Arial" w:cs="Arial" w:eastAsia="Arial" w:hAnsi="Arial"/>
                <w:sz w:val="14"/>
                <w:szCs w:val="14"/>
                <w:color w:val="auto"/>
              </w:rPr>
              <w:t>8/4/2022</w:t>
            </w:r>
          </w:p>
        </w:tc>
        <w:tc>
          <w:tcPr>
            <w:tcW w:w="1240" w:type="dxa"/>
            <w:vAlign w:val="bottom"/>
            <w:tcBorders>
              <w:bottom w:val="single" w:sz="8" w:color="DBDBDB"/>
            </w:tcBorders>
          </w:tcPr>
          <w:p>
            <w:pPr>
              <w:jc w:val="center"/>
              <w:spacing w:after="0"/>
              <w:rPr>
                <w:sz w:val="20"/>
                <w:szCs w:val="20"/>
                <w:color w:val="auto"/>
              </w:rPr>
            </w:pPr>
            <w:r>
              <w:rPr>
                <w:rFonts w:ascii="Arial" w:cs="Arial" w:eastAsia="Arial" w:hAnsi="Arial"/>
                <w:sz w:val="14"/>
                <w:szCs w:val="14"/>
                <w:color w:val="auto"/>
                <w:w w:val="84"/>
              </w:rPr>
              <w:t>-</w:t>
            </w:r>
          </w:p>
        </w:tc>
        <w:tc>
          <w:tcPr>
            <w:tcW w:w="1240" w:type="dxa"/>
            <w:vAlign w:val="bottom"/>
            <w:tcBorders>
              <w:bottom w:val="single" w:sz="8" w:color="DBDBDB"/>
            </w:tcBorders>
          </w:tcPr>
          <w:p>
            <w:pPr>
              <w:jc w:val="center"/>
              <w:spacing w:after="0"/>
              <w:rPr>
                <w:sz w:val="20"/>
                <w:szCs w:val="20"/>
                <w:color w:val="auto"/>
              </w:rPr>
            </w:pPr>
            <w:r>
              <w:rPr>
                <w:rFonts w:ascii="Arial" w:cs="Arial" w:eastAsia="Arial" w:hAnsi="Arial"/>
                <w:sz w:val="14"/>
                <w:szCs w:val="14"/>
                <w:color w:val="auto"/>
                <w:w w:val="84"/>
              </w:rPr>
              <w:t>-</w:t>
            </w:r>
          </w:p>
        </w:tc>
        <w:tc>
          <w:tcPr>
            <w:tcW w:w="1240" w:type="dxa"/>
            <w:vAlign w:val="bottom"/>
            <w:tcBorders>
              <w:bottom w:val="single" w:sz="8" w:color="DBDBDB"/>
            </w:tcBorders>
          </w:tcPr>
          <w:p>
            <w:pPr>
              <w:jc w:val="center"/>
              <w:spacing w:after="0"/>
              <w:rPr>
                <w:sz w:val="20"/>
                <w:szCs w:val="20"/>
                <w:color w:val="auto"/>
              </w:rPr>
            </w:pPr>
            <w:r>
              <w:rPr>
                <w:rFonts w:ascii="Arial" w:cs="Arial" w:eastAsia="Arial" w:hAnsi="Arial"/>
                <w:sz w:val="14"/>
                <w:szCs w:val="14"/>
                <w:color w:val="auto"/>
                <w:w w:val="84"/>
              </w:rPr>
              <w:t>-</w:t>
            </w:r>
          </w:p>
        </w:tc>
        <w:tc>
          <w:tcPr>
            <w:tcW w:w="1320" w:type="dxa"/>
            <w:vAlign w:val="bottom"/>
            <w:tcBorders>
              <w:bottom w:val="single" w:sz="8" w:color="DBDBDB"/>
            </w:tcBorders>
            <w:gridSpan w:val="2"/>
          </w:tcPr>
          <w:p>
            <w:pPr>
              <w:jc w:val="right"/>
              <w:spacing w:after="0"/>
              <w:rPr>
                <w:sz w:val="20"/>
                <w:szCs w:val="20"/>
                <w:color w:val="auto"/>
              </w:rPr>
            </w:pPr>
            <w:r>
              <w:rPr>
                <w:rFonts w:ascii="Arial" w:cs="Arial" w:eastAsia="Arial" w:hAnsi="Arial"/>
                <w:sz w:val="14"/>
                <w:szCs w:val="14"/>
                <w:color w:val="auto"/>
              </w:rPr>
              <w:t>442</w:t>
            </w:r>
          </w:p>
        </w:tc>
        <w:tc>
          <w:tcPr>
            <w:tcW w:w="126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73,381</w:t>
            </w:r>
          </w:p>
        </w:tc>
        <w:tc>
          <w:tcPr>
            <w:tcW w:w="1240" w:type="dxa"/>
            <w:vAlign w:val="bottom"/>
            <w:tcBorders>
              <w:bottom w:val="single" w:sz="8" w:color="DBDBDB"/>
            </w:tcBorders>
          </w:tcPr>
          <w:p>
            <w:pPr>
              <w:jc w:val="center"/>
              <w:spacing w:after="0"/>
              <w:rPr>
                <w:sz w:val="20"/>
                <w:szCs w:val="20"/>
                <w:color w:val="auto"/>
              </w:rPr>
            </w:pPr>
            <w:r>
              <w:rPr>
                <w:rFonts w:ascii="Arial" w:cs="Arial" w:eastAsia="Arial" w:hAnsi="Arial"/>
                <w:sz w:val="14"/>
                <w:szCs w:val="14"/>
                <w:color w:val="auto"/>
                <w:w w:val="84"/>
              </w:rPr>
              <w:t>-</w:t>
            </w:r>
          </w:p>
        </w:tc>
        <w:tc>
          <w:tcPr>
            <w:tcW w:w="940" w:type="dxa"/>
            <w:vAlign w:val="bottom"/>
            <w:tcBorders>
              <w:bottom w:val="single" w:sz="8" w:color="DBDBDB"/>
            </w:tcBorders>
          </w:tcPr>
          <w:p>
            <w:pPr>
              <w:jc w:val="center"/>
              <w:ind w:left="149"/>
              <w:spacing w:after="0"/>
              <w:rPr>
                <w:sz w:val="20"/>
                <w:szCs w:val="20"/>
                <w:color w:val="auto"/>
              </w:rPr>
            </w:pPr>
            <w:r>
              <w:rPr>
                <w:rFonts w:ascii="Arial" w:cs="Arial" w:eastAsia="Arial" w:hAnsi="Arial"/>
                <w:sz w:val="14"/>
                <w:szCs w:val="14"/>
                <w:color w:val="auto"/>
                <w:w w:val="84"/>
              </w:rPr>
              <w:t>-</w:t>
            </w:r>
          </w:p>
        </w:tc>
        <w:tc>
          <w:tcPr>
            <w:tcW w:w="240" w:type="dxa"/>
            <w:vAlign w:val="bottom"/>
            <w:tcBorders>
              <w:bottom w:val="single" w:sz="8" w:color="DBDBDB"/>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520" w:type="dxa"/>
            <w:vAlign w:val="bottom"/>
          </w:tcPr>
          <w:p>
            <w:pPr>
              <w:spacing w:after="0"/>
              <w:rPr>
                <w:sz w:val="18"/>
                <w:szCs w:val="18"/>
                <w:color w:val="auto"/>
              </w:rPr>
            </w:pPr>
          </w:p>
        </w:tc>
        <w:tc>
          <w:tcPr>
            <w:tcW w:w="1000" w:type="dxa"/>
            <w:vAlign w:val="bottom"/>
            <w:tcBorders>
              <w:bottom w:val="single" w:sz="8" w:color="DBDBDB"/>
            </w:tcBorders>
          </w:tcPr>
          <w:p>
            <w:pPr>
              <w:jc w:val="center"/>
              <w:spacing w:after="0"/>
              <w:rPr>
                <w:sz w:val="20"/>
                <w:szCs w:val="20"/>
                <w:color w:val="auto"/>
              </w:rPr>
            </w:pPr>
            <w:r>
              <w:rPr>
                <w:rFonts w:ascii="Arial" w:cs="Arial" w:eastAsia="Arial" w:hAnsi="Arial"/>
                <w:sz w:val="14"/>
                <w:szCs w:val="14"/>
                <w:color w:val="auto"/>
              </w:rPr>
              <w:t>8/4/2023</w:t>
            </w:r>
          </w:p>
        </w:tc>
        <w:tc>
          <w:tcPr>
            <w:tcW w:w="1240" w:type="dxa"/>
            <w:vAlign w:val="bottom"/>
            <w:tcBorders>
              <w:bottom w:val="single" w:sz="8" w:color="DBDBDB"/>
            </w:tcBorders>
          </w:tcPr>
          <w:p>
            <w:pPr>
              <w:jc w:val="center"/>
              <w:spacing w:after="0"/>
              <w:rPr>
                <w:sz w:val="20"/>
                <w:szCs w:val="20"/>
                <w:color w:val="auto"/>
              </w:rPr>
            </w:pPr>
            <w:r>
              <w:rPr>
                <w:rFonts w:ascii="Arial" w:cs="Arial" w:eastAsia="Arial" w:hAnsi="Arial"/>
                <w:sz w:val="14"/>
                <w:szCs w:val="14"/>
                <w:color w:val="auto"/>
                <w:w w:val="84"/>
              </w:rPr>
              <w:t>-</w:t>
            </w:r>
          </w:p>
        </w:tc>
        <w:tc>
          <w:tcPr>
            <w:tcW w:w="1240" w:type="dxa"/>
            <w:vAlign w:val="bottom"/>
            <w:tcBorders>
              <w:bottom w:val="single" w:sz="8" w:color="DBDBDB"/>
            </w:tcBorders>
          </w:tcPr>
          <w:p>
            <w:pPr>
              <w:jc w:val="center"/>
              <w:spacing w:after="0"/>
              <w:rPr>
                <w:sz w:val="20"/>
                <w:szCs w:val="20"/>
                <w:color w:val="auto"/>
              </w:rPr>
            </w:pPr>
            <w:r>
              <w:rPr>
                <w:rFonts w:ascii="Arial" w:cs="Arial" w:eastAsia="Arial" w:hAnsi="Arial"/>
                <w:sz w:val="14"/>
                <w:szCs w:val="14"/>
                <w:color w:val="auto"/>
                <w:w w:val="84"/>
              </w:rPr>
              <w:t>-</w:t>
            </w:r>
          </w:p>
        </w:tc>
        <w:tc>
          <w:tcPr>
            <w:tcW w:w="1240" w:type="dxa"/>
            <w:vAlign w:val="bottom"/>
            <w:tcBorders>
              <w:bottom w:val="single" w:sz="8" w:color="DBDBDB"/>
            </w:tcBorders>
          </w:tcPr>
          <w:p>
            <w:pPr>
              <w:jc w:val="center"/>
              <w:spacing w:after="0"/>
              <w:rPr>
                <w:sz w:val="20"/>
                <w:szCs w:val="20"/>
                <w:color w:val="auto"/>
              </w:rPr>
            </w:pPr>
            <w:r>
              <w:rPr>
                <w:rFonts w:ascii="Arial" w:cs="Arial" w:eastAsia="Arial" w:hAnsi="Arial"/>
                <w:sz w:val="14"/>
                <w:szCs w:val="14"/>
                <w:color w:val="auto"/>
                <w:w w:val="84"/>
              </w:rPr>
              <w:t>-</w:t>
            </w:r>
          </w:p>
        </w:tc>
        <w:tc>
          <w:tcPr>
            <w:tcW w:w="1320" w:type="dxa"/>
            <w:vAlign w:val="bottom"/>
            <w:tcBorders>
              <w:bottom w:val="single" w:sz="8" w:color="DBDBDB"/>
            </w:tcBorders>
            <w:gridSpan w:val="2"/>
          </w:tcPr>
          <w:p>
            <w:pPr>
              <w:jc w:val="center"/>
              <w:ind w:left="8"/>
              <w:spacing w:after="0"/>
              <w:rPr>
                <w:sz w:val="20"/>
                <w:szCs w:val="20"/>
                <w:color w:val="auto"/>
              </w:rPr>
            </w:pPr>
            <w:r>
              <w:rPr>
                <w:rFonts w:ascii="Arial" w:cs="Arial" w:eastAsia="Arial" w:hAnsi="Arial"/>
                <w:sz w:val="14"/>
                <w:szCs w:val="14"/>
                <w:color w:val="auto"/>
                <w:w w:val="84"/>
              </w:rPr>
              <w:t>-</w:t>
            </w:r>
          </w:p>
        </w:tc>
        <w:tc>
          <w:tcPr>
            <w:tcW w:w="1260" w:type="dxa"/>
            <w:vAlign w:val="bottom"/>
            <w:tcBorders>
              <w:bottom w:val="single" w:sz="8" w:color="DBDBDB"/>
            </w:tcBorders>
          </w:tcPr>
          <w:p>
            <w:pPr>
              <w:jc w:val="center"/>
              <w:spacing w:after="0"/>
              <w:rPr>
                <w:sz w:val="20"/>
                <w:szCs w:val="20"/>
                <w:color w:val="auto"/>
              </w:rPr>
            </w:pPr>
            <w:r>
              <w:rPr>
                <w:rFonts w:ascii="Arial" w:cs="Arial" w:eastAsia="Arial" w:hAnsi="Arial"/>
                <w:sz w:val="14"/>
                <w:szCs w:val="14"/>
                <w:color w:val="auto"/>
                <w:w w:val="84"/>
              </w:rPr>
              <w:t>-</w:t>
            </w:r>
          </w:p>
        </w:tc>
        <w:tc>
          <w:tcPr>
            <w:tcW w:w="124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403</w:t>
            </w:r>
          </w:p>
        </w:tc>
        <w:tc>
          <w:tcPr>
            <w:tcW w:w="1180" w:type="dxa"/>
            <w:vAlign w:val="bottom"/>
            <w:tcBorders>
              <w:bottom w:val="single" w:sz="8" w:color="DBDBDB"/>
            </w:tcBorders>
            <w:gridSpan w:val="2"/>
          </w:tcPr>
          <w:p>
            <w:pPr>
              <w:jc w:val="right"/>
              <w:spacing w:after="0"/>
              <w:rPr>
                <w:sz w:val="20"/>
                <w:szCs w:val="20"/>
                <w:color w:val="auto"/>
              </w:rPr>
            </w:pPr>
            <w:r>
              <w:rPr>
                <w:rFonts w:ascii="Arial" w:cs="Arial" w:eastAsia="Arial" w:hAnsi="Arial"/>
                <w:sz w:val="14"/>
                <w:szCs w:val="14"/>
                <w:color w:val="auto"/>
              </w:rPr>
              <w:t>66,906</w:t>
            </w:r>
          </w:p>
        </w:tc>
        <w:tc>
          <w:tcPr>
            <w:tcW w:w="0" w:type="dxa"/>
            <w:vAlign w:val="bottom"/>
          </w:tcPr>
          <w:p>
            <w:pPr>
              <w:spacing w:after="0"/>
              <w:rPr>
                <w:sz w:val="1"/>
                <w:szCs w:val="1"/>
                <w:color w:val="auto"/>
              </w:rPr>
            </w:pPr>
          </w:p>
        </w:tc>
      </w:tr>
      <w:tr>
        <w:trPr>
          <w:trHeight w:val="209"/>
        </w:trPr>
        <w:tc>
          <w:tcPr>
            <w:tcW w:w="1520" w:type="dxa"/>
            <w:vAlign w:val="bottom"/>
            <w:tcBorders>
              <w:bottom w:val="single" w:sz="8" w:color="DBDBDB"/>
            </w:tcBorders>
          </w:tcPr>
          <w:p>
            <w:pPr>
              <w:spacing w:after="0"/>
              <w:rPr>
                <w:sz w:val="18"/>
                <w:szCs w:val="18"/>
                <w:color w:val="auto"/>
              </w:rPr>
            </w:pPr>
          </w:p>
        </w:tc>
        <w:tc>
          <w:tcPr>
            <w:tcW w:w="1000" w:type="dxa"/>
            <w:vAlign w:val="bottom"/>
            <w:tcBorders>
              <w:bottom w:val="single" w:sz="8" w:color="DBDBDB"/>
            </w:tcBorders>
          </w:tcPr>
          <w:p>
            <w:pPr>
              <w:jc w:val="center"/>
              <w:spacing w:after="0"/>
              <w:rPr>
                <w:sz w:val="20"/>
                <w:szCs w:val="20"/>
                <w:color w:val="auto"/>
              </w:rPr>
            </w:pPr>
            <w:r>
              <w:rPr>
                <w:rFonts w:ascii="Arial" w:cs="Arial" w:eastAsia="Arial" w:hAnsi="Arial"/>
                <w:sz w:val="14"/>
                <w:szCs w:val="14"/>
                <w:color w:val="auto"/>
              </w:rPr>
              <w:t>8/4/2023</w:t>
            </w:r>
          </w:p>
        </w:tc>
        <w:tc>
          <w:tcPr>
            <w:tcW w:w="1240" w:type="dxa"/>
            <w:vAlign w:val="bottom"/>
            <w:tcBorders>
              <w:bottom w:val="single" w:sz="8" w:color="DBDBDB"/>
            </w:tcBorders>
          </w:tcPr>
          <w:p>
            <w:pPr>
              <w:jc w:val="center"/>
              <w:spacing w:after="0"/>
              <w:rPr>
                <w:sz w:val="20"/>
                <w:szCs w:val="20"/>
                <w:color w:val="auto"/>
              </w:rPr>
            </w:pPr>
            <w:r>
              <w:rPr>
                <w:rFonts w:ascii="Arial" w:cs="Arial" w:eastAsia="Arial" w:hAnsi="Arial"/>
                <w:sz w:val="14"/>
                <w:szCs w:val="14"/>
                <w:color w:val="auto"/>
                <w:w w:val="84"/>
              </w:rPr>
              <w:t>-</w:t>
            </w:r>
          </w:p>
        </w:tc>
        <w:tc>
          <w:tcPr>
            <w:tcW w:w="1240" w:type="dxa"/>
            <w:vAlign w:val="bottom"/>
            <w:tcBorders>
              <w:bottom w:val="single" w:sz="8" w:color="DBDBDB"/>
            </w:tcBorders>
          </w:tcPr>
          <w:p>
            <w:pPr>
              <w:jc w:val="center"/>
              <w:spacing w:after="0"/>
              <w:rPr>
                <w:sz w:val="20"/>
                <w:szCs w:val="20"/>
                <w:color w:val="auto"/>
              </w:rPr>
            </w:pPr>
            <w:r>
              <w:rPr>
                <w:rFonts w:ascii="Arial" w:cs="Arial" w:eastAsia="Arial" w:hAnsi="Arial"/>
                <w:sz w:val="14"/>
                <w:szCs w:val="14"/>
                <w:color w:val="auto"/>
                <w:w w:val="84"/>
              </w:rPr>
              <w:t>-</w:t>
            </w:r>
          </w:p>
        </w:tc>
        <w:tc>
          <w:tcPr>
            <w:tcW w:w="1240" w:type="dxa"/>
            <w:vAlign w:val="bottom"/>
            <w:tcBorders>
              <w:bottom w:val="single" w:sz="8" w:color="DBDBDB"/>
            </w:tcBorders>
          </w:tcPr>
          <w:p>
            <w:pPr>
              <w:jc w:val="center"/>
              <w:spacing w:after="0"/>
              <w:rPr>
                <w:sz w:val="20"/>
                <w:szCs w:val="20"/>
                <w:color w:val="auto"/>
              </w:rPr>
            </w:pPr>
            <w:r>
              <w:rPr>
                <w:rFonts w:ascii="Arial" w:cs="Arial" w:eastAsia="Arial" w:hAnsi="Arial"/>
                <w:sz w:val="14"/>
                <w:szCs w:val="14"/>
                <w:color w:val="auto"/>
                <w:w w:val="84"/>
              </w:rPr>
              <w:t>-</w:t>
            </w:r>
          </w:p>
        </w:tc>
        <w:tc>
          <w:tcPr>
            <w:tcW w:w="1320" w:type="dxa"/>
            <w:vAlign w:val="bottom"/>
            <w:tcBorders>
              <w:bottom w:val="single" w:sz="8" w:color="DBDBDB"/>
            </w:tcBorders>
            <w:gridSpan w:val="2"/>
          </w:tcPr>
          <w:p>
            <w:pPr>
              <w:jc w:val="right"/>
              <w:spacing w:after="0"/>
              <w:rPr>
                <w:sz w:val="20"/>
                <w:szCs w:val="20"/>
                <w:color w:val="auto"/>
              </w:rPr>
            </w:pPr>
            <w:r>
              <w:rPr>
                <w:rFonts w:ascii="Arial" w:cs="Arial" w:eastAsia="Arial" w:hAnsi="Arial"/>
                <w:sz w:val="14"/>
                <w:szCs w:val="14"/>
                <w:color w:val="auto"/>
              </w:rPr>
              <w:t>805</w:t>
            </w:r>
          </w:p>
        </w:tc>
        <w:tc>
          <w:tcPr>
            <w:tcW w:w="126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133,646</w:t>
            </w:r>
          </w:p>
        </w:tc>
        <w:tc>
          <w:tcPr>
            <w:tcW w:w="1240" w:type="dxa"/>
            <w:vAlign w:val="bottom"/>
            <w:tcBorders>
              <w:bottom w:val="single" w:sz="8" w:color="DBDBDB"/>
            </w:tcBorders>
          </w:tcPr>
          <w:p>
            <w:pPr>
              <w:jc w:val="center"/>
              <w:spacing w:after="0"/>
              <w:rPr>
                <w:sz w:val="20"/>
                <w:szCs w:val="20"/>
                <w:color w:val="auto"/>
              </w:rPr>
            </w:pPr>
            <w:r>
              <w:rPr>
                <w:rFonts w:ascii="Arial" w:cs="Arial" w:eastAsia="Arial" w:hAnsi="Arial"/>
                <w:sz w:val="14"/>
                <w:szCs w:val="14"/>
                <w:color w:val="auto"/>
                <w:w w:val="84"/>
              </w:rPr>
              <w:t>-</w:t>
            </w:r>
          </w:p>
        </w:tc>
        <w:tc>
          <w:tcPr>
            <w:tcW w:w="940" w:type="dxa"/>
            <w:vAlign w:val="bottom"/>
            <w:tcBorders>
              <w:bottom w:val="single" w:sz="8" w:color="DBDBDB"/>
            </w:tcBorders>
          </w:tcPr>
          <w:p>
            <w:pPr>
              <w:jc w:val="center"/>
              <w:ind w:left="149"/>
              <w:spacing w:after="0"/>
              <w:rPr>
                <w:sz w:val="20"/>
                <w:szCs w:val="20"/>
                <w:color w:val="auto"/>
              </w:rPr>
            </w:pPr>
            <w:r>
              <w:rPr>
                <w:rFonts w:ascii="Arial" w:cs="Arial" w:eastAsia="Arial" w:hAnsi="Arial"/>
                <w:sz w:val="14"/>
                <w:szCs w:val="14"/>
                <w:color w:val="auto"/>
                <w:w w:val="84"/>
              </w:rPr>
              <w:t>-</w:t>
            </w:r>
          </w:p>
        </w:tc>
        <w:tc>
          <w:tcPr>
            <w:tcW w:w="240" w:type="dxa"/>
            <w:vAlign w:val="bottom"/>
            <w:tcBorders>
              <w:bottom w:val="single" w:sz="8" w:color="DBDBDB"/>
            </w:tcBorders>
          </w:tcPr>
          <w:p>
            <w:pPr>
              <w:spacing w:after="0"/>
              <w:rPr>
                <w:sz w:val="18"/>
                <w:szCs w:val="18"/>
                <w:color w:val="auto"/>
              </w:rPr>
            </w:pPr>
          </w:p>
        </w:tc>
        <w:tc>
          <w:tcPr>
            <w:tcW w:w="0" w:type="dxa"/>
            <w:vAlign w:val="bottom"/>
          </w:tcPr>
          <w:p>
            <w:pPr>
              <w:spacing w:after="0"/>
              <w:rPr>
                <w:sz w:val="1"/>
                <w:szCs w:val="1"/>
                <w:color w:val="auto"/>
              </w:rPr>
            </w:pPr>
          </w:p>
        </w:tc>
      </w:tr>
      <w:tr>
        <w:trPr>
          <w:trHeight w:val="160"/>
        </w:trPr>
        <w:tc>
          <w:tcPr>
            <w:tcW w:w="1520" w:type="dxa"/>
            <w:vAlign w:val="bottom"/>
            <w:tcBorders>
              <w:bottom w:val="single" w:sz="8" w:color="005DA6"/>
            </w:tcBorders>
          </w:tcPr>
          <w:p>
            <w:pPr>
              <w:spacing w:after="0"/>
              <w:rPr>
                <w:sz w:val="13"/>
                <w:szCs w:val="13"/>
                <w:color w:val="auto"/>
              </w:rPr>
            </w:pPr>
          </w:p>
        </w:tc>
        <w:tc>
          <w:tcPr>
            <w:tcW w:w="1000" w:type="dxa"/>
            <w:vAlign w:val="bottom"/>
            <w:tcBorders>
              <w:bottom w:val="single" w:sz="8" w:color="005DA6"/>
            </w:tcBorders>
          </w:tcPr>
          <w:p>
            <w:pPr>
              <w:spacing w:after="0"/>
              <w:rPr>
                <w:sz w:val="13"/>
                <w:szCs w:val="13"/>
                <w:color w:val="auto"/>
              </w:rPr>
            </w:pPr>
          </w:p>
        </w:tc>
        <w:tc>
          <w:tcPr>
            <w:tcW w:w="1240" w:type="dxa"/>
            <w:vAlign w:val="bottom"/>
            <w:tcBorders>
              <w:bottom w:val="single" w:sz="8" w:color="005DA6"/>
            </w:tcBorders>
          </w:tcPr>
          <w:p>
            <w:pPr>
              <w:spacing w:after="0"/>
              <w:rPr>
                <w:sz w:val="13"/>
                <w:szCs w:val="13"/>
                <w:color w:val="auto"/>
              </w:rPr>
            </w:pPr>
          </w:p>
        </w:tc>
        <w:tc>
          <w:tcPr>
            <w:tcW w:w="1240" w:type="dxa"/>
            <w:vAlign w:val="bottom"/>
            <w:tcBorders>
              <w:bottom w:val="single" w:sz="8" w:color="005DA6"/>
            </w:tcBorders>
          </w:tcPr>
          <w:p>
            <w:pPr>
              <w:spacing w:after="0"/>
              <w:rPr>
                <w:sz w:val="13"/>
                <w:szCs w:val="13"/>
                <w:color w:val="auto"/>
              </w:rPr>
            </w:pPr>
          </w:p>
        </w:tc>
        <w:tc>
          <w:tcPr>
            <w:tcW w:w="1240" w:type="dxa"/>
            <w:vAlign w:val="bottom"/>
            <w:tcBorders>
              <w:bottom w:val="single" w:sz="8" w:color="005DA6"/>
            </w:tcBorders>
          </w:tcPr>
          <w:p>
            <w:pPr>
              <w:spacing w:after="0"/>
              <w:rPr>
                <w:sz w:val="13"/>
                <w:szCs w:val="13"/>
                <w:color w:val="auto"/>
              </w:rPr>
            </w:pPr>
          </w:p>
        </w:tc>
        <w:tc>
          <w:tcPr>
            <w:tcW w:w="80" w:type="dxa"/>
            <w:vAlign w:val="bottom"/>
            <w:tcBorders>
              <w:bottom w:val="single" w:sz="8" w:color="005DA6"/>
            </w:tcBorders>
          </w:tcPr>
          <w:p>
            <w:pPr>
              <w:spacing w:after="0"/>
              <w:rPr>
                <w:sz w:val="13"/>
                <w:szCs w:val="13"/>
                <w:color w:val="auto"/>
              </w:rPr>
            </w:pPr>
          </w:p>
        </w:tc>
        <w:tc>
          <w:tcPr>
            <w:tcW w:w="1240" w:type="dxa"/>
            <w:vAlign w:val="bottom"/>
            <w:tcBorders>
              <w:bottom w:val="single" w:sz="8" w:color="005DA6"/>
            </w:tcBorders>
          </w:tcPr>
          <w:p>
            <w:pPr>
              <w:spacing w:after="0"/>
              <w:rPr>
                <w:sz w:val="13"/>
                <w:szCs w:val="13"/>
                <w:color w:val="auto"/>
              </w:rPr>
            </w:pPr>
          </w:p>
        </w:tc>
        <w:tc>
          <w:tcPr>
            <w:tcW w:w="1260" w:type="dxa"/>
            <w:vAlign w:val="bottom"/>
            <w:tcBorders>
              <w:bottom w:val="single" w:sz="8" w:color="005DA6"/>
            </w:tcBorders>
          </w:tcPr>
          <w:p>
            <w:pPr>
              <w:spacing w:after="0"/>
              <w:rPr>
                <w:sz w:val="13"/>
                <w:szCs w:val="13"/>
                <w:color w:val="auto"/>
              </w:rPr>
            </w:pPr>
          </w:p>
        </w:tc>
        <w:tc>
          <w:tcPr>
            <w:tcW w:w="2180" w:type="dxa"/>
            <w:vAlign w:val="bottom"/>
            <w:tcBorders>
              <w:bottom w:val="single" w:sz="8" w:color="005DA6"/>
            </w:tcBorders>
            <w:gridSpan w:val="2"/>
          </w:tcPr>
          <w:p>
            <w:pPr>
              <w:spacing w:after="0"/>
              <w:rPr>
                <w:sz w:val="13"/>
                <w:szCs w:val="13"/>
                <w:color w:val="auto"/>
              </w:rPr>
            </w:pPr>
          </w:p>
        </w:tc>
        <w:tc>
          <w:tcPr>
            <w:tcW w:w="240" w:type="dxa"/>
            <w:vAlign w:val="bottom"/>
            <w:tcBorders>
              <w:bottom w:val="single" w:sz="8" w:color="005DA6"/>
            </w:tcBorders>
          </w:tcPr>
          <w:p>
            <w:pPr>
              <w:spacing w:after="0"/>
              <w:rPr>
                <w:sz w:val="13"/>
                <w:szCs w:val="13"/>
                <w:color w:val="auto"/>
              </w:rPr>
            </w:pPr>
          </w:p>
        </w:tc>
        <w:tc>
          <w:tcPr>
            <w:tcW w:w="0" w:type="dxa"/>
            <w:vAlign w:val="bottom"/>
          </w:tcPr>
          <w:p>
            <w:pPr>
              <w:spacing w:after="0"/>
              <w:rPr>
                <w:sz w:val="1"/>
                <w:szCs w:val="1"/>
                <w:color w:val="auto"/>
              </w:rPr>
            </w:pPr>
          </w:p>
        </w:tc>
      </w:tr>
      <w:tr>
        <w:trPr>
          <w:trHeight w:val="429"/>
        </w:trPr>
        <w:tc>
          <w:tcPr>
            <w:tcW w:w="15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180" w:type="dxa"/>
            <w:vAlign w:val="bottom"/>
            <w:gridSpan w:val="2"/>
          </w:tcPr>
          <w:p>
            <w:pPr>
              <w:ind w:left="180"/>
              <w:spacing w:after="0"/>
              <w:rPr>
                <w:sz w:val="20"/>
                <w:szCs w:val="20"/>
                <w:color w:val="auto"/>
              </w:rPr>
            </w:pPr>
            <w:r>
              <w:rPr>
                <w:rFonts w:ascii="Arial" w:cs="Arial" w:eastAsia="Arial" w:hAnsi="Arial"/>
                <w:sz w:val="18"/>
                <w:szCs w:val="18"/>
                <w:color w:val="auto"/>
              </w:rPr>
              <w:t>2024 Proxy Statement</w:t>
            </w:r>
          </w:p>
        </w:tc>
        <w:tc>
          <w:tcPr>
            <w:tcW w:w="240" w:type="dxa"/>
            <w:vAlign w:val="bottom"/>
          </w:tcPr>
          <w:p>
            <w:pPr>
              <w:jc w:val="right"/>
              <w:spacing w:after="0"/>
              <w:rPr>
                <w:sz w:val="20"/>
                <w:szCs w:val="20"/>
                <w:color w:val="auto"/>
              </w:rPr>
            </w:pPr>
            <w:r>
              <w:rPr>
                <w:rFonts w:ascii="Arial" w:cs="Arial" w:eastAsia="Arial" w:hAnsi="Arial"/>
                <w:sz w:val="18"/>
                <w:szCs w:val="18"/>
                <w:color w:val="1E3767"/>
                <w:w w:val="99"/>
              </w:rPr>
              <w:t>55</w:t>
            </w:r>
          </w:p>
        </w:tc>
        <w:tc>
          <w:tcPr>
            <w:tcW w:w="0" w:type="dxa"/>
            <w:vAlign w:val="bottom"/>
          </w:tcPr>
          <w:p>
            <w:pPr>
              <w:spacing w:after="0"/>
              <w:rPr>
                <w:sz w:val="1"/>
                <w:szCs w:val="1"/>
                <w:color w:val="auto"/>
              </w:rPr>
            </w:pPr>
          </w:p>
        </w:tc>
      </w:tr>
      <w:tr>
        <w:trPr>
          <w:trHeight w:val="408"/>
        </w:trPr>
        <w:tc>
          <w:tcPr>
            <w:tcW w:w="152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1240" w:type="dxa"/>
            <w:vAlign w:val="bottom"/>
            <w:tcBorders>
              <w:bottom w:val="single" w:sz="8" w:color="9A9A9A"/>
            </w:tcBorders>
          </w:tcPr>
          <w:p>
            <w:pPr>
              <w:spacing w:after="0"/>
              <w:rPr>
                <w:sz w:val="24"/>
                <w:szCs w:val="24"/>
                <w:color w:val="auto"/>
              </w:rPr>
            </w:pPr>
          </w:p>
        </w:tc>
        <w:tc>
          <w:tcPr>
            <w:tcW w:w="1240" w:type="dxa"/>
            <w:vAlign w:val="bottom"/>
            <w:tcBorders>
              <w:bottom w:val="single" w:sz="8" w:color="9A9A9A"/>
            </w:tcBorders>
          </w:tcPr>
          <w:p>
            <w:pPr>
              <w:spacing w:after="0"/>
              <w:rPr>
                <w:sz w:val="24"/>
                <w:szCs w:val="24"/>
                <w:color w:val="auto"/>
              </w:rPr>
            </w:pPr>
          </w:p>
        </w:tc>
        <w:tc>
          <w:tcPr>
            <w:tcW w:w="12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24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c>
          <w:tcPr>
            <w:tcW w:w="124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2773680</wp:posOffset>
            </wp:positionH>
            <wp:positionV relativeFrom="paragraph">
              <wp:posOffset>-548005</wp:posOffset>
            </wp:positionV>
            <wp:extent cx="1508760" cy="34290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1508760" cy="342900"/>
                    </a:xfrm>
                    <a:prstGeom prst="rect">
                      <a:avLst/>
                    </a:prstGeom>
                    <a:noFill/>
                  </pic:spPr>
                </pic:pic>
              </a:graphicData>
            </a:graphic>
          </wp:anchor>
        </w:drawing>
      </w:r>
    </w:p>
    <w:p>
      <w:pPr>
        <w:sectPr>
          <w:pgSz w:w="11900" w:h="16838" w:orient="portrait"/>
          <w:cols w:equalWidth="0" w:num="1">
            <w:col w:w="11240"/>
          </w:cols>
          <w:pgMar w:left="320" w:top="901" w:right="339" w:bottom="1440" w:gutter="0" w:footer="0" w:header="0"/>
        </w:sectPr>
      </w:pPr>
    </w:p>
    <w:bookmarkStart w:id="58" w:name="page59"/>
    <w:bookmarkEnd w:id="58"/>
    <w:p>
      <w:pPr>
        <w:jc w:val="both"/>
        <w:ind w:left="980" w:hanging="324"/>
        <w:spacing w:after="0" w:line="273" w:lineRule="auto"/>
        <w:tabs>
          <w:tab w:leader="none" w:pos="997"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Represents time-based restricted stock units granted to each Named Executive except Ms. Carsley on August 4, 2021, granted to each Named Executive on August 4, 2022 and August 4, 2023, and granted to Ms. Carsley on July 17, 2022. Restricted stock units typically vest in three equal annual installments, beginning on the first anniversary of the respective grant date based on continued service with the Company.</w:t>
      </w:r>
    </w:p>
    <w:p>
      <w:pPr>
        <w:spacing w:after="0" w:line="70" w:lineRule="exact"/>
        <w:rPr>
          <w:rFonts w:ascii="Arial" w:cs="Arial" w:eastAsia="Arial" w:hAnsi="Arial"/>
          <w:sz w:val="18"/>
          <w:szCs w:val="18"/>
          <w:color w:val="auto"/>
        </w:rPr>
      </w:pPr>
    </w:p>
    <w:p>
      <w:pPr>
        <w:ind w:left="980" w:hanging="324"/>
        <w:spacing w:after="0" w:line="287" w:lineRule="auto"/>
        <w:tabs>
          <w:tab w:leader="none" w:pos="957" w:val="left"/>
        </w:tabs>
        <w:numPr>
          <w:ilvl w:val="0"/>
          <w:numId w:val="19"/>
        </w:numPr>
        <w:rPr>
          <w:rFonts w:ascii="Arial" w:cs="Arial" w:eastAsia="Arial" w:hAnsi="Arial"/>
          <w:sz w:val="18"/>
          <w:szCs w:val="18"/>
          <w:color w:val="auto"/>
        </w:rPr>
      </w:pPr>
      <w:r>
        <w:rPr>
          <w:rFonts w:ascii="Arial" w:cs="Arial" w:eastAsia="Arial" w:hAnsi="Arial"/>
          <w:sz w:val="18"/>
          <w:szCs w:val="18"/>
          <w:color w:val="auto"/>
        </w:rPr>
        <w:t>Amounts calculated by multiplying the closing market price of our common stock on June 30, 2024 ($166.02 per share) by the number of shares issuable under the restricted stock unit and performance share agreements.</w:t>
      </w:r>
    </w:p>
    <w:p>
      <w:pPr>
        <w:spacing w:after="0" w:line="58" w:lineRule="exact"/>
        <w:rPr>
          <w:rFonts w:ascii="Arial" w:cs="Arial" w:eastAsia="Arial" w:hAnsi="Arial"/>
          <w:sz w:val="18"/>
          <w:szCs w:val="18"/>
          <w:color w:val="auto"/>
        </w:rPr>
      </w:pPr>
    </w:p>
    <w:p>
      <w:pPr>
        <w:ind w:left="940" w:hanging="284"/>
        <w:spacing w:after="0"/>
        <w:tabs>
          <w:tab w:leader="none" w:pos="9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Represents performance shares. For awards made in calendar years 2021, 2022 and 2023, performance shares vest based on</w:t>
      </w:r>
    </w:p>
    <w:p>
      <w:pPr>
        <w:spacing w:after="0" w:line="31" w:lineRule="exact"/>
        <w:rPr>
          <w:rFonts w:ascii="Arial" w:cs="Arial" w:eastAsia="Arial" w:hAnsi="Arial"/>
          <w:sz w:val="18"/>
          <w:szCs w:val="18"/>
          <w:color w:val="auto"/>
        </w:rPr>
      </w:pPr>
    </w:p>
    <w:p>
      <w:pPr>
        <w:jc w:val="both"/>
        <w:ind w:left="980"/>
        <w:spacing w:after="0" w:line="263" w:lineRule="auto"/>
        <w:rPr>
          <w:rFonts w:ascii="Arial" w:cs="Arial" w:eastAsia="Arial" w:hAnsi="Arial"/>
          <w:sz w:val="18"/>
          <w:szCs w:val="18"/>
          <w:color w:val="auto"/>
        </w:rPr>
      </w:pPr>
      <w:r>
        <w:rPr>
          <w:rFonts w:ascii="Arial" w:cs="Arial" w:eastAsia="Arial" w:hAnsi="Arial"/>
          <w:sz w:val="18"/>
          <w:szCs w:val="18"/>
          <w:color w:val="auto"/>
        </w:rPr>
        <w:t>(1) TSR against a selected peer group over a three-year performance period (where no performance shares vest if TSR over the three-year period is below the 25th percentile and 200% vest with performance at or above the 80th percentile), (2) the Company’s organic revenue CAGR over the three-year period against a target organic revenue CAGR (where no performance shares vest if three-year CAGR revenue is below 6.5% for fiscal 2022 awards, 7% for fiscal 2023 awards, and 6.5% for fiscal 2024 awards and 200% vest with performance at or above 9.0% for fiscal 2022 awards, 9.5% for fiscal 2023 awards, and 8.5% for fiscal 2024 awards), and (3) the expansion of the Company’s non-GAAP adjusted operating margin over the three-year period against a target non-GAAP adjusted operating margin (where no performance shares vest if three-year non-GAAP adjusted operating margin is below 1.0% for fiscal 2022 awards, 0.1% for fiscal 2023 awards, and 0.3% for fiscal 2024 awards and 200% vest with performance at or above 2.1% for fiscal 2022 awards and 1.0% for fiscal 2023 and fiscal 2024 awards). Share amounts disclosed reflect the target number of shares that could vest upon performance at target.</w:t>
      </w:r>
    </w:p>
    <w:p>
      <w:pPr>
        <w:spacing w:after="0" w:line="71" w:lineRule="exact"/>
        <w:rPr>
          <w:rFonts w:ascii="Arial" w:cs="Arial" w:eastAsia="Arial" w:hAnsi="Arial"/>
          <w:sz w:val="18"/>
          <w:szCs w:val="18"/>
          <w:color w:val="auto"/>
        </w:rPr>
      </w:pPr>
    </w:p>
    <w:p>
      <w:pPr>
        <w:ind w:left="980" w:hanging="324"/>
        <w:spacing w:after="0" w:line="303" w:lineRule="auto"/>
        <w:tabs>
          <w:tab w:leader="none" w:pos="943"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option exercise price is $87.27. The option vested and became exercisable on July 1, 2019. The option expiration date is July 1, 2026.</w:t>
      </w:r>
    </w:p>
    <w:p>
      <w:pPr>
        <w:spacing w:after="0" w:line="16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Option Exercises and Stock Vested Table</w:t>
      </w:r>
    </w:p>
    <w:p>
      <w:pPr>
        <w:spacing w:after="0" w:line="258" w:lineRule="exact"/>
        <w:rPr>
          <w:sz w:val="20"/>
          <w:szCs w:val="20"/>
          <w:color w:val="auto"/>
        </w:rPr>
      </w:pPr>
    </w:p>
    <w:p>
      <w:pPr>
        <w:spacing w:after="0" w:line="280" w:lineRule="auto"/>
        <w:rPr>
          <w:sz w:val="20"/>
          <w:szCs w:val="20"/>
          <w:color w:val="auto"/>
        </w:rPr>
      </w:pPr>
      <w:r>
        <w:rPr>
          <w:rFonts w:ascii="Arial" w:cs="Arial" w:eastAsia="Arial" w:hAnsi="Arial"/>
          <w:sz w:val="20"/>
          <w:szCs w:val="20"/>
          <w:color w:val="auto"/>
        </w:rPr>
        <w:t>The following table provides information on stock option exercises by the Named Executives and stock awards (restricted stock units and performance shares) that vested during fiscal year 2024.</w:t>
      </w:r>
    </w:p>
    <w:p>
      <w:pPr>
        <w:spacing w:after="0" w:line="1" w:lineRule="exact"/>
        <w:rPr>
          <w:sz w:val="20"/>
          <w:szCs w:val="20"/>
          <w:color w:val="auto"/>
        </w:rPr>
      </w:pPr>
    </w:p>
    <w:tbl>
      <w:tblPr>
        <w:tblLayout w:type="fixed"/>
        <w:tblInd w:w="200" w:type="dxa"/>
        <w:tblCellMar>
          <w:top w:w="0" w:type="dxa"/>
          <w:left w:w="0" w:type="dxa"/>
          <w:bottom w:w="0" w:type="dxa"/>
          <w:right w:w="0" w:type="dxa"/>
        </w:tblCellMar>
      </w:tblPr>
      <w:tr>
        <w:trPr>
          <w:trHeight w:val="240"/>
        </w:trPr>
        <w:tc>
          <w:tcPr>
            <w:tcW w:w="1700" w:type="dxa"/>
            <w:vAlign w:val="bottom"/>
            <w:tcBorders>
              <w:bottom w:val="single" w:sz="8" w:color="auto"/>
            </w:tcBorders>
            <w:shd w:val="clear" w:color="auto" w:fill="E8F7F7"/>
          </w:tcPr>
          <w:p>
            <w:pPr>
              <w:spacing w:after="0"/>
              <w:rPr>
                <w:sz w:val="20"/>
                <w:szCs w:val="20"/>
                <w:color w:val="auto"/>
              </w:rPr>
            </w:pPr>
          </w:p>
        </w:tc>
        <w:tc>
          <w:tcPr>
            <w:tcW w:w="720" w:type="dxa"/>
            <w:vAlign w:val="bottom"/>
            <w:tcBorders>
              <w:bottom w:val="single" w:sz="8" w:color="auto"/>
            </w:tcBorders>
            <w:shd w:val="clear" w:color="auto" w:fill="E8F7F7"/>
          </w:tcPr>
          <w:p>
            <w:pPr>
              <w:spacing w:after="0"/>
              <w:rPr>
                <w:sz w:val="20"/>
                <w:szCs w:val="20"/>
                <w:color w:val="auto"/>
              </w:rPr>
            </w:pPr>
          </w:p>
        </w:tc>
        <w:tc>
          <w:tcPr>
            <w:tcW w:w="2140" w:type="dxa"/>
            <w:vAlign w:val="bottom"/>
            <w:tcBorders>
              <w:bottom w:val="single" w:sz="8" w:color="auto"/>
            </w:tcBorders>
            <w:shd w:val="clear" w:color="auto" w:fill="E8F7F7"/>
          </w:tcPr>
          <w:p>
            <w:pPr>
              <w:ind w:left="240"/>
              <w:spacing w:after="0"/>
              <w:rPr>
                <w:sz w:val="20"/>
                <w:szCs w:val="20"/>
                <w:color w:val="auto"/>
              </w:rPr>
            </w:pPr>
            <w:r>
              <w:rPr>
                <w:rFonts w:ascii="Arial" w:cs="Arial" w:eastAsia="Arial" w:hAnsi="Arial"/>
                <w:sz w:val="16"/>
                <w:szCs w:val="16"/>
                <w:b w:val="1"/>
                <w:bCs w:val="1"/>
                <w:color w:val="auto"/>
              </w:rPr>
              <w:t>Option Awards</w:t>
            </w:r>
          </w:p>
        </w:tc>
        <w:tc>
          <w:tcPr>
            <w:tcW w:w="1940" w:type="dxa"/>
            <w:vAlign w:val="bottom"/>
            <w:tcBorders>
              <w:bottom w:val="single" w:sz="8" w:color="auto"/>
            </w:tcBorders>
            <w:shd w:val="clear" w:color="auto" w:fill="E8F7F7"/>
          </w:tcPr>
          <w:p>
            <w:pPr>
              <w:spacing w:after="0"/>
              <w:rPr>
                <w:sz w:val="20"/>
                <w:szCs w:val="20"/>
                <w:color w:val="auto"/>
              </w:rPr>
            </w:pPr>
          </w:p>
        </w:tc>
        <w:tc>
          <w:tcPr>
            <w:tcW w:w="80" w:type="dxa"/>
            <w:vAlign w:val="bottom"/>
            <w:tcBorders>
              <w:bottom w:val="single" w:sz="8" w:color="E8F7F7"/>
            </w:tcBorders>
            <w:shd w:val="clear" w:color="auto" w:fill="E8F7F7"/>
          </w:tcPr>
          <w:p>
            <w:pPr>
              <w:spacing w:after="0"/>
              <w:rPr>
                <w:sz w:val="20"/>
                <w:szCs w:val="20"/>
                <w:color w:val="auto"/>
              </w:rPr>
            </w:pPr>
          </w:p>
        </w:tc>
        <w:tc>
          <w:tcPr>
            <w:tcW w:w="4280" w:type="dxa"/>
            <w:vAlign w:val="bottom"/>
            <w:tcBorders>
              <w:bottom w:val="single" w:sz="8" w:color="auto"/>
            </w:tcBorders>
            <w:gridSpan w:val="2"/>
            <w:shd w:val="clear" w:color="auto" w:fill="E8F7F7"/>
          </w:tcPr>
          <w:p>
            <w:pPr>
              <w:jc w:val="right"/>
              <w:ind w:right="1519"/>
              <w:spacing w:after="0"/>
              <w:rPr>
                <w:sz w:val="20"/>
                <w:szCs w:val="20"/>
                <w:color w:val="auto"/>
              </w:rPr>
            </w:pPr>
            <w:r>
              <w:rPr>
                <w:rFonts w:ascii="Arial" w:cs="Arial" w:eastAsia="Arial" w:hAnsi="Arial"/>
                <w:sz w:val="16"/>
                <w:szCs w:val="16"/>
                <w:b w:val="1"/>
                <w:bCs w:val="1"/>
                <w:color w:val="auto"/>
              </w:rPr>
              <w:t>Stock Awards</w:t>
            </w:r>
          </w:p>
        </w:tc>
        <w:tc>
          <w:tcPr>
            <w:tcW w:w="0" w:type="dxa"/>
            <w:vAlign w:val="bottom"/>
          </w:tcPr>
          <w:p>
            <w:pPr>
              <w:spacing w:after="0"/>
              <w:rPr>
                <w:sz w:val="1"/>
                <w:szCs w:val="1"/>
                <w:color w:val="auto"/>
              </w:rPr>
            </w:pPr>
          </w:p>
        </w:tc>
      </w:tr>
      <w:tr>
        <w:trPr>
          <w:trHeight w:val="182"/>
        </w:trPr>
        <w:tc>
          <w:tcPr>
            <w:tcW w:w="1700" w:type="dxa"/>
            <w:vAlign w:val="bottom"/>
            <w:shd w:val="clear" w:color="auto" w:fill="E8F7F7"/>
          </w:tcPr>
          <w:p>
            <w:pPr>
              <w:spacing w:after="0"/>
              <w:rPr>
                <w:sz w:val="15"/>
                <w:szCs w:val="15"/>
                <w:color w:val="auto"/>
              </w:rPr>
            </w:pPr>
          </w:p>
        </w:tc>
        <w:tc>
          <w:tcPr>
            <w:tcW w:w="720" w:type="dxa"/>
            <w:vAlign w:val="bottom"/>
            <w:shd w:val="clear" w:color="auto" w:fill="E8F7F7"/>
          </w:tcPr>
          <w:p>
            <w:pPr>
              <w:spacing w:after="0"/>
              <w:rPr>
                <w:sz w:val="15"/>
                <w:szCs w:val="15"/>
                <w:color w:val="auto"/>
              </w:rPr>
            </w:pPr>
          </w:p>
        </w:tc>
        <w:tc>
          <w:tcPr>
            <w:tcW w:w="2140" w:type="dxa"/>
            <w:vAlign w:val="bottom"/>
            <w:shd w:val="clear" w:color="auto" w:fill="E8F7F7"/>
          </w:tcPr>
          <w:p>
            <w:pPr>
              <w:jc w:val="center"/>
              <w:ind w:left="259"/>
              <w:spacing w:after="0" w:line="182" w:lineRule="exact"/>
              <w:rPr>
                <w:sz w:val="20"/>
                <w:szCs w:val="20"/>
                <w:color w:val="auto"/>
              </w:rPr>
            </w:pPr>
            <w:r>
              <w:rPr>
                <w:rFonts w:ascii="Arial" w:cs="Arial" w:eastAsia="Arial" w:hAnsi="Arial"/>
                <w:sz w:val="16"/>
                <w:szCs w:val="16"/>
                <w:b w:val="1"/>
                <w:bCs w:val="1"/>
                <w:color w:val="auto"/>
              </w:rPr>
              <w:t>Number of Shares</w:t>
            </w:r>
          </w:p>
        </w:tc>
        <w:tc>
          <w:tcPr>
            <w:tcW w:w="2020" w:type="dxa"/>
            <w:vAlign w:val="bottom"/>
            <w:gridSpan w:val="2"/>
            <w:vMerge w:val="restart"/>
            <w:shd w:val="clear" w:color="auto" w:fill="E8F7F7"/>
          </w:tcPr>
          <w:p>
            <w:pPr>
              <w:jc w:val="center"/>
              <w:ind w:right="260"/>
              <w:spacing w:after="0"/>
              <w:rPr>
                <w:sz w:val="20"/>
                <w:szCs w:val="20"/>
                <w:color w:val="auto"/>
              </w:rPr>
            </w:pPr>
            <w:r>
              <w:rPr>
                <w:rFonts w:ascii="Arial" w:cs="Arial" w:eastAsia="Arial" w:hAnsi="Arial"/>
                <w:sz w:val="16"/>
                <w:szCs w:val="16"/>
                <w:b w:val="1"/>
                <w:bCs w:val="1"/>
                <w:color w:val="auto"/>
                <w:w w:val="99"/>
              </w:rPr>
              <w:t>Value Realized on</w:t>
            </w:r>
          </w:p>
        </w:tc>
        <w:tc>
          <w:tcPr>
            <w:tcW w:w="2160" w:type="dxa"/>
            <w:vAlign w:val="bottom"/>
            <w:vMerge w:val="restart"/>
            <w:shd w:val="clear" w:color="auto" w:fill="E8F7F7"/>
          </w:tcPr>
          <w:p>
            <w:pPr>
              <w:jc w:val="right"/>
              <w:ind w:right="319"/>
              <w:spacing w:after="0"/>
              <w:rPr>
                <w:sz w:val="20"/>
                <w:szCs w:val="20"/>
                <w:color w:val="auto"/>
              </w:rPr>
            </w:pPr>
            <w:r>
              <w:rPr>
                <w:rFonts w:ascii="Arial" w:cs="Arial" w:eastAsia="Arial" w:hAnsi="Arial"/>
                <w:sz w:val="16"/>
                <w:szCs w:val="16"/>
                <w:b w:val="1"/>
                <w:bCs w:val="1"/>
                <w:color w:val="auto"/>
              </w:rPr>
              <w:t>Number of Shares</w:t>
            </w:r>
          </w:p>
        </w:tc>
        <w:tc>
          <w:tcPr>
            <w:tcW w:w="2120" w:type="dxa"/>
            <w:vAlign w:val="bottom"/>
            <w:vMerge w:val="restart"/>
            <w:shd w:val="clear" w:color="auto" w:fill="E8F7F7"/>
          </w:tcPr>
          <w:p>
            <w:pPr>
              <w:jc w:val="right"/>
              <w:spacing w:after="0"/>
              <w:rPr>
                <w:sz w:val="20"/>
                <w:szCs w:val="20"/>
                <w:color w:val="auto"/>
              </w:rPr>
            </w:pPr>
            <w:r>
              <w:rPr>
                <w:rFonts w:ascii="Arial" w:cs="Arial" w:eastAsia="Arial" w:hAnsi="Arial"/>
                <w:sz w:val="16"/>
                <w:szCs w:val="16"/>
                <w:b w:val="1"/>
                <w:bCs w:val="1"/>
                <w:color w:val="auto"/>
              </w:rPr>
              <w:t>Value Realized on Vesting</w:t>
            </w:r>
          </w:p>
        </w:tc>
        <w:tc>
          <w:tcPr>
            <w:tcW w:w="0" w:type="dxa"/>
            <w:vAlign w:val="bottom"/>
          </w:tcPr>
          <w:p>
            <w:pPr>
              <w:spacing w:after="0"/>
              <w:rPr>
                <w:sz w:val="1"/>
                <w:szCs w:val="1"/>
                <w:color w:val="auto"/>
              </w:rPr>
            </w:pPr>
          </w:p>
        </w:tc>
      </w:tr>
      <w:tr>
        <w:trPr>
          <w:trHeight w:val="175"/>
        </w:trPr>
        <w:tc>
          <w:tcPr>
            <w:tcW w:w="1700" w:type="dxa"/>
            <w:vAlign w:val="bottom"/>
            <w:shd w:val="clear" w:color="auto" w:fill="E8F7F7"/>
          </w:tcPr>
          <w:p>
            <w:pPr>
              <w:spacing w:after="0"/>
              <w:rPr>
                <w:sz w:val="15"/>
                <w:szCs w:val="15"/>
                <w:color w:val="auto"/>
              </w:rPr>
            </w:pPr>
          </w:p>
        </w:tc>
        <w:tc>
          <w:tcPr>
            <w:tcW w:w="720" w:type="dxa"/>
            <w:vAlign w:val="bottom"/>
            <w:shd w:val="clear" w:color="auto" w:fill="E8F7F7"/>
          </w:tcPr>
          <w:p>
            <w:pPr>
              <w:spacing w:after="0"/>
              <w:rPr>
                <w:sz w:val="15"/>
                <w:szCs w:val="15"/>
                <w:color w:val="auto"/>
              </w:rPr>
            </w:pPr>
          </w:p>
        </w:tc>
        <w:tc>
          <w:tcPr>
            <w:tcW w:w="2140" w:type="dxa"/>
            <w:vAlign w:val="bottom"/>
            <w:shd w:val="clear" w:color="auto" w:fill="E8F7F7"/>
          </w:tcPr>
          <w:p>
            <w:pPr>
              <w:jc w:val="center"/>
              <w:ind w:left="259"/>
              <w:spacing w:after="0" w:line="175" w:lineRule="exact"/>
              <w:rPr>
                <w:sz w:val="20"/>
                <w:szCs w:val="20"/>
                <w:color w:val="auto"/>
              </w:rPr>
            </w:pPr>
            <w:r>
              <w:rPr>
                <w:rFonts w:ascii="Arial" w:cs="Arial" w:eastAsia="Arial" w:hAnsi="Arial"/>
                <w:sz w:val="16"/>
                <w:szCs w:val="16"/>
                <w:b w:val="1"/>
                <w:bCs w:val="1"/>
                <w:color w:val="auto"/>
              </w:rPr>
              <w:t>Acquired on</w:t>
            </w:r>
          </w:p>
        </w:tc>
        <w:tc>
          <w:tcPr>
            <w:tcW w:w="2020" w:type="dxa"/>
            <w:vAlign w:val="bottom"/>
            <w:gridSpan w:val="2"/>
            <w:vMerge w:val="continue"/>
            <w:shd w:val="clear" w:color="auto" w:fill="E8F7F7"/>
          </w:tcPr>
          <w:p>
            <w:pPr>
              <w:spacing w:after="0"/>
              <w:rPr>
                <w:sz w:val="15"/>
                <w:szCs w:val="15"/>
                <w:color w:val="auto"/>
              </w:rPr>
            </w:pPr>
          </w:p>
        </w:tc>
        <w:tc>
          <w:tcPr>
            <w:tcW w:w="2160" w:type="dxa"/>
            <w:vAlign w:val="bottom"/>
            <w:vMerge w:val="continue"/>
            <w:shd w:val="clear" w:color="auto" w:fill="E8F7F7"/>
          </w:tcPr>
          <w:p>
            <w:pPr>
              <w:spacing w:after="0"/>
              <w:rPr>
                <w:sz w:val="15"/>
                <w:szCs w:val="15"/>
                <w:color w:val="auto"/>
              </w:rPr>
            </w:pPr>
          </w:p>
        </w:tc>
        <w:tc>
          <w:tcPr>
            <w:tcW w:w="2120" w:type="dxa"/>
            <w:vAlign w:val="bottom"/>
            <w:vMerge w:val="continue"/>
            <w:shd w:val="clear" w:color="auto" w:fill="E8F7F7"/>
          </w:tcPr>
          <w:p>
            <w:pPr>
              <w:spacing w:after="0"/>
              <w:rPr>
                <w:sz w:val="15"/>
                <w:szCs w:val="15"/>
                <w:color w:val="auto"/>
              </w:rPr>
            </w:pPr>
          </w:p>
        </w:tc>
        <w:tc>
          <w:tcPr>
            <w:tcW w:w="0" w:type="dxa"/>
            <w:vAlign w:val="bottom"/>
          </w:tcPr>
          <w:p>
            <w:pPr>
              <w:spacing w:after="0"/>
              <w:rPr>
                <w:sz w:val="1"/>
                <w:szCs w:val="1"/>
                <w:color w:val="auto"/>
              </w:rPr>
            </w:pPr>
          </w:p>
        </w:tc>
      </w:tr>
      <w:tr>
        <w:trPr>
          <w:trHeight w:val="240"/>
        </w:trPr>
        <w:tc>
          <w:tcPr>
            <w:tcW w:w="1700" w:type="dxa"/>
            <w:vAlign w:val="bottom"/>
            <w:tcBorders>
              <w:bottom w:val="single" w:sz="8" w:color="auto"/>
            </w:tcBorders>
            <w:shd w:val="clear" w:color="auto" w:fill="E8F7F7"/>
          </w:tcPr>
          <w:p>
            <w:pPr>
              <w:ind w:left="20"/>
              <w:spacing w:after="0"/>
              <w:rPr>
                <w:sz w:val="20"/>
                <w:szCs w:val="20"/>
                <w:color w:val="auto"/>
              </w:rPr>
            </w:pPr>
            <w:r>
              <w:rPr>
                <w:rFonts w:ascii="Arial" w:cs="Arial" w:eastAsia="Arial" w:hAnsi="Arial"/>
                <w:sz w:val="16"/>
                <w:szCs w:val="16"/>
                <w:b w:val="1"/>
                <w:bCs w:val="1"/>
                <w:color w:val="auto"/>
              </w:rPr>
              <w:t>Name</w:t>
            </w:r>
          </w:p>
        </w:tc>
        <w:tc>
          <w:tcPr>
            <w:tcW w:w="720" w:type="dxa"/>
            <w:vAlign w:val="bottom"/>
            <w:tcBorders>
              <w:bottom w:val="single" w:sz="8" w:color="auto"/>
            </w:tcBorders>
            <w:shd w:val="clear" w:color="auto" w:fill="E8F7F7"/>
          </w:tcPr>
          <w:p>
            <w:pPr>
              <w:spacing w:after="0"/>
              <w:rPr>
                <w:sz w:val="20"/>
                <w:szCs w:val="20"/>
                <w:color w:val="auto"/>
              </w:rPr>
            </w:pPr>
          </w:p>
        </w:tc>
        <w:tc>
          <w:tcPr>
            <w:tcW w:w="2140" w:type="dxa"/>
            <w:vAlign w:val="bottom"/>
            <w:tcBorders>
              <w:bottom w:val="single" w:sz="8" w:color="auto"/>
            </w:tcBorders>
            <w:shd w:val="clear" w:color="auto" w:fill="E8F7F7"/>
          </w:tcPr>
          <w:p>
            <w:pPr>
              <w:jc w:val="center"/>
              <w:ind w:left="259"/>
              <w:spacing w:after="0"/>
              <w:rPr>
                <w:sz w:val="20"/>
                <w:szCs w:val="20"/>
                <w:color w:val="auto"/>
              </w:rPr>
            </w:pPr>
            <w:r>
              <w:rPr>
                <w:rFonts w:ascii="Arial" w:cs="Arial" w:eastAsia="Arial" w:hAnsi="Arial"/>
                <w:sz w:val="16"/>
                <w:szCs w:val="16"/>
                <w:b w:val="1"/>
                <w:bCs w:val="1"/>
                <w:color w:val="auto"/>
              </w:rPr>
              <w:t>Exercise (#)</w:t>
            </w:r>
          </w:p>
        </w:tc>
        <w:tc>
          <w:tcPr>
            <w:tcW w:w="2020" w:type="dxa"/>
            <w:vAlign w:val="bottom"/>
            <w:tcBorders>
              <w:bottom w:val="single" w:sz="8" w:color="auto"/>
            </w:tcBorders>
            <w:gridSpan w:val="2"/>
            <w:shd w:val="clear" w:color="auto" w:fill="E8F7F7"/>
          </w:tcPr>
          <w:p>
            <w:pPr>
              <w:jc w:val="center"/>
              <w:ind w:right="260"/>
              <w:spacing w:after="0"/>
              <w:rPr>
                <w:sz w:val="20"/>
                <w:szCs w:val="20"/>
                <w:color w:val="auto"/>
              </w:rPr>
            </w:pPr>
            <w:r>
              <w:rPr>
                <w:rFonts w:ascii="Arial" w:cs="Arial" w:eastAsia="Arial" w:hAnsi="Arial"/>
                <w:sz w:val="16"/>
                <w:szCs w:val="16"/>
                <w:b w:val="1"/>
                <w:bCs w:val="1"/>
                <w:color w:val="auto"/>
              </w:rPr>
              <w:t>Exercise ($)</w:t>
            </w:r>
          </w:p>
        </w:tc>
        <w:tc>
          <w:tcPr>
            <w:tcW w:w="2160" w:type="dxa"/>
            <w:vAlign w:val="bottom"/>
            <w:tcBorders>
              <w:bottom w:val="single" w:sz="8" w:color="auto"/>
            </w:tcBorders>
            <w:shd w:val="clear" w:color="auto" w:fill="E8F7F7"/>
          </w:tcPr>
          <w:p>
            <w:pPr>
              <w:jc w:val="right"/>
              <w:ind w:right="99"/>
              <w:spacing w:after="0"/>
              <w:rPr>
                <w:sz w:val="20"/>
                <w:szCs w:val="20"/>
                <w:color w:val="auto"/>
              </w:rPr>
            </w:pPr>
            <w:r>
              <w:rPr>
                <w:rFonts w:ascii="Arial" w:cs="Arial" w:eastAsia="Arial" w:hAnsi="Arial"/>
                <w:sz w:val="16"/>
                <w:szCs w:val="16"/>
                <w:b w:val="1"/>
                <w:bCs w:val="1"/>
                <w:color w:val="auto"/>
              </w:rPr>
              <w:t>Acquired on Vesting ($)</w:t>
            </w:r>
          </w:p>
        </w:tc>
        <w:tc>
          <w:tcPr>
            <w:tcW w:w="2120" w:type="dxa"/>
            <w:vAlign w:val="bottom"/>
            <w:tcBorders>
              <w:bottom w:val="single" w:sz="8" w:color="auto"/>
            </w:tcBorders>
            <w:shd w:val="clear" w:color="auto" w:fill="E8F7F7"/>
          </w:tcPr>
          <w:p>
            <w:pPr>
              <w:jc w:val="right"/>
              <w:ind w:right="899"/>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212"/>
        </w:trPr>
        <w:tc>
          <w:tcPr>
            <w:tcW w:w="2420" w:type="dxa"/>
            <w:vAlign w:val="bottom"/>
            <w:gridSpan w:val="2"/>
          </w:tcPr>
          <w:p>
            <w:pPr>
              <w:ind w:left="20"/>
              <w:spacing w:after="0"/>
              <w:rPr>
                <w:sz w:val="20"/>
                <w:szCs w:val="20"/>
                <w:color w:val="auto"/>
              </w:rPr>
            </w:pPr>
            <w:r>
              <w:rPr>
                <w:rFonts w:ascii="Arial" w:cs="Arial" w:eastAsia="Arial" w:hAnsi="Arial"/>
                <w:sz w:val="16"/>
                <w:szCs w:val="16"/>
                <w:color w:val="auto"/>
              </w:rPr>
              <w:t>David B. Foss (1) (2) (3) (4)</w:t>
            </w:r>
          </w:p>
        </w:tc>
        <w:tc>
          <w:tcPr>
            <w:tcW w:w="2140" w:type="dxa"/>
            <w:vAlign w:val="bottom"/>
          </w:tcPr>
          <w:p>
            <w:pPr>
              <w:jc w:val="center"/>
              <w:ind w:left="259"/>
              <w:spacing w:after="0"/>
              <w:rPr>
                <w:sz w:val="20"/>
                <w:szCs w:val="20"/>
                <w:color w:val="auto"/>
              </w:rPr>
            </w:pPr>
            <w:r>
              <w:rPr>
                <w:rFonts w:ascii="Arial" w:cs="Arial" w:eastAsia="Arial" w:hAnsi="Arial"/>
                <w:sz w:val="16"/>
                <w:szCs w:val="16"/>
                <w:color w:val="auto"/>
                <w:w w:val="74"/>
              </w:rPr>
              <w:t>-</w:t>
            </w:r>
          </w:p>
        </w:tc>
        <w:tc>
          <w:tcPr>
            <w:tcW w:w="1940" w:type="dxa"/>
            <w:vAlign w:val="bottom"/>
          </w:tcPr>
          <w:p>
            <w:pPr>
              <w:jc w:val="center"/>
              <w:ind w:right="99"/>
              <w:spacing w:after="0"/>
              <w:rPr>
                <w:sz w:val="20"/>
                <w:szCs w:val="20"/>
                <w:color w:val="auto"/>
              </w:rPr>
            </w:pPr>
            <w:r>
              <w:rPr>
                <w:rFonts w:ascii="Arial" w:cs="Arial" w:eastAsia="Arial" w:hAnsi="Arial"/>
                <w:sz w:val="16"/>
                <w:szCs w:val="16"/>
                <w:color w:val="auto"/>
                <w:w w:val="74"/>
              </w:rPr>
              <w:t>-</w:t>
            </w:r>
          </w:p>
        </w:tc>
        <w:tc>
          <w:tcPr>
            <w:tcW w:w="80" w:type="dxa"/>
            <w:vAlign w:val="bottom"/>
          </w:tcPr>
          <w:p>
            <w:pPr>
              <w:spacing w:after="0"/>
              <w:rPr>
                <w:sz w:val="18"/>
                <w:szCs w:val="18"/>
                <w:color w:val="auto"/>
              </w:rPr>
            </w:pPr>
          </w:p>
        </w:tc>
        <w:tc>
          <w:tcPr>
            <w:tcW w:w="2160" w:type="dxa"/>
            <w:vAlign w:val="bottom"/>
          </w:tcPr>
          <w:p>
            <w:pPr>
              <w:jc w:val="right"/>
              <w:spacing w:after="0"/>
              <w:rPr>
                <w:sz w:val="20"/>
                <w:szCs w:val="20"/>
                <w:color w:val="auto"/>
              </w:rPr>
            </w:pPr>
            <w:r>
              <w:rPr>
                <w:rFonts w:ascii="Arial" w:cs="Arial" w:eastAsia="Arial" w:hAnsi="Arial"/>
                <w:sz w:val="16"/>
                <w:szCs w:val="16"/>
                <w:color w:val="auto"/>
              </w:rPr>
              <w:t>33,705</w:t>
            </w:r>
          </w:p>
        </w:tc>
        <w:tc>
          <w:tcPr>
            <w:tcW w:w="2120" w:type="dxa"/>
            <w:vAlign w:val="bottom"/>
          </w:tcPr>
          <w:p>
            <w:pPr>
              <w:jc w:val="right"/>
              <w:spacing w:after="0"/>
              <w:rPr>
                <w:sz w:val="20"/>
                <w:szCs w:val="20"/>
                <w:color w:val="auto"/>
              </w:rPr>
            </w:pPr>
            <w:r>
              <w:rPr>
                <w:rFonts w:ascii="Arial" w:cs="Arial" w:eastAsia="Arial" w:hAnsi="Arial"/>
                <w:sz w:val="16"/>
                <w:szCs w:val="16"/>
                <w:color w:val="auto"/>
              </w:rPr>
              <w:t>5,592,226</w:t>
            </w:r>
          </w:p>
        </w:tc>
        <w:tc>
          <w:tcPr>
            <w:tcW w:w="0" w:type="dxa"/>
            <w:vAlign w:val="bottom"/>
          </w:tcPr>
          <w:p>
            <w:pPr>
              <w:spacing w:after="0"/>
              <w:rPr>
                <w:sz w:val="1"/>
                <w:szCs w:val="1"/>
                <w:color w:val="auto"/>
              </w:rPr>
            </w:pPr>
          </w:p>
        </w:tc>
      </w:tr>
      <w:tr>
        <w:trPr>
          <w:trHeight w:val="28"/>
        </w:trPr>
        <w:tc>
          <w:tcPr>
            <w:tcW w:w="1700" w:type="dxa"/>
            <w:vAlign w:val="bottom"/>
            <w:tcBorders>
              <w:bottom w:val="single" w:sz="8" w:color="DBDBDB"/>
            </w:tcBorders>
          </w:tcPr>
          <w:p>
            <w:pPr>
              <w:spacing w:after="0"/>
              <w:rPr>
                <w:sz w:val="2"/>
                <w:szCs w:val="2"/>
                <w:color w:val="auto"/>
              </w:rPr>
            </w:pPr>
          </w:p>
        </w:tc>
        <w:tc>
          <w:tcPr>
            <w:tcW w:w="720" w:type="dxa"/>
            <w:vAlign w:val="bottom"/>
            <w:tcBorders>
              <w:bottom w:val="single" w:sz="8" w:color="DBDBDB"/>
            </w:tcBorders>
          </w:tcPr>
          <w:p>
            <w:pPr>
              <w:spacing w:after="0"/>
              <w:rPr>
                <w:sz w:val="2"/>
                <w:szCs w:val="2"/>
                <w:color w:val="auto"/>
              </w:rPr>
            </w:pPr>
          </w:p>
        </w:tc>
        <w:tc>
          <w:tcPr>
            <w:tcW w:w="2140" w:type="dxa"/>
            <w:vAlign w:val="bottom"/>
            <w:tcBorders>
              <w:bottom w:val="single" w:sz="8" w:color="DBDBDB"/>
            </w:tcBorders>
          </w:tcPr>
          <w:p>
            <w:pPr>
              <w:spacing w:after="0"/>
              <w:rPr>
                <w:sz w:val="2"/>
                <w:szCs w:val="2"/>
                <w:color w:val="auto"/>
              </w:rPr>
            </w:pPr>
          </w:p>
        </w:tc>
        <w:tc>
          <w:tcPr>
            <w:tcW w:w="1940" w:type="dxa"/>
            <w:vAlign w:val="bottom"/>
            <w:tcBorders>
              <w:bottom w:val="single" w:sz="8" w:color="DBDBDB"/>
            </w:tcBorders>
          </w:tcPr>
          <w:p>
            <w:pPr>
              <w:spacing w:after="0"/>
              <w:rPr>
                <w:sz w:val="2"/>
                <w:szCs w:val="2"/>
                <w:color w:val="auto"/>
              </w:rPr>
            </w:pPr>
          </w:p>
        </w:tc>
        <w:tc>
          <w:tcPr>
            <w:tcW w:w="80" w:type="dxa"/>
            <w:vAlign w:val="bottom"/>
            <w:tcBorders>
              <w:bottom w:val="single" w:sz="8" w:color="DBDBDB"/>
            </w:tcBorders>
          </w:tcPr>
          <w:p>
            <w:pPr>
              <w:spacing w:after="0"/>
              <w:rPr>
                <w:sz w:val="2"/>
                <w:szCs w:val="2"/>
                <w:color w:val="auto"/>
              </w:rPr>
            </w:pPr>
          </w:p>
        </w:tc>
        <w:tc>
          <w:tcPr>
            <w:tcW w:w="2160" w:type="dxa"/>
            <w:vAlign w:val="bottom"/>
            <w:tcBorders>
              <w:bottom w:val="single" w:sz="8" w:color="DBDBDB"/>
            </w:tcBorders>
          </w:tcPr>
          <w:p>
            <w:pPr>
              <w:spacing w:after="0"/>
              <w:rPr>
                <w:sz w:val="2"/>
                <w:szCs w:val="2"/>
                <w:color w:val="auto"/>
              </w:rPr>
            </w:pPr>
          </w:p>
        </w:tc>
        <w:tc>
          <w:tcPr>
            <w:tcW w:w="2120" w:type="dxa"/>
            <w:vAlign w:val="bottom"/>
            <w:tcBorders>
              <w:bottom w:val="single" w:sz="8" w:color="DBDBDB"/>
            </w:tcBorders>
          </w:tcPr>
          <w:p>
            <w:pPr>
              <w:spacing w:after="0"/>
              <w:rPr>
                <w:sz w:val="2"/>
                <w:szCs w:val="2"/>
                <w:color w:val="auto"/>
              </w:rPr>
            </w:pPr>
          </w:p>
        </w:tc>
        <w:tc>
          <w:tcPr>
            <w:tcW w:w="0" w:type="dxa"/>
            <w:vAlign w:val="bottom"/>
          </w:tcPr>
          <w:p>
            <w:pPr>
              <w:spacing w:after="0"/>
              <w:rPr>
                <w:sz w:val="1"/>
                <w:szCs w:val="1"/>
                <w:color w:val="auto"/>
              </w:rPr>
            </w:pPr>
          </w:p>
        </w:tc>
      </w:tr>
      <w:tr>
        <w:trPr>
          <w:trHeight w:val="242"/>
        </w:trPr>
        <w:tc>
          <w:tcPr>
            <w:tcW w:w="1700" w:type="dxa"/>
            <w:vAlign w:val="bottom"/>
            <w:tcBorders>
              <w:bottom w:val="single" w:sz="8" w:color="E7ECF0"/>
            </w:tcBorders>
            <w:shd w:val="clear" w:color="auto" w:fill="E7ECF0"/>
          </w:tcPr>
          <w:p>
            <w:pPr>
              <w:ind w:left="20"/>
              <w:spacing w:after="0"/>
              <w:rPr>
                <w:sz w:val="20"/>
                <w:szCs w:val="20"/>
                <w:color w:val="auto"/>
              </w:rPr>
            </w:pPr>
            <w:r>
              <w:rPr>
                <w:rFonts w:ascii="Arial" w:cs="Arial" w:eastAsia="Arial" w:hAnsi="Arial"/>
                <w:sz w:val="16"/>
                <w:szCs w:val="16"/>
                <w:color w:val="auto"/>
              </w:rPr>
              <w:t>Gregory R. Adelson (1)</w:t>
            </w:r>
          </w:p>
        </w:tc>
        <w:tc>
          <w:tcPr>
            <w:tcW w:w="720" w:type="dxa"/>
            <w:vAlign w:val="bottom"/>
            <w:tcBorders>
              <w:bottom w:val="single" w:sz="8" w:color="E7ECF0"/>
            </w:tcBorders>
            <w:shd w:val="clear" w:color="auto" w:fill="E7ECF0"/>
          </w:tcPr>
          <w:p>
            <w:pPr>
              <w:ind w:left="20"/>
              <w:spacing w:after="0"/>
              <w:rPr>
                <w:sz w:val="20"/>
                <w:szCs w:val="20"/>
                <w:color w:val="auto"/>
              </w:rPr>
            </w:pPr>
            <w:r>
              <w:rPr>
                <w:rFonts w:ascii="Arial" w:cs="Arial" w:eastAsia="Arial" w:hAnsi="Arial"/>
                <w:sz w:val="16"/>
                <w:szCs w:val="16"/>
                <w:color w:val="auto"/>
              </w:rPr>
              <w:t>(2) (3)</w:t>
            </w:r>
          </w:p>
        </w:tc>
        <w:tc>
          <w:tcPr>
            <w:tcW w:w="2140" w:type="dxa"/>
            <w:vAlign w:val="bottom"/>
            <w:tcBorders>
              <w:bottom w:val="single" w:sz="8" w:color="E7ECF0"/>
            </w:tcBorders>
            <w:shd w:val="clear" w:color="auto" w:fill="E7ECF0"/>
          </w:tcPr>
          <w:p>
            <w:pPr>
              <w:jc w:val="center"/>
              <w:ind w:left="259"/>
              <w:spacing w:after="0"/>
              <w:rPr>
                <w:sz w:val="20"/>
                <w:szCs w:val="20"/>
                <w:color w:val="auto"/>
              </w:rPr>
            </w:pPr>
            <w:r>
              <w:rPr>
                <w:rFonts w:ascii="Arial" w:cs="Arial" w:eastAsia="Arial" w:hAnsi="Arial"/>
                <w:sz w:val="16"/>
                <w:szCs w:val="16"/>
                <w:color w:val="auto"/>
                <w:w w:val="74"/>
              </w:rPr>
              <w:t>-</w:t>
            </w:r>
          </w:p>
        </w:tc>
        <w:tc>
          <w:tcPr>
            <w:tcW w:w="1940" w:type="dxa"/>
            <w:vAlign w:val="bottom"/>
            <w:tcBorders>
              <w:bottom w:val="single" w:sz="8" w:color="E7ECF0"/>
            </w:tcBorders>
            <w:shd w:val="clear" w:color="auto" w:fill="E7ECF0"/>
          </w:tcPr>
          <w:p>
            <w:pPr>
              <w:jc w:val="center"/>
              <w:ind w:right="99"/>
              <w:spacing w:after="0"/>
              <w:rPr>
                <w:sz w:val="20"/>
                <w:szCs w:val="20"/>
                <w:color w:val="auto"/>
              </w:rPr>
            </w:pPr>
            <w:r>
              <w:rPr>
                <w:rFonts w:ascii="Arial" w:cs="Arial" w:eastAsia="Arial" w:hAnsi="Arial"/>
                <w:sz w:val="16"/>
                <w:szCs w:val="16"/>
                <w:color w:val="auto"/>
                <w:w w:val="74"/>
              </w:rPr>
              <w:t>-</w:t>
            </w:r>
          </w:p>
        </w:tc>
        <w:tc>
          <w:tcPr>
            <w:tcW w:w="80" w:type="dxa"/>
            <w:vAlign w:val="bottom"/>
            <w:tcBorders>
              <w:bottom w:val="single" w:sz="8" w:color="E7ECF0"/>
            </w:tcBorders>
            <w:shd w:val="clear" w:color="auto" w:fill="E7ECF0"/>
          </w:tcPr>
          <w:p>
            <w:pPr>
              <w:spacing w:after="0"/>
              <w:rPr>
                <w:sz w:val="20"/>
                <w:szCs w:val="20"/>
                <w:color w:val="auto"/>
              </w:rPr>
            </w:pPr>
          </w:p>
        </w:tc>
        <w:tc>
          <w:tcPr>
            <w:tcW w:w="2160" w:type="dxa"/>
            <w:vAlign w:val="bottom"/>
            <w:tcBorders>
              <w:bottom w:val="single" w:sz="8" w:color="E7ECF0"/>
            </w:tcBorders>
            <w:shd w:val="clear" w:color="auto" w:fill="E7ECF0"/>
          </w:tcPr>
          <w:p>
            <w:pPr>
              <w:jc w:val="right"/>
              <w:spacing w:after="0"/>
              <w:rPr>
                <w:sz w:val="20"/>
                <w:szCs w:val="20"/>
                <w:color w:val="auto"/>
              </w:rPr>
            </w:pPr>
            <w:r>
              <w:rPr>
                <w:rFonts w:ascii="Arial" w:cs="Arial" w:eastAsia="Arial" w:hAnsi="Arial"/>
                <w:sz w:val="16"/>
                <w:szCs w:val="16"/>
                <w:color w:val="auto"/>
              </w:rPr>
              <w:t>3,211</w:t>
            </w:r>
          </w:p>
        </w:tc>
        <w:tc>
          <w:tcPr>
            <w:tcW w:w="2120" w:type="dxa"/>
            <w:vAlign w:val="bottom"/>
            <w:tcBorders>
              <w:bottom w:val="single" w:sz="8" w:color="E7ECF0"/>
            </w:tcBorders>
            <w:shd w:val="clear" w:color="auto" w:fill="E7ECF0"/>
          </w:tcPr>
          <w:p>
            <w:pPr>
              <w:jc w:val="right"/>
              <w:spacing w:after="0"/>
              <w:rPr>
                <w:sz w:val="20"/>
                <w:szCs w:val="20"/>
                <w:color w:val="auto"/>
              </w:rPr>
            </w:pPr>
            <w:r>
              <w:rPr>
                <w:rFonts w:ascii="Arial" w:cs="Arial" w:eastAsia="Arial" w:hAnsi="Arial"/>
                <w:sz w:val="16"/>
                <w:szCs w:val="16"/>
                <w:color w:val="auto"/>
              </w:rPr>
              <w:t>538,630</w:t>
            </w:r>
          </w:p>
        </w:tc>
        <w:tc>
          <w:tcPr>
            <w:tcW w:w="0" w:type="dxa"/>
            <w:vAlign w:val="bottom"/>
          </w:tcPr>
          <w:p>
            <w:pPr>
              <w:spacing w:after="0"/>
              <w:rPr>
                <w:sz w:val="1"/>
                <w:szCs w:val="1"/>
                <w:color w:val="auto"/>
              </w:rPr>
            </w:pPr>
          </w:p>
        </w:tc>
      </w:tr>
      <w:tr>
        <w:trPr>
          <w:trHeight w:val="235"/>
        </w:trPr>
        <w:tc>
          <w:tcPr>
            <w:tcW w:w="1700" w:type="dxa"/>
            <w:vAlign w:val="bottom"/>
            <w:tcBorders>
              <w:top w:val="single" w:sz="8" w:color="DBDBDB"/>
              <w:bottom w:val="single" w:sz="8" w:color="DBDBDB"/>
            </w:tcBorders>
          </w:tcPr>
          <w:p>
            <w:pPr>
              <w:ind w:left="20"/>
              <w:spacing w:after="0"/>
              <w:rPr>
                <w:sz w:val="20"/>
                <w:szCs w:val="20"/>
                <w:color w:val="auto"/>
              </w:rPr>
            </w:pPr>
            <w:r>
              <w:rPr>
                <w:rFonts w:ascii="Arial" w:cs="Arial" w:eastAsia="Arial" w:hAnsi="Arial"/>
                <w:sz w:val="16"/>
                <w:szCs w:val="16"/>
                <w:color w:val="auto"/>
              </w:rPr>
              <w:t>Mimi L. Carsley (3) (5)</w:t>
            </w:r>
          </w:p>
        </w:tc>
        <w:tc>
          <w:tcPr>
            <w:tcW w:w="720" w:type="dxa"/>
            <w:vAlign w:val="bottom"/>
            <w:tcBorders>
              <w:top w:val="single" w:sz="8" w:color="DBDBDB"/>
              <w:bottom w:val="single" w:sz="8" w:color="DBDBDB"/>
            </w:tcBorders>
          </w:tcPr>
          <w:p>
            <w:pPr>
              <w:spacing w:after="0"/>
              <w:rPr>
                <w:sz w:val="20"/>
                <w:szCs w:val="20"/>
                <w:color w:val="auto"/>
              </w:rPr>
            </w:pPr>
          </w:p>
        </w:tc>
        <w:tc>
          <w:tcPr>
            <w:tcW w:w="2140" w:type="dxa"/>
            <w:vAlign w:val="bottom"/>
            <w:tcBorders>
              <w:top w:val="single" w:sz="8" w:color="DBDBDB"/>
              <w:bottom w:val="single" w:sz="8" w:color="DBDBDB"/>
            </w:tcBorders>
          </w:tcPr>
          <w:p>
            <w:pPr>
              <w:jc w:val="center"/>
              <w:ind w:left="259"/>
              <w:spacing w:after="0"/>
              <w:rPr>
                <w:sz w:val="20"/>
                <w:szCs w:val="20"/>
                <w:color w:val="auto"/>
              </w:rPr>
            </w:pPr>
            <w:r>
              <w:rPr>
                <w:rFonts w:ascii="Arial" w:cs="Arial" w:eastAsia="Arial" w:hAnsi="Arial"/>
                <w:sz w:val="16"/>
                <w:szCs w:val="16"/>
                <w:color w:val="auto"/>
                <w:w w:val="74"/>
              </w:rPr>
              <w:t>-</w:t>
            </w:r>
          </w:p>
        </w:tc>
        <w:tc>
          <w:tcPr>
            <w:tcW w:w="1940" w:type="dxa"/>
            <w:vAlign w:val="bottom"/>
            <w:tcBorders>
              <w:top w:val="single" w:sz="8" w:color="DBDBDB"/>
              <w:bottom w:val="single" w:sz="8" w:color="DBDBDB"/>
            </w:tcBorders>
          </w:tcPr>
          <w:p>
            <w:pPr>
              <w:jc w:val="center"/>
              <w:ind w:right="99"/>
              <w:spacing w:after="0"/>
              <w:rPr>
                <w:sz w:val="20"/>
                <w:szCs w:val="20"/>
                <w:color w:val="auto"/>
              </w:rPr>
            </w:pPr>
            <w:r>
              <w:rPr>
                <w:rFonts w:ascii="Arial" w:cs="Arial" w:eastAsia="Arial" w:hAnsi="Arial"/>
                <w:sz w:val="16"/>
                <w:szCs w:val="16"/>
                <w:color w:val="auto"/>
                <w:w w:val="74"/>
              </w:rPr>
              <w:t>-</w:t>
            </w:r>
          </w:p>
        </w:tc>
        <w:tc>
          <w:tcPr>
            <w:tcW w:w="80" w:type="dxa"/>
            <w:vAlign w:val="bottom"/>
            <w:tcBorders>
              <w:top w:val="single" w:sz="8" w:color="DBDBDB"/>
              <w:bottom w:val="single" w:sz="8" w:color="DBDBDB"/>
            </w:tcBorders>
          </w:tcPr>
          <w:p>
            <w:pPr>
              <w:spacing w:after="0"/>
              <w:rPr>
                <w:sz w:val="20"/>
                <w:szCs w:val="20"/>
                <w:color w:val="auto"/>
              </w:rPr>
            </w:pPr>
          </w:p>
        </w:tc>
        <w:tc>
          <w:tcPr>
            <w:tcW w:w="2160" w:type="dxa"/>
            <w:vAlign w:val="bottom"/>
            <w:tcBorders>
              <w:top w:val="single" w:sz="8" w:color="DBDBDB"/>
              <w:bottom w:val="single" w:sz="8" w:color="DBDBDB"/>
            </w:tcBorders>
          </w:tcPr>
          <w:p>
            <w:pPr>
              <w:jc w:val="right"/>
              <w:spacing w:after="0"/>
              <w:rPr>
                <w:sz w:val="20"/>
                <w:szCs w:val="20"/>
                <w:color w:val="auto"/>
              </w:rPr>
            </w:pPr>
            <w:r>
              <w:rPr>
                <w:rFonts w:ascii="Arial" w:cs="Arial" w:eastAsia="Arial" w:hAnsi="Arial"/>
                <w:sz w:val="16"/>
                <w:szCs w:val="16"/>
                <w:color w:val="auto"/>
              </w:rPr>
              <w:t>1,662</w:t>
            </w:r>
          </w:p>
        </w:tc>
        <w:tc>
          <w:tcPr>
            <w:tcW w:w="2120" w:type="dxa"/>
            <w:vAlign w:val="bottom"/>
            <w:tcBorders>
              <w:top w:val="single" w:sz="8" w:color="DBDBDB"/>
              <w:bottom w:val="single" w:sz="8" w:color="DBDBDB"/>
            </w:tcBorders>
          </w:tcPr>
          <w:p>
            <w:pPr>
              <w:jc w:val="right"/>
              <w:spacing w:after="0"/>
              <w:rPr>
                <w:sz w:val="20"/>
                <w:szCs w:val="20"/>
                <w:color w:val="auto"/>
              </w:rPr>
            </w:pPr>
            <w:r>
              <w:rPr>
                <w:rFonts w:ascii="Arial" w:cs="Arial" w:eastAsia="Arial" w:hAnsi="Arial"/>
                <w:sz w:val="16"/>
                <w:szCs w:val="16"/>
                <w:color w:val="auto"/>
              </w:rPr>
              <w:t>279,824</w:t>
            </w:r>
          </w:p>
        </w:tc>
        <w:tc>
          <w:tcPr>
            <w:tcW w:w="0" w:type="dxa"/>
            <w:vAlign w:val="bottom"/>
          </w:tcPr>
          <w:p>
            <w:pPr>
              <w:spacing w:after="0"/>
              <w:rPr>
                <w:sz w:val="1"/>
                <w:szCs w:val="1"/>
                <w:color w:val="auto"/>
              </w:rPr>
            </w:pPr>
          </w:p>
        </w:tc>
      </w:tr>
      <w:tr>
        <w:trPr>
          <w:trHeight w:val="243"/>
        </w:trPr>
        <w:tc>
          <w:tcPr>
            <w:tcW w:w="1700" w:type="dxa"/>
            <w:vAlign w:val="bottom"/>
            <w:tcBorders>
              <w:bottom w:val="single" w:sz="8" w:color="E7ECF0"/>
            </w:tcBorders>
            <w:shd w:val="clear" w:color="auto" w:fill="E7ECF0"/>
          </w:tcPr>
          <w:p>
            <w:pPr>
              <w:ind w:left="20"/>
              <w:spacing w:after="0"/>
              <w:rPr>
                <w:sz w:val="20"/>
                <w:szCs w:val="20"/>
                <w:color w:val="auto"/>
              </w:rPr>
            </w:pPr>
            <w:r>
              <w:rPr>
                <w:rFonts w:ascii="Arial" w:cs="Arial" w:eastAsia="Arial" w:hAnsi="Arial"/>
                <w:sz w:val="16"/>
                <w:szCs w:val="16"/>
                <w:color w:val="auto"/>
              </w:rPr>
              <w:t>Craig K. Morgan (1) (2)</w:t>
            </w:r>
          </w:p>
        </w:tc>
        <w:tc>
          <w:tcPr>
            <w:tcW w:w="720" w:type="dxa"/>
            <w:vAlign w:val="bottom"/>
            <w:tcBorders>
              <w:bottom w:val="single" w:sz="8" w:color="E7ECF0"/>
            </w:tcBorders>
            <w:shd w:val="clear" w:color="auto" w:fill="E7ECF0"/>
          </w:tcPr>
          <w:p>
            <w:pPr>
              <w:ind w:left="20"/>
              <w:spacing w:after="0"/>
              <w:rPr>
                <w:sz w:val="20"/>
                <w:szCs w:val="20"/>
                <w:color w:val="auto"/>
              </w:rPr>
            </w:pPr>
            <w:r>
              <w:rPr>
                <w:rFonts w:ascii="Arial" w:cs="Arial" w:eastAsia="Arial" w:hAnsi="Arial"/>
                <w:sz w:val="16"/>
                <w:szCs w:val="16"/>
                <w:color w:val="auto"/>
              </w:rPr>
              <w:t>(3)</w:t>
            </w:r>
          </w:p>
        </w:tc>
        <w:tc>
          <w:tcPr>
            <w:tcW w:w="2140" w:type="dxa"/>
            <w:vAlign w:val="bottom"/>
            <w:tcBorders>
              <w:bottom w:val="single" w:sz="8" w:color="E7ECF0"/>
            </w:tcBorders>
            <w:shd w:val="clear" w:color="auto" w:fill="E7ECF0"/>
          </w:tcPr>
          <w:p>
            <w:pPr>
              <w:jc w:val="center"/>
              <w:ind w:left="259"/>
              <w:spacing w:after="0"/>
              <w:rPr>
                <w:sz w:val="20"/>
                <w:szCs w:val="20"/>
                <w:color w:val="auto"/>
              </w:rPr>
            </w:pPr>
            <w:r>
              <w:rPr>
                <w:rFonts w:ascii="Arial" w:cs="Arial" w:eastAsia="Arial" w:hAnsi="Arial"/>
                <w:sz w:val="16"/>
                <w:szCs w:val="16"/>
                <w:color w:val="auto"/>
                <w:w w:val="74"/>
              </w:rPr>
              <w:t>-</w:t>
            </w:r>
          </w:p>
        </w:tc>
        <w:tc>
          <w:tcPr>
            <w:tcW w:w="1940" w:type="dxa"/>
            <w:vAlign w:val="bottom"/>
            <w:tcBorders>
              <w:bottom w:val="single" w:sz="8" w:color="E7ECF0"/>
            </w:tcBorders>
            <w:shd w:val="clear" w:color="auto" w:fill="E7ECF0"/>
          </w:tcPr>
          <w:p>
            <w:pPr>
              <w:jc w:val="center"/>
              <w:ind w:right="99"/>
              <w:spacing w:after="0"/>
              <w:rPr>
                <w:sz w:val="20"/>
                <w:szCs w:val="20"/>
                <w:color w:val="auto"/>
              </w:rPr>
            </w:pPr>
            <w:r>
              <w:rPr>
                <w:rFonts w:ascii="Arial" w:cs="Arial" w:eastAsia="Arial" w:hAnsi="Arial"/>
                <w:sz w:val="16"/>
                <w:szCs w:val="16"/>
                <w:color w:val="auto"/>
                <w:w w:val="74"/>
              </w:rPr>
              <w:t>-</w:t>
            </w:r>
          </w:p>
        </w:tc>
        <w:tc>
          <w:tcPr>
            <w:tcW w:w="80" w:type="dxa"/>
            <w:vAlign w:val="bottom"/>
            <w:tcBorders>
              <w:bottom w:val="single" w:sz="8" w:color="E7ECF0"/>
            </w:tcBorders>
            <w:shd w:val="clear" w:color="auto" w:fill="E7ECF0"/>
          </w:tcPr>
          <w:p>
            <w:pPr>
              <w:spacing w:after="0"/>
              <w:rPr>
                <w:sz w:val="20"/>
                <w:szCs w:val="20"/>
                <w:color w:val="auto"/>
              </w:rPr>
            </w:pPr>
          </w:p>
        </w:tc>
        <w:tc>
          <w:tcPr>
            <w:tcW w:w="2160" w:type="dxa"/>
            <w:vAlign w:val="bottom"/>
            <w:tcBorders>
              <w:bottom w:val="single" w:sz="8" w:color="E7ECF0"/>
            </w:tcBorders>
            <w:shd w:val="clear" w:color="auto" w:fill="E7ECF0"/>
          </w:tcPr>
          <w:p>
            <w:pPr>
              <w:jc w:val="right"/>
              <w:spacing w:after="0"/>
              <w:rPr>
                <w:sz w:val="20"/>
                <w:szCs w:val="20"/>
                <w:color w:val="auto"/>
              </w:rPr>
            </w:pPr>
            <w:r>
              <w:rPr>
                <w:rFonts w:ascii="Arial" w:cs="Arial" w:eastAsia="Arial" w:hAnsi="Arial"/>
                <w:sz w:val="16"/>
                <w:szCs w:val="16"/>
                <w:color w:val="auto"/>
              </w:rPr>
              <w:t>1,600</w:t>
            </w:r>
          </w:p>
        </w:tc>
        <w:tc>
          <w:tcPr>
            <w:tcW w:w="2120" w:type="dxa"/>
            <w:vAlign w:val="bottom"/>
            <w:tcBorders>
              <w:bottom w:val="single" w:sz="8" w:color="E7ECF0"/>
            </w:tcBorders>
            <w:shd w:val="clear" w:color="auto" w:fill="E7ECF0"/>
          </w:tcPr>
          <w:p>
            <w:pPr>
              <w:jc w:val="right"/>
              <w:spacing w:after="0"/>
              <w:rPr>
                <w:sz w:val="20"/>
                <w:szCs w:val="20"/>
                <w:color w:val="auto"/>
              </w:rPr>
            </w:pPr>
            <w:r>
              <w:rPr>
                <w:rFonts w:ascii="Arial" w:cs="Arial" w:eastAsia="Arial" w:hAnsi="Arial"/>
                <w:sz w:val="16"/>
                <w:szCs w:val="16"/>
                <w:color w:val="auto"/>
              </w:rPr>
              <w:t>268,998</w:t>
            </w:r>
          </w:p>
        </w:tc>
        <w:tc>
          <w:tcPr>
            <w:tcW w:w="0" w:type="dxa"/>
            <w:vAlign w:val="bottom"/>
          </w:tcPr>
          <w:p>
            <w:pPr>
              <w:spacing w:after="0"/>
              <w:rPr>
                <w:sz w:val="1"/>
                <w:szCs w:val="1"/>
                <w:color w:val="auto"/>
              </w:rPr>
            </w:pPr>
          </w:p>
        </w:tc>
      </w:tr>
      <w:tr>
        <w:trPr>
          <w:trHeight w:val="235"/>
        </w:trPr>
        <w:tc>
          <w:tcPr>
            <w:tcW w:w="2420" w:type="dxa"/>
            <w:vAlign w:val="bottom"/>
            <w:tcBorders>
              <w:top w:val="single" w:sz="8" w:color="DBDBDB"/>
              <w:bottom w:val="single" w:sz="8" w:color="DBDBDB"/>
            </w:tcBorders>
            <w:gridSpan w:val="2"/>
          </w:tcPr>
          <w:p>
            <w:pPr>
              <w:ind w:left="20"/>
              <w:spacing w:after="0"/>
              <w:rPr>
                <w:sz w:val="20"/>
                <w:szCs w:val="20"/>
                <w:color w:val="auto"/>
              </w:rPr>
            </w:pPr>
            <w:r>
              <w:rPr>
                <w:rFonts w:ascii="Arial" w:cs="Arial" w:eastAsia="Arial" w:hAnsi="Arial"/>
                <w:sz w:val="16"/>
                <w:szCs w:val="16"/>
                <w:color w:val="auto"/>
              </w:rPr>
              <w:t>Stacey E. Zengel (1) (2) (3)</w:t>
            </w:r>
          </w:p>
        </w:tc>
        <w:tc>
          <w:tcPr>
            <w:tcW w:w="2140" w:type="dxa"/>
            <w:vAlign w:val="bottom"/>
            <w:tcBorders>
              <w:top w:val="single" w:sz="8" w:color="DBDBDB"/>
              <w:bottom w:val="single" w:sz="8" w:color="DBDBDB"/>
            </w:tcBorders>
          </w:tcPr>
          <w:p>
            <w:pPr>
              <w:jc w:val="center"/>
              <w:ind w:left="259"/>
              <w:spacing w:after="0"/>
              <w:rPr>
                <w:sz w:val="20"/>
                <w:szCs w:val="20"/>
                <w:color w:val="auto"/>
              </w:rPr>
            </w:pPr>
            <w:r>
              <w:rPr>
                <w:rFonts w:ascii="Arial" w:cs="Arial" w:eastAsia="Arial" w:hAnsi="Arial"/>
                <w:sz w:val="16"/>
                <w:szCs w:val="16"/>
                <w:color w:val="auto"/>
                <w:w w:val="74"/>
              </w:rPr>
              <w:t>-</w:t>
            </w:r>
          </w:p>
        </w:tc>
        <w:tc>
          <w:tcPr>
            <w:tcW w:w="1940" w:type="dxa"/>
            <w:vAlign w:val="bottom"/>
            <w:tcBorders>
              <w:top w:val="single" w:sz="8" w:color="DBDBDB"/>
              <w:bottom w:val="single" w:sz="8" w:color="DBDBDB"/>
            </w:tcBorders>
          </w:tcPr>
          <w:p>
            <w:pPr>
              <w:jc w:val="center"/>
              <w:ind w:right="99"/>
              <w:spacing w:after="0"/>
              <w:rPr>
                <w:sz w:val="20"/>
                <w:szCs w:val="20"/>
                <w:color w:val="auto"/>
              </w:rPr>
            </w:pPr>
            <w:r>
              <w:rPr>
                <w:rFonts w:ascii="Arial" w:cs="Arial" w:eastAsia="Arial" w:hAnsi="Arial"/>
                <w:sz w:val="16"/>
                <w:szCs w:val="16"/>
                <w:color w:val="auto"/>
                <w:w w:val="74"/>
              </w:rPr>
              <w:t>-</w:t>
            </w:r>
          </w:p>
        </w:tc>
        <w:tc>
          <w:tcPr>
            <w:tcW w:w="80" w:type="dxa"/>
            <w:vAlign w:val="bottom"/>
            <w:tcBorders>
              <w:top w:val="single" w:sz="8" w:color="DBDBDB"/>
              <w:bottom w:val="single" w:sz="8" w:color="DBDBDB"/>
            </w:tcBorders>
          </w:tcPr>
          <w:p>
            <w:pPr>
              <w:spacing w:after="0"/>
              <w:rPr>
                <w:sz w:val="20"/>
                <w:szCs w:val="20"/>
                <w:color w:val="auto"/>
              </w:rPr>
            </w:pPr>
          </w:p>
        </w:tc>
        <w:tc>
          <w:tcPr>
            <w:tcW w:w="2160" w:type="dxa"/>
            <w:vAlign w:val="bottom"/>
            <w:tcBorders>
              <w:top w:val="single" w:sz="8" w:color="DBDBDB"/>
              <w:bottom w:val="single" w:sz="8" w:color="DBDBDB"/>
            </w:tcBorders>
          </w:tcPr>
          <w:p>
            <w:pPr>
              <w:jc w:val="right"/>
              <w:spacing w:after="0"/>
              <w:rPr>
                <w:sz w:val="20"/>
                <w:szCs w:val="20"/>
                <w:color w:val="auto"/>
              </w:rPr>
            </w:pPr>
            <w:r>
              <w:rPr>
                <w:rFonts w:ascii="Arial" w:cs="Arial" w:eastAsia="Arial" w:hAnsi="Arial"/>
                <w:sz w:val="16"/>
                <w:szCs w:val="16"/>
                <w:color w:val="auto"/>
              </w:rPr>
              <w:t>971</w:t>
            </w:r>
          </w:p>
        </w:tc>
        <w:tc>
          <w:tcPr>
            <w:tcW w:w="2120" w:type="dxa"/>
            <w:vAlign w:val="bottom"/>
            <w:tcBorders>
              <w:top w:val="single" w:sz="8" w:color="DBDBDB"/>
              <w:bottom w:val="single" w:sz="8" w:color="DBDBDB"/>
            </w:tcBorders>
          </w:tcPr>
          <w:p>
            <w:pPr>
              <w:jc w:val="right"/>
              <w:spacing w:after="0"/>
              <w:rPr>
                <w:sz w:val="20"/>
                <w:szCs w:val="20"/>
                <w:color w:val="auto"/>
              </w:rPr>
            </w:pPr>
            <w:r>
              <w:rPr>
                <w:rFonts w:ascii="Arial" w:cs="Arial" w:eastAsia="Arial" w:hAnsi="Arial"/>
                <w:sz w:val="16"/>
                <w:szCs w:val="16"/>
                <w:color w:val="auto"/>
              </w:rPr>
              <w:t>162,725</w:t>
            </w:r>
          </w:p>
        </w:tc>
        <w:tc>
          <w:tcPr>
            <w:tcW w:w="0" w:type="dxa"/>
            <w:vAlign w:val="bottom"/>
          </w:tcPr>
          <w:p>
            <w:pPr>
              <w:spacing w:after="0"/>
              <w:rPr>
                <w:sz w:val="1"/>
                <w:szCs w:val="1"/>
                <w:color w:val="auto"/>
              </w:rPr>
            </w:pPr>
          </w:p>
        </w:tc>
      </w:tr>
    </w:tbl>
    <w:p>
      <w:pPr>
        <w:spacing w:after="0" w:line="184" w:lineRule="exact"/>
        <w:rPr>
          <w:sz w:val="20"/>
          <w:szCs w:val="20"/>
          <w:color w:val="auto"/>
        </w:rPr>
      </w:pPr>
    </w:p>
    <w:p>
      <w:pPr>
        <w:ind w:left="1000" w:hanging="344"/>
        <w:spacing w:after="0"/>
        <w:tabs>
          <w:tab w:leader="none" w:pos="10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Value of the shares acquired on August 29, 2023, at the closing market price of such shares on August 28, 2023.</w:t>
      </w:r>
    </w:p>
    <w:p>
      <w:pPr>
        <w:spacing w:after="0" w:line="117" w:lineRule="exact"/>
        <w:rPr>
          <w:rFonts w:ascii="Arial" w:cs="Arial" w:eastAsia="Arial" w:hAnsi="Arial"/>
          <w:sz w:val="18"/>
          <w:szCs w:val="18"/>
          <w:color w:val="auto"/>
        </w:rPr>
      </w:pPr>
    </w:p>
    <w:p>
      <w:pPr>
        <w:ind w:left="960" w:hanging="304"/>
        <w:spacing w:after="0"/>
        <w:tabs>
          <w:tab w:leader="none" w:pos="9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Value of the shares acquired on August 3, 2023, at the closing market price of such shares on August 2, 2023.</w:t>
      </w:r>
    </w:p>
    <w:p>
      <w:pPr>
        <w:spacing w:after="0" w:line="130" w:lineRule="exact"/>
        <w:rPr>
          <w:rFonts w:ascii="Arial" w:cs="Arial" w:eastAsia="Arial" w:hAnsi="Arial"/>
          <w:sz w:val="18"/>
          <w:szCs w:val="18"/>
          <w:color w:val="auto"/>
        </w:rPr>
      </w:pPr>
    </w:p>
    <w:p>
      <w:pPr>
        <w:ind w:left="940" w:hanging="284"/>
        <w:spacing w:after="0"/>
        <w:tabs>
          <w:tab w:leader="none" w:pos="9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Value of the shares acquired on August 4, 2023, at the closing market price of such shares on August 3, 2023.</w:t>
      </w:r>
    </w:p>
    <w:p>
      <w:pPr>
        <w:spacing w:after="0" w:line="130" w:lineRule="exact"/>
        <w:rPr>
          <w:rFonts w:ascii="Arial" w:cs="Arial" w:eastAsia="Arial" w:hAnsi="Arial"/>
          <w:sz w:val="18"/>
          <w:szCs w:val="18"/>
          <w:color w:val="auto"/>
        </w:rPr>
      </w:pPr>
    </w:p>
    <w:p>
      <w:pPr>
        <w:ind w:left="940" w:hanging="284"/>
        <w:spacing w:after="0"/>
        <w:tabs>
          <w:tab w:leader="none" w:pos="9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Value of the shares acquired on January 1, 2024, at the closing market price of such shares on December 29,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69215</wp:posOffset>
            </wp:positionV>
            <wp:extent cx="7132320" cy="3511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32320" cy="351155"/>
                    </a:xfrm>
                    <a:prstGeom prst="rect">
                      <a:avLst/>
                    </a:prstGeom>
                    <a:noFill/>
                  </pic:spPr>
                </pic:pic>
              </a:graphicData>
            </a:graphic>
          </wp:anchor>
        </w:drawing>
      </w:r>
    </w:p>
    <w:p>
      <w:pPr>
        <w:spacing w:after="0" w:line="300" w:lineRule="exact"/>
        <w:rPr>
          <w:sz w:val="20"/>
          <w:szCs w:val="20"/>
          <w:color w:val="auto"/>
        </w:rPr>
      </w:pPr>
    </w:p>
    <w:p>
      <w:pPr>
        <w:ind w:left="20"/>
        <w:spacing w:after="0"/>
        <w:tabs>
          <w:tab w:leader="none" w:pos="440" w:val="left"/>
        </w:tabs>
        <w:rPr>
          <w:sz w:val="20"/>
          <w:szCs w:val="20"/>
          <w:color w:val="auto"/>
        </w:rPr>
      </w:pPr>
      <w:r>
        <w:rPr>
          <w:rFonts w:ascii="Arial" w:cs="Arial" w:eastAsia="Arial" w:hAnsi="Arial"/>
          <w:sz w:val="18"/>
          <w:szCs w:val="18"/>
          <w:color w:val="auto"/>
        </w:rPr>
        <w:t>56</w:t>
        <w:tab/>
        <w:t>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253365</wp:posOffset>
            </wp:positionV>
            <wp:extent cx="7157720" cy="425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8" w:right="339" w:bottom="1440" w:gutter="0" w:footer="0" w:header="0"/>
        </w:sectPr>
      </w:pPr>
    </w:p>
    <w:bookmarkStart w:id="59" w:name="page60"/>
    <w:bookmarkEnd w:id="59"/>
    <w:p>
      <w:pPr>
        <w:ind w:left="660"/>
        <w:spacing w:after="0"/>
        <w:rPr>
          <w:sz w:val="20"/>
          <w:szCs w:val="20"/>
          <w:color w:val="auto"/>
        </w:rPr>
      </w:pPr>
      <w:r>
        <w:rPr>
          <w:rFonts w:ascii="Arial" w:cs="Arial" w:eastAsia="Arial" w:hAnsi="Arial"/>
          <w:sz w:val="18"/>
          <w:szCs w:val="18"/>
          <w:color w:val="auto"/>
        </w:rPr>
        <w:t>(5) Value of the shares acquired on July 17, 2023, at the closing market price of such shares on July 14, 2023.</w:t>
      </w:r>
    </w:p>
    <w:p>
      <w:pPr>
        <w:spacing w:after="0" w:line="26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Nonqualified Deferred Compensation</w:t>
      </w:r>
    </w:p>
    <w:p>
      <w:pPr>
        <w:spacing w:after="0" w:line="258" w:lineRule="exact"/>
        <w:rPr>
          <w:sz w:val="20"/>
          <w:szCs w:val="20"/>
          <w:color w:val="auto"/>
        </w:rPr>
      </w:pPr>
    </w:p>
    <w:p>
      <w:pPr>
        <w:spacing w:after="0" w:line="286" w:lineRule="auto"/>
        <w:rPr>
          <w:sz w:val="20"/>
          <w:szCs w:val="20"/>
          <w:color w:val="auto"/>
        </w:rPr>
      </w:pPr>
      <w:r>
        <w:rPr>
          <w:rFonts w:ascii="Arial" w:cs="Arial" w:eastAsia="Arial" w:hAnsi="Arial"/>
          <w:sz w:val="20"/>
          <w:szCs w:val="20"/>
          <w:color w:val="auto"/>
        </w:rPr>
        <w:t>The following table sets forth the contributions made by our Named Executives and the earnings accrued on all such contributions under the Company’s non-qualified Deferred Compensation Plan during the fiscal 2024.</w:t>
      </w:r>
    </w:p>
    <w:p>
      <w:pPr>
        <w:spacing w:after="0" w:line="216" w:lineRule="exact"/>
        <w:rPr>
          <w:sz w:val="20"/>
          <w:szCs w:val="20"/>
          <w:color w:val="auto"/>
        </w:rPr>
      </w:pPr>
    </w:p>
    <w:tbl>
      <w:tblPr>
        <w:tblLayout w:type="fixed"/>
        <w:tblInd w:w="220" w:type="dxa"/>
        <w:tblCellMar>
          <w:top w:w="0" w:type="dxa"/>
          <w:left w:w="0" w:type="dxa"/>
          <w:bottom w:w="0" w:type="dxa"/>
          <w:right w:w="0" w:type="dxa"/>
        </w:tblCellMar>
      </w:tblPr>
      <w:tr>
        <w:trPr>
          <w:trHeight w:val="188"/>
        </w:trPr>
        <w:tc>
          <w:tcPr>
            <w:tcW w:w="2440" w:type="dxa"/>
            <w:vAlign w:val="bottom"/>
            <w:shd w:val="clear" w:color="auto" w:fill="E8F7F7"/>
          </w:tcPr>
          <w:p>
            <w:pPr>
              <w:spacing w:after="0"/>
              <w:rPr>
                <w:sz w:val="16"/>
                <w:szCs w:val="16"/>
                <w:color w:val="auto"/>
              </w:rPr>
            </w:pPr>
          </w:p>
        </w:tc>
        <w:tc>
          <w:tcPr>
            <w:tcW w:w="1720" w:type="dxa"/>
            <w:vAlign w:val="bottom"/>
            <w:shd w:val="clear" w:color="auto" w:fill="E8F7F7"/>
          </w:tcPr>
          <w:p>
            <w:pPr>
              <w:jc w:val="center"/>
              <w:spacing w:after="0"/>
              <w:rPr>
                <w:sz w:val="20"/>
                <w:szCs w:val="20"/>
                <w:color w:val="auto"/>
              </w:rPr>
            </w:pPr>
            <w:r>
              <w:rPr>
                <w:rFonts w:ascii="Arial" w:cs="Arial" w:eastAsia="Arial" w:hAnsi="Arial"/>
                <w:sz w:val="16"/>
                <w:szCs w:val="16"/>
                <w:b w:val="1"/>
                <w:bCs w:val="1"/>
                <w:color w:val="auto"/>
              </w:rPr>
              <w:t>Executive</w:t>
            </w:r>
          </w:p>
        </w:tc>
        <w:tc>
          <w:tcPr>
            <w:tcW w:w="1460" w:type="dxa"/>
            <w:vAlign w:val="bottom"/>
            <w:shd w:val="clear" w:color="auto" w:fill="E8F7F7"/>
          </w:tcPr>
          <w:p>
            <w:pPr>
              <w:jc w:val="center"/>
              <w:spacing w:after="0"/>
              <w:rPr>
                <w:sz w:val="20"/>
                <w:szCs w:val="20"/>
                <w:color w:val="auto"/>
              </w:rPr>
            </w:pPr>
            <w:r>
              <w:rPr>
                <w:rFonts w:ascii="Arial" w:cs="Arial" w:eastAsia="Arial" w:hAnsi="Arial"/>
                <w:sz w:val="16"/>
                <w:szCs w:val="16"/>
                <w:b w:val="1"/>
                <w:bCs w:val="1"/>
                <w:color w:val="auto"/>
              </w:rPr>
              <w:t>Registrant</w:t>
            </w:r>
          </w:p>
        </w:tc>
        <w:tc>
          <w:tcPr>
            <w:tcW w:w="1840" w:type="dxa"/>
            <w:vAlign w:val="bottom"/>
            <w:shd w:val="clear" w:color="auto" w:fill="E8F7F7"/>
          </w:tcPr>
          <w:p>
            <w:pPr>
              <w:jc w:val="center"/>
              <w:ind w:right="19"/>
              <w:spacing w:after="0"/>
              <w:rPr>
                <w:sz w:val="20"/>
                <w:szCs w:val="20"/>
                <w:color w:val="auto"/>
              </w:rPr>
            </w:pPr>
            <w:r>
              <w:rPr>
                <w:rFonts w:ascii="Arial" w:cs="Arial" w:eastAsia="Arial" w:hAnsi="Arial"/>
                <w:sz w:val="16"/>
                <w:szCs w:val="16"/>
                <w:b w:val="1"/>
                <w:bCs w:val="1"/>
                <w:color w:val="auto"/>
              </w:rPr>
              <w:t>Aggregate Earnings</w:t>
            </w:r>
          </w:p>
        </w:tc>
        <w:tc>
          <w:tcPr>
            <w:tcW w:w="1420" w:type="dxa"/>
            <w:vAlign w:val="bottom"/>
            <w:shd w:val="clear" w:color="auto" w:fill="E8F7F7"/>
          </w:tcPr>
          <w:p>
            <w:pPr>
              <w:jc w:val="center"/>
              <w:spacing w:after="0"/>
              <w:rPr>
                <w:sz w:val="20"/>
                <w:szCs w:val="20"/>
                <w:color w:val="auto"/>
              </w:rPr>
            </w:pPr>
            <w:r>
              <w:rPr>
                <w:rFonts w:ascii="Arial" w:cs="Arial" w:eastAsia="Arial" w:hAnsi="Arial"/>
                <w:sz w:val="16"/>
                <w:szCs w:val="16"/>
                <w:b w:val="1"/>
                <w:bCs w:val="1"/>
                <w:color w:val="auto"/>
              </w:rPr>
              <w:t>Aggregate</w:t>
            </w:r>
          </w:p>
        </w:tc>
        <w:tc>
          <w:tcPr>
            <w:tcW w:w="1960" w:type="dxa"/>
            <w:vAlign w:val="bottom"/>
            <w:vMerge w:val="restart"/>
            <w:shd w:val="clear" w:color="auto" w:fill="E8F7F7"/>
          </w:tcPr>
          <w:p>
            <w:pPr>
              <w:jc w:val="center"/>
              <w:ind w:left="19"/>
              <w:spacing w:after="0"/>
              <w:rPr>
                <w:sz w:val="20"/>
                <w:szCs w:val="20"/>
                <w:color w:val="auto"/>
              </w:rPr>
            </w:pPr>
            <w:r>
              <w:rPr>
                <w:rFonts w:ascii="Arial" w:cs="Arial" w:eastAsia="Arial" w:hAnsi="Arial"/>
                <w:sz w:val="16"/>
                <w:szCs w:val="16"/>
                <w:b w:val="1"/>
                <w:bCs w:val="1"/>
                <w:color w:val="auto"/>
              </w:rPr>
              <w:t>Aggregate Balance at</w:t>
            </w:r>
          </w:p>
        </w:tc>
        <w:tc>
          <w:tcPr>
            <w:tcW w:w="0" w:type="dxa"/>
            <w:vAlign w:val="bottom"/>
          </w:tcPr>
          <w:p>
            <w:pPr>
              <w:spacing w:after="0"/>
              <w:rPr>
                <w:sz w:val="1"/>
                <w:szCs w:val="1"/>
                <w:color w:val="auto"/>
              </w:rPr>
            </w:pPr>
          </w:p>
        </w:tc>
      </w:tr>
      <w:tr>
        <w:trPr>
          <w:trHeight w:val="176"/>
        </w:trPr>
        <w:tc>
          <w:tcPr>
            <w:tcW w:w="2440" w:type="dxa"/>
            <w:vAlign w:val="bottom"/>
            <w:shd w:val="clear" w:color="auto" w:fill="E8F7F7"/>
          </w:tcPr>
          <w:p>
            <w:pPr>
              <w:spacing w:after="0"/>
              <w:rPr>
                <w:sz w:val="15"/>
                <w:szCs w:val="15"/>
                <w:color w:val="auto"/>
              </w:rPr>
            </w:pPr>
          </w:p>
        </w:tc>
        <w:tc>
          <w:tcPr>
            <w:tcW w:w="1720" w:type="dxa"/>
            <w:vAlign w:val="bottom"/>
            <w:shd w:val="clear" w:color="auto" w:fill="E8F7F7"/>
          </w:tcPr>
          <w:p>
            <w:pPr>
              <w:jc w:val="center"/>
              <w:spacing w:after="0" w:line="175" w:lineRule="exact"/>
              <w:rPr>
                <w:sz w:val="20"/>
                <w:szCs w:val="20"/>
                <w:color w:val="auto"/>
              </w:rPr>
            </w:pPr>
            <w:r>
              <w:rPr>
                <w:rFonts w:ascii="Arial" w:cs="Arial" w:eastAsia="Arial" w:hAnsi="Arial"/>
                <w:sz w:val="16"/>
                <w:szCs w:val="16"/>
                <w:b w:val="1"/>
                <w:bCs w:val="1"/>
                <w:color w:val="auto"/>
              </w:rPr>
              <w:t>Contributions in Last</w:t>
            </w:r>
          </w:p>
        </w:tc>
        <w:tc>
          <w:tcPr>
            <w:tcW w:w="1460" w:type="dxa"/>
            <w:vAlign w:val="bottom"/>
            <w:shd w:val="clear" w:color="auto" w:fill="E8F7F7"/>
          </w:tcPr>
          <w:p>
            <w:pPr>
              <w:jc w:val="center"/>
              <w:spacing w:after="0" w:line="175" w:lineRule="exact"/>
              <w:rPr>
                <w:sz w:val="20"/>
                <w:szCs w:val="20"/>
                <w:color w:val="auto"/>
              </w:rPr>
            </w:pPr>
            <w:r>
              <w:rPr>
                <w:rFonts w:ascii="Arial" w:cs="Arial" w:eastAsia="Arial" w:hAnsi="Arial"/>
                <w:sz w:val="16"/>
                <w:szCs w:val="16"/>
                <w:b w:val="1"/>
                <w:bCs w:val="1"/>
                <w:color w:val="auto"/>
              </w:rPr>
              <w:t>Contributions in</w:t>
            </w:r>
          </w:p>
        </w:tc>
        <w:tc>
          <w:tcPr>
            <w:tcW w:w="1840" w:type="dxa"/>
            <w:vAlign w:val="bottom"/>
            <w:shd w:val="clear" w:color="auto" w:fill="E8F7F7"/>
          </w:tcPr>
          <w:p>
            <w:pPr>
              <w:jc w:val="center"/>
              <w:ind w:right="19"/>
              <w:spacing w:after="0" w:line="175" w:lineRule="exact"/>
              <w:rPr>
                <w:sz w:val="20"/>
                <w:szCs w:val="20"/>
                <w:color w:val="auto"/>
              </w:rPr>
            </w:pPr>
            <w:r>
              <w:rPr>
                <w:rFonts w:ascii="Arial" w:cs="Arial" w:eastAsia="Arial" w:hAnsi="Arial"/>
                <w:sz w:val="16"/>
                <w:szCs w:val="16"/>
                <w:b w:val="1"/>
                <w:bCs w:val="1"/>
                <w:color w:val="auto"/>
              </w:rPr>
              <w:t>(Losses) in Last</w:t>
            </w:r>
          </w:p>
        </w:tc>
        <w:tc>
          <w:tcPr>
            <w:tcW w:w="1420" w:type="dxa"/>
            <w:vAlign w:val="bottom"/>
            <w:shd w:val="clear" w:color="auto" w:fill="E8F7F7"/>
          </w:tcPr>
          <w:p>
            <w:pPr>
              <w:jc w:val="center"/>
              <w:spacing w:after="0" w:line="175" w:lineRule="exact"/>
              <w:rPr>
                <w:sz w:val="20"/>
                <w:szCs w:val="20"/>
                <w:color w:val="auto"/>
              </w:rPr>
            </w:pPr>
            <w:r>
              <w:rPr>
                <w:rFonts w:ascii="Arial" w:cs="Arial" w:eastAsia="Arial" w:hAnsi="Arial"/>
                <w:sz w:val="16"/>
                <w:szCs w:val="16"/>
                <w:b w:val="1"/>
                <w:bCs w:val="1"/>
                <w:color w:val="auto"/>
              </w:rPr>
              <w:t>Withdrawals/</w:t>
            </w:r>
          </w:p>
        </w:tc>
        <w:tc>
          <w:tcPr>
            <w:tcW w:w="1960" w:type="dxa"/>
            <w:vAlign w:val="bottom"/>
            <w:vMerge w:val="continue"/>
            <w:shd w:val="clear" w:color="auto" w:fill="E8F7F7"/>
          </w:tcPr>
          <w:p>
            <w:pPr>
              <w:spacing w:after="0"/>
              <w:rPr>
                <w:sz w:val="15"/>
                <w:szCs w:val="15"/>
                <w:color w:val="auto"/>
              </w:rPr>
            </w:pPr>
          </w:p>
        </w:tc>
        <w:tc>
          <w:tcPr>
            <w:tcW w:w="0" w:type="dxa"/>
            <w:vAlign w:val="bottom"/>
          </w:tcPr>
          <w:p>
            <w:pPr>
              <w:spacing w:after="0"/>
              <w:rPr>
                <w:sz w:val="1"/>
                <w:szCs w:val="1"/>
                <w:color w:val="auto"/>
              </w:rPr>
            </w:pPr>
          </w:p>
        </w:tc>
      </w:tr>
      <w:tr>
        <w:trPr>
          <w:trHeight w:val="236"/>
        </w:trPr>
        <w:tc>
          <w:tcPr>
            <w:tcW w:w="2440" w:type="dxa"/>
            <w:vAlign w:val="bottom"/>
            <w:shd w:val="clear" w:color="auto" w:fill="E8F7F7"/>
          </w:tcPr>
          <w:p>
            <w:pPr>
              <w:spacing w:after="0"/>
              <w:rPr>
                <w:sz w:val="20"/>
                <w:szCs w:val="20"/>
                <w:color w:val="auto"/>
              </w:rPr>
            </w:pPr>
            <w:r>
              <w:rPr>
                <w:rFonts w:ascii="Arial" w:cs="Arial" w:eastAsia="Arial" w:hAnsi="Arial"/>
                <w:sz w:val="16"/>
                <w:szCs w:val="16"/>
                <w:b w:val="1"/>
                <w:bCs w:val="1"/>
                <w:color w:val="auto"/>
              </w:rPr>
              <w:t>Name</w:t>
            </w:r>
          </w:p>
        </w:tc>
        <w:tc>
          <w:tcPr>
            <w:tcW w:w="1720" w:type="dxa"/>
            <w:vAlign w:val="bottom"/>
            <w:shd w:val="clear" w:color="auto" w:fill="E8F7F7"/>
          </w:tcPr>
          <w:p>
            <w:pPr>
              <w:jc w:val="center"/>
              <w:spacing w:after="0"/>
              <w:rPr>
                <w:sz w:val="20"/>
                <w:szCs w:val="20"/>
                <w:color w:val="auto"/>
              </w:rPr>
            </w:pPr>
            <w:r>
              <w:rPr>
                <w:rFonts w:ascii="Arial" w:cs="Arial" w:eastAsia="Arial" w:hAnsi="Arial"/>
                <w:sz w:val="16"/>
                <w:szCs w:val="16"/>
                <w:b w:val="1"/>
                <w:bCs w:val="1"/>
                <w:color w:val="auto"/>
                <w:w w:val="99"/>
              </w:rPr>
              <w:t>Fiscal Year</w:t>
            </w:r>
          </w:p>
        </w:tc>
        <w:tc>
          <w:tcPr>
            <w:tcW w:w="1460" w:type="dxa"/>
            <w:vAlign w:val="bottom"/>
            <w:shd w:val="clear" w:color="auto" w:fill="E8F7F7"/>
          </w:tcPr>
          <w:p>
            <w:pPr>
              <w:jc w:val="center"/>
              <w:spacing w:after="0"/>
              <w:rPr>
                <w:sz w:val="20"/>
                <w:szCs w:val="20"/>
                <w:color w:val="auto"/>
              </w:rPr>
            </w:pPr>
            <w:r>
              <w:rPr>
                <w:rFonts w:ascii="Arial" w:cs="Arial" w:eastAsia="Arial" w:hAnsi="Arial"/>
                <w:sz w:val="16"/>
                <w:szCs w:val="16"/>
                <w:b w:val="1"/>
                <w:bCs w:val="1"/>
                <w:color w:val="auto"/>
              </w:rPr>
              <w:t>Last Fiscal Year</w:t>
            </w:r>
          </w:p>
        </w:tc>
        <w:tc>
          <w:tcPr>
            <w:tcW w:w="1840" w:type="dxa"/>
            <w:vAlign w:val="bottom"/>
            <w:shd w:val="clear" w:color="auto" w:fill="E8F7F7"/>
          </w:tcPr>
          <w:p>
            <w:pPr>
              <w:jc w:val="center"/>
              <w:ind w:right="19"/>
              <w:spacing w:after="0"/>
              <w:rPr>
                <w:sz w:val="20"/>
                <w:szCs w:val="20"/>
                <w:color w:val="auto"/>
              </w:rPr>
            </w:pPr>
            <w:r>
              <w:rPr>
                <w:rFonts w:ascii="Arial" w:cs="Arial" w:eastAsia="Arial" w:hAnsi="Arial"/>
                <w:sz w:val="16"/>
                <w:szCs w:val="16"/>
                <w:b w:val="1"/>
                <w:bCs w:val="1"/>
                <w:color w:val="auto"/>
              </w:rPr>
              <w:t>Fiscal Year</w:t>
            </w:r>
          </w:p>
        </w:tc>
        <w:tc>
          <w:tcPr>
            <w:tcW w:w="1420" w:type="dxa"/>
            <w:vAlign w:val="bottom"/>
            <w:shd w:val="clear" w:color="auto" w:fill="E8F7F7"/>
          </w:tcPr>
          <w:p>
            <w:pPr>
              <w:jc w:val="center"/>
              <w:spacing w:after="0"/>
              <w:rPr>
                <w:sz w:val="20"/>
                <w:szCs w:val="20"/>
                <w:color w:val="auto"/>
              </w:rPr>
            </w:pPr>
            <w:r>
              <w:rPr>
                <w:rFonts w:ascii="Arial" w:cs="Arial" w:eastAsia="Arial" w:hAnsi="Arial"/>
                <w:sz w:val="16"/>
                <w:szCs w:val="16"/>
                <w:b w:val="1"/>
                <w:bCs w:val="1"/>
                <w:color w:val="auto"/>
              </w:rPr>
              <w:t>Distributions</w:t>
            </w:r>
          </w:p>
        </w:tc>
        <w:tc>
          <w:tcPr>
            <w:tcW w:w="1960" w:type="dxa"/>
            <w:vAlign w:val="bottom"/>
            <w:shd w:val="clear" w:color="auto" w:fill="E8F7F7"/>
          </w:tcPr>
          <w:p>
            <w:pPr>
              <w:jc w:val="center"/>
              <w:ind w:left="19"/>
              <w:spacing w:after="0"/>
              <w:rPr>
                <w:sz w:val="20"/>
                <w:szCs w:val="20"/>
                <w:color w:val="auto"/>
              </w:rPr>
            </w:pPr>
            <w:r>
              <w:rPr>
                <w:rFonts w:ascii="Arial" w:cs="Arial" w:eastAsia="Arial" w:hAnsi="Arial"/>
                <w:sz w:val="16"/>
                <w:szCs w:val="16"/>
                <w:b w:val="1"/>
                <w:bCs w:val="1"/>
                <w:color w:val="auto"/>
              </w:rPr>
              <w:t>Last Fiscal Year End</w:t>
            </w:r>
          </w:p>
        </w:tc>
        <w:tc>
          <w:tcPr>
            <w:tcW w:w="0" w:type="dxa"/>
            <w:vAlign w:val="bottom"/>
          </w:tcPr>
          <w:p>
            <w:pPr>
              <w:spacing w:after="0"/>
              <w:rPr>
                <w:sz w:val="1"/>
                <w:szCs w:val="1"/>
                <w:color w:val="auto"/>
              </w:rPr>
            </w:pPr>
          </w:p>
        </w:tc>
      </w:tr>
      <w:tr>
        <w:trPr>
          <w:trHeight w:val="255"/>
        </w:trPr>
        <w:tc>
          <w:tcPr>
            <w:tcW w:w="2440" w:type="dxa"/>
            <w:vAlign w:val="bottom"/>
            <w:tcBorders>
              <w:bottom w:val="single" w:sz="8" w:color="E8F7F7"/>
            </w:tcBorders>
            <w:shd w:val="clear" w:color="auto" w:fill="E8F7F7"/>
          </w:tcPr>
          <w:p>
            <w:pPr>
              <w:spacing w:after="0"/>
              <w:rPr>
                <w:sz w:val="21"/>
                <w:szCs w:val="21"/>
                <w:color w:val="auto"/>
              </w:rPr>
            </w:pPr>
          </w:p>
        </w:tc>
        <w:tc>
          <w:tcPr>
            <w:tcW w:w="1720" w:type="dxa"/>
            <w:vAlign w:val="bottom"/>
            <w:tcBorders>
              <w:bottom w:val="single" w:sz="8" w:color="E8F7F7"/>
            </w:tcBorders>
            <w:shd w:val="clear" w:color="auto" w:fill="E8F7F7"/>
          </w:tcPr>
          <w:p>
            <w:pPr>
              <w:jc w:val="center"/>
              <w:spacing w:after="0"/>
              <w:rPr>
                <w:sz w:val="20"/>
                <w:szCs w:val="20"/>
                <w:color w:val="auto"/>
              </w:rPr>
            </w:pPr>
            <w:r>
              <w:rPr>
                <w:rFonts w:ascii="Arial" w:cs="Arial" w:eastAsia="Arial" w:hAnsi="Arial"/>
                <w:sz w:val="16"/>
                <w:szCs w:val="16"/>
                <w:b w:val="1"/>
                <w:bCs w:val="1"/>
                <w:color w:val="auto"/>
              </w:rPr>
              <w:t>($)</w:t>
            </w:r>
          </w:p>
        </w:tc>
        <w:tc>
          <w:tcPr>
            <w:tcW w:w="1460" w:type="dxa"/>
            <w:vAlign w:val="bottom"/>
            <w:tcBorders>
              <w:bottom w:val="single" w:sz="8" w:color="E8F7F7"/>
            </w:tcBorders>
            <w:shd w:val="clear" w:color="auto" w:fill="E8F7F7"/>
          </w:tcPr>
          <w:p>
            <w:pPr>
              <w:jc w:val="center"/>
              <w:spacing w:after="0"/>
              <w:rPr>
                <w:sz w:val="20"/>
                <w:szCs w:val="20"/>
                <w:color w:val="auto"/>
              </w:rPr>
            </w:pPr>
            <w:r>
              <w:rPr>
                <w:rFonts w:ascii="Arial" w:cs="Arial" w:eastAsia="Arial" w:hAnsi="Arial"/>
                <w:sz w:val="16"/>
                <w:szCs w:val="16"/>
                <w:b w:val="1"/>
                <w:bCs w:val="1"/>
                <w:color w:val="auto"/>
              </w:rPr>
              <w:t>($)</w:t>
            </w:r>
          </w:p>
        </w:tc>
        <w:tc>
          <w:tcPr>
            <w:tcW w:w="1840" w:type="dxa"/>
            <w:vAlign w:val="bottom"/>
            <w:tcBorders>
              <w:bottom w:val="single" w:sz="8" w:color="E8F7F7"/>
            </w:tcBorders>
            <w:shd w:val="clear" w:color="auto" w:fill="E8F7F7"/>
          </w:tcPr>
          <w:p>
            <w:pPr>
              <w:jc w:val="center"/>
              <w:spacing w:after="0"/>
              <w:rPr>
                <w:sz w:val="20"/>
                <w:szCs w:val="20"/>
                <w:color w:val="auto"/>
              </w:rPr>
            </w:pPr>
            <w:r>
              <w:rPr>
                <w:rFonts w:ascii="Arial" w:cs="Arial" w:eastAsia="Arial" w:hAnsi="Arial"/>
                <w:sz w:val="16"/>
                <w:szCs w:val="16"/>
                <w:b w:val="1"/>
                <w:bCs w:val="1"/>
                <w:color w:val="auto"/>
              </w:rPr>
              <w:t>($) (1)</w:t>
            </w:r>
          </w:p>
        </w:tc>
        <w:tc>
          <w:tcPr>
            <w:tcW w:w="1420" w:type="dxa"/>
            <w:vAlign w:val="bottom"/>
            <w:tcBorders>
              <w:bottom w:val="single" w:sz="8" w:color="E8F7F7"/>
            </w:tcBorders>
            <w:shd w:val="clear" w:color="auto" w:fill="E8F7F7"/>
          </w:tcPr>
          <w:p>
            <w:pPr>
              <w:jc w:val="center"/>
              <w:spacing w:after="0"/>
              <w:rPr>
                <w:sz w:val="20"/>
                <w:szCs w:val="20"/>
                <w:color w:val="auto"/>
              </w:rPr>
            </w:pPr>
            <w:r>
              <w:rPr>
                <w:rFonts w:ascii="Arial" w:cs="Arial" w:eastAsia="Arial" w:hAnsi="Arial"/>
                <w:sz w:val="16"/>
                <w:szCs w:val="16"/>
                <w:b w:val="1"/>
                <w:bCs w:val="1"/>
                <w:color w:val="auto"/>
              </w:rPr>
              <w:t>($)</w:t>
            </w:r>
          </w:p>
        </w:tc>
        <w:tc>
          <w:tcPr>
            <w:tcW w:w="1960" w:type="dxa"/>
            <w:vAlign w:val="bottom"/>
            <w:tcBorders>
              <w:bottom w:val="single" w:sz="8" w:color="E8F7F7"/>
            </w:tcBorders>
            <w:shd w:val="clear" w:color="auto" w:fill="E8F7F7"/>
          </w:tcPr>
          <w:p>
            <w:pPr>
              <w:jc w:val="center"/>
              <w:ind w:left="39"/>
              <w:spacing w:after="0"/>
              <w:rPr>
                <w:sz w:val="20"/>
                <w:szCs w:val="20"/>
                <w:color w:val="auto"/>
              </w:rPr>
            </w:pPr>
            <w:r>
              <w:rPr>
                <w:rFonts w:ascii="Arial" w:cs="Arial" w:eastAsia="Arial" w:hAnsi="Arial"/>
                <w:sz w:val="16"/>
                <w:szCs w:val="16"/>
                <w:b w:val="1"/>
                <w:bCs w:val="1"/>
                <w:color w:val="auto"/>
              </w:rPr>
              <w:t>($) (2)</w:t>
            </w:r>
          </w:p>
        </w:tc>
        <w:tc>
          <w:tcPr>
            <w:tcW w:w="0" w:type="dxa"/>
            <w:vAlign w:val="bottom"/>
          </w:tcPr>
          <w:p>
            <w:pPr>
              <w:spacing w:after="0"/>
              <w:rPr>
                <w:sz w:val="1"/>
                <w:szCs w:val="1"/>
                <w:color w:val="auto"/>
              </w:rPr>
            </w:pPr>
          </w:p>
        </w:tc>
      </w:tr>
      <w:tr>
        <w:trPr>
          <w:trHeight w:val="208"/>
        </w:trPr>
        <w:tc>
          <w:tcPr>
            <w:tcW w:w="2440" w:type="dxa"/>
            <w:vAlign w:val="bottom"/>
            <w:tcBorders>
              <w:top w:val="single" w:sz="8" w:color="auto"/>
            </w:tcBorders>
          </w:tcPr>
          <w:p>
            <w:pPr>
              <w:spacing w:after="0"/>
              <w:rPr>
                <w:sz w:val="20"/>
                <w:szCs w:val="20"/>
                <w:color w:val="auto"/>
              </w:rPr>
            </w:pPr>
            <w:r>
              <w:rPr>
                <w:rFonts w:ascii="Arial" w:cs="Arial" w:eastAsia="Arial" w:hAnsi="Arial"/>
                <w:sz w:val="16"/>
                <w:szCs w:val="16"/>
                <w:color w:val="auto"/>
              </w:rPr>
              <w:t>David B. Foss</w:t>
            </w:r>
          </w:p>
        </w:tc>
        <w:tc>
          <w:tcPr>
            <w:tcW w:w="172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rPr>
              <w:t>-</w:t>
            </w:r>
          </w:p>
        </w:tc>
        <w:tc>
          <w:tcPr>
            <w:tcW w:w="146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w w:val="74"/>
              </w:rPr>
              <w:t>-</w:t>
            </w:r>
          </w:p>
        </w:tc>
        <w:tc>
          <w:tcPr>
            <w:tcW w:w="1840" w:type="dxa"/>
            <w:vAlign w:val="bottom"/>
            <w:tcBorders>
              <w:top w:val="single" w:sz="8" w:color="auto"/>
            </w:tcBorders>
          </w:tcPr>
          <w:p>
            <w:pPr>
              <w:jc w:val="center"/>
              <w:ind w:right="19"/>
              <w:spacing w:after="0"/>
              <w:rPr>
                <w:sz w:val="20"/>
                <w:szCs w:val="20"/>
                <w:color w:val="auto"/>
              </w:rPr>
            </w:pPr>
            <w:r>
              <w:rPr>
                <w:rFonts w:ascii="Arial" w:cs="Arial" w:eastAsia="Arial" w:hAnsi="Arial"/>
                <w:sz w:val="16"/>
                <w:szCs w:val="16"/>
                <w:color w:val="auto"/>
              </w:rPr>
              <w:t>-</w:t>
            </w:r>
          </w:p>
        </w:tc>
        <w:tc>
          <w:tcPr>
            <w:tcW w:w="142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rPr>
              <w:t>-</w:t>
            </w:r>
          </w:p>
        </w:tc>
        <w:tc>
          <w:tcPr>
            <w:tcW w:w="1960" w:type="dxa"/>
            <w:vAlign w:val="bottom"/>
            <w:tcBorders>
              <w:top w:val="single" w:sz="8" w:color="auto"/>
            </w:tcBorders>
          </w:tcPr>
          <w:p>
            <w:pPr>
              <w:jc w:val="center"/>
              <w:ind w:lef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8"/>
        </w:trPr>
        <w:tc>
          <w:tcPr>
            <w:tcW w:w="2440" w:type="dxa"/>
            <w:vAlign w:val="bottom"/>
            <w:tcBorders>
              <w:bottom w:val="single" w:sz="8" w:color="DBDBDB"/>
            </w:tcBorders>
          </w:tcPr>
          <w:p>
            <w:pPr>
              <w:spacing w:after="0"/>
              <w:rPr>
                <w:sz w:val="2"/>
                <w:szCs w:val="2"/>
                <w:color w:val="auto"/>
              </w:rPr>
            </w:pPr>
          </w:p>
        </w:tc>
        <w:tc>
          <w:tcPr>
            <w:tcW w:w="1720" w:type="dxa"/>
            <w:vAlign w:val="bottom"/>
            <w:tcBorders>
              <w:bottom w:val="single" w:sz="8" w:color="DBDBDB"/>
            </w:tcBorders>
          </w:tcPr>
          <w:p>
            <w:pPr>
              <w:spacing w:after="0"/>
              <w:rPr>
                <w:sz w:val="2"/>
                <w:szCs w:val="2"/>
                <w:color w:val="auto"/>
              </w:rPr>
            </w:pPr>
          </w:p>
        </w:tc>
        <w:tc>
          <w:tcPr>
            <w:tcW w:w="1460" w:type="dxa"/>
            <w:vAlign w:val="bottom"/>
            <w:tcBorders>
              <w:bottom w:val="single" w:sz="8" w:color="DBDBDB"/>
            </w:tcBorders>
          </w:tcPr>
          <w:p>
            <w:pPr>
              <w:spacing w:after="0"/>
              <w:rPr>
                <w:sz w:val="2"/>
                <w:szCs w:val="2"/>
                <w:color w:val="auto"/>
              </w:rPr>
            </w:pPr>
          </w:p>
        </w:tc>
        <w:tc>
          <w:tcPr>
            <w:tcW w:w="1840" w:type="dxa"/>
            <w:vAlign w:val="bottom"/>
            <w:tcBorders>
              <w:bottom w:val="single" w:sz="8" w:color="DBDBDB"/>
            </w:tcBorders>
          </w:tcPr>
          <w:p>
            <w:pPr>
              <w:spacing w:after="0"/>
              <w:rPr>
                <w:sz w:val="2"/>
                <w:szCs w:val="2"/>
                <w:color w:val="auto"/>
              </w:rPr>
            </w:pPr>
          </w:p>
        </w:tc>
        <w:tc>
          <w:tcPr>
            <w:tcW w:w="1420" w:type="dxa"/>
            <w:vAlign w:val="bottom"/>
            <w:tcBorders>
              <w:bottom w:val="single" w:sz="8" w:color="DBDBDB"/>
            </w:tcBorders>
          </w:tcPr>
          <w:p>
            <w:pPr>
              <w:spacing w:after="0"/>
              <w:rPr>
                <w:sz w:val="2"/>
                <w:szCs w:val="2"/>
                <w:color w:val="auto"/>
              </w:rPr>
            </w:pPr>
          </w:p>
        </w:tc>
        <w:tc>
          <w:tcPr>
            <w:tcW w:w="1960" w:type="dxa"/>
            <w:vAlign w:val="bottom"/>
            <w:tcBorders>
              <w:bottom w:val="single" w:sz="8" w:color="DBDBDB"/>
            </w:tcBorders>
          </w:tcPr>
          <w:p>
            <w:pPr>
              <w:spacing w:after="0"/>
              <w:rPr>
                <w:sz w:val="2"/>
                <w:szCs w:val="2"/>
                <w:color w:val="auto"/>
              </w:rPr>
            </w:pPr>
          </w:p>
        </w:tc>
        <w:tc>
          <w:tcPr>
            <w:tcW w:w="0" w:type="dxa"/>
            <w:vAlign w:val="bottom"/>
          </w:tcPr>
          <w:p>
            <w:pPr>
              <w:spacing w:after="0"/>
              <w:rPr>
                <w:sz w:val="1"/>
                <w:szCs w:val="1"/>
                <w:color w:val="auto"/>
              </w:rPr>
            </w:pPr>
          </w:p>
        </w:tc>
      </w:tr>
      <w:tr>
        <w:trPr>
          <w:trHeight w:val="242"/>
        </w:trPr>
        <w:tc>
          <w:tcPr>
            <w:tcW w:w="2440" w:type="dxa"/>
            <w:vAlign w:val="bottom"/>
            <w:tcBorders>
              <w:bottom w:val="single" w:sz="8" w:color="E7ECF0"/>
            </w:tcBorders>
            <w:shd w:val="clear" w:color="auto" w:fill="E7ECF0"/>
          </w:tcPr>
          <w:p>
            <w:pPr>
              <w:spacing w:after="0"/>
              <w:rPr>
                <w:sz w:val="20"/>
                <w:szCs w:val="20"/>
                <w:color w:val="auto"/>
              </w:rPr>
            </w:pPr>
            <w:r>
              <w:rPr>
                <w:rFonts w:ascii="Arial" w:cs="Arial" w:eastAsia="Arial" w:hAnsi="Arial"/>
                <w:sz w:val="16"/>
                <w:szCs w:val="16"/>
                <w:color w:val="auto"/>
              </w:rPr>
              <w:t>Gregory R. Adelson</w:t>
            </w:r>
          </w:p>
        </w:tc>
        <w:tc>
          <w:tcPr>
            <w:tcW w:w="1720" w:type="dxa"/>
            <w:vAlign w:val="bottom"/>
            <w:tcBorders>
              <w:bottom w:val="single" w:sz="8" w:color="E7ECF0"/>
            </w:tcBorders>
            <w:shd w:val="clear" w:color="auto" w:fill="E7ECF0"/>
          </w:tcPr>
          <w:p>
            <w:pPr>
              <w:jc w:val="center"/>
              <w:spacing w:after="0"/>
              <w:rPr>
                <w:sz w:val="20"/>
                <w:szCs w:val="20"/>
                <w:color w:val="auto"/>
              </w:rPr>
            </w:pPr>
            <w:r>
              <w:rPr>
                <w:rFonts w:ascii="Arial" w:cs="Arial" w:eastAsia="Arial" w:hAnsi="Arial"/>
                <w:sz w:val="16"/>
                <w:szCs w:val="16"/>
                <w:color w:val="auto"/>
              </w:rPr>
              <w:t>-</w:t>
            </w:r>
          </w:p>
        </w:tc>
        <w:tc>
          <w:tcPr>
            <w:tcW w:w="1460" w:type="dxa"/>
            <w:vAlign w:val="bottom"/>
            <w:tcBorders>
              <w:bottom w:val="single" w:sz="8" w:color="E7ECF0"/>
            </w:tcBorders>
            <w:shd w:val="clear" w:color="auto" w:fill="E7ECF0"/>
          </w:tcPr>
          <w:p>
            <w:pPr>
              <w:jc w:val="center"/>
              <w:spacing w:after="0"/>
              <w:rPr>
                <w:sz w:val="20"/>
                <w:szCs w:val="20"/>
                <w:color w:val="auto"/>
              </w:rPr>
            </w:pPr>
            <w:r>
              <w:rPr>
                <w:rFonts w:ascii="Arial" w:cs="Arial" w:eastAsia="Arial" w:hAnsi="Arial"/>
                <w:sz w:val="16"/>
                <w:szCs w:val="16"/>
                <w:color w:val="auto"/>
                <w:w w:val="74"/>
              </w:rPr>
              <w:t>-</w:t>
            </w:r>
          </w:p>
        </w:tc>
        <w:tc>
          <w:tcPr>
            <w:tcW w:w="1840" w:type="dxa"/>
            <w:vAlign w:val="bottom"/>
            <w:tcBorders>
              <w:bottom w:val="single" w:sz="8" w:color="E7ECF0"/>
            </w:tcBorders>
            <w:shd w:val="clear" w:color="auto" w:fill="E7ECF0"/>
          </w:tcPr>
          <w:p>
            <w:pPr>
              <w:jc w:val="center"/>
              <w:ind w:right="19"/>
              <w:spacing w:after="0"/>
              <w:rPr>
                <w:sz w:val="20"/>
                <w:szCs w:val="20"/>
                <w:color w:val="auto"/>
              </w:rPr>
            </w:pPr>
            <w:r>
              <w:rPr>
                <w:rFonts w:ascii="Arial" w:cs="Arial" w:eastAsia="Arial" w:hAnsi="Arial"/>
                <w:sz w:val="16"/>
                <w:szCs w:val="16"/>
                <w:color w:val="auto"/>
              </w:rPr>
              <w:t>4,200</w:t>
            </w:r>
          </w:p>
        </w:tc>
        <w:tc>
          <w:tcPr>
            <w:tcW w:w="1420" w:type="dxa"/>
            <w:vAlign w:val="bottom"/>
            <w:tcBorders>
              <w:bottom w:val="single" w:sz="8" w:color="E7ECF0"/>
            </w:tcBorders>
            <w:shd w:val="clear" w:color="auto" w:fill="E7ECF0"/>
          </w:tcPr>
          <w:p>
            <w:pPr>
              <w:jc w:val="center"/>
              <w:spacing w:after="0"/>
              <w:rPr>
                <w:sz w:val="20"/>
                <w:szCs w:val="20"/>
                <w:color w:val="auto"/>
              </w:rPr>
            </w:pPr>
            <w:r>
              <w:rPr>
                <w:rFonts w:ascii="Arial" w:cs="Arial" w:eastAsia="Arial" w:hAnsi="Arial"/>
                <w:sz w:val="16"/>
                <w:szCs w:val="16"/>
                <w:color w:val="auto"/>
              </w:rPr>
              <w:t>-</w:t>
            </w:r>
          </w:p>
        </w:tc>
        <w:tc>
          <w:tcPr>
            <w:tcW w:w="1960" w:type="dxa"/>
            <w:vAlign w:val="bottom"/>
            <w:tcBorders>
              <w:bottom w:val="single" w:sz="8" w:color="E7ECF0"/>
            </w:tcBorders>
            <w:shd w:val="clear" w:color="auto" w:fill="E7ECF0"/>
          </w:tcPr>
          <w:p>
            <w:pPr>
              <w:jc w:val="center"/>
              <w:ind w:left="19"/>
              <w:spacing w:after="0"/>
              <w:rPr>
                <w:sz w:val="20"/>
                <w:szCs w:val="20"/>
                <w:color w:val="auto"/>
              </w:rPr>
            </w:pPr>
            <w:r>
              <w:rPr>
                <w:rFonts w:ascii="Arial" w:cs="Arial" w:eastAsia="Arial" w:hAnsi="Arial"/>
                <w:sz w:val="16"/>
                <w:szCs w:val="16"/>
                <w:color w:val="auto"/>
              </w:rPr>
              <w:t>621,832</w:t>
            </w:r>
          </w:p>
        </w:tc>
        <w:tc>
          <w:tcPr>
            <w:tcW w:w="0" w:type="dxa"/>
            <w:vAlign w:val="bottom"/>
          </w:tcPr>
          <w:p>
            <w:pPr>
              <w:spacing w:after="0"/>
              <w:rPr>
                <w:sz w:val="1"/>
                <w:szCs w:val="1"/>
                <w:color w:val="auto"/>
              </w:rPr>
            </w:pPr>
          </w:p>
        </w:tc>
      </w:tr>
      <w:tr>
        <w:trPr>
          <w:trHeight w:val="208"/>
        </w:trPr>
        <w:tc>
          <w:tcPr>
            <w:tcW w:w="2440" w:type="dxa"/>
            <w:vAlign w:val="bottom"/>
            <w:tcBorders>
              <w:top w:val="single" w:sz="8" w:color="DBDBDB"/>
            </w:tcBorders>
          </w:tcPr>
          <w:p>
            <w:pPr>
              <w:spacing w:after="0"/>
              <w:rPr>
                <w:sz w:val="20"/>
                <w:szCs w:val="20"/>
                <w:color w:val="auto"/>
              </w:rPr>
            </w:pPr>
            <w:r>
              <w:rPr>
                <w:rFonts w:ascii="Arial" w:cs="Arial" w:eastAsia="Arial" w:hAnsi="Arial"/>
                <w:sz w:val="16"/>
                <w:szCs w:val="16"/>
                <w:color w:val="auto"/>
              </w:rPr>
              <w:t>Mimi L. Carsley</w:t>
            </w:r>
          </w:p>
        </w:tc>
        <w:tc>
          <w:tcPr>
            <w:tcW w:w="1720" w:type="dxa"/>
            <w:vAlign w:val="bottom"/>
            <w:tcBorders>
              <w:top w:val="single" w:sz="8" w:color="DBDBDB"/>
            </w:tcBorders>
          </w:tcPr>
          <w:p>
            <w:pPr>
              <w:jc w:val="center"/>
              <w:spacing w:after="0"/>
              <w:rPr>
                <w:sz w:val="20"/>
                <w:szCs w:val="20"/>
                <w:color w:val="auto"/>
              </w:rPr>
            </w:pPr>
            <w:r>
              <w:rPr>
                <w:rFonts w:ascii="Arial" w:cs="Arial" w:eastAsia="Arial" w:hAnsi="Arial"/>
                <w:sz w:val="16"/>
                <w:szCs w:val="16"/>
                <w:color w:val="auto"/>
              </w:rPr>
              <w:t>-</w:t>
            </w:r>
          </w:p>
        </w:tc>
        <w:tc>
          <w:tcPr>
            <w:tcW w:w="1460" w:type="dxa"/>
            <w:vAlign w:val="bottom"/>
            <w:tcBorders>
              <w:top w:val="single" w:sz="8" w:color="DBDBDB"/>
            </w:tcBorders>
          </w:tcPr>
          <w:p>
            <w:pPr>
              <w:jc w:val="center"/>
              <w:spacing w:after="0"/>
              <w:rPr>
                <w:sz w:val="20"/>
                <w:szCs w:val="20"/>
                <w:color w:val="auto"/>
              </w:rPr>
            </w:pPr>
            <w:r>
              <w:rPr>
                <w:rFonts w:ascii="Arial" w:cs="Arial" w:eastAsia="Arial" w:hAnsi="Arial"/>
                <w:sz w:val="16"/>
                <w:szCs w:val="16"/>
                <w:color w:val="auto"/>
                <w:w w:val="74"/>
              </w:rPr>
              <w:t>-</w:t>
            </w:r>
          </w:p>
        </w:tc>
        <w:tc>
          <w:tcPr>
            <w:tcW w:w="1840" w:type="dxa"/>
            <w:vAlign w:val="bottom"/>
            <w:tcBorders>
              <w:top w:val="single" w:sz="8" w:color="DBDBDB"/>
            </w:tcBorders>
          </w:tcPr>
          <w:p>
            <w:pPr>
              <w:jc w:val="center"/>
              <w:ind w:right="19"/>
              <w:spacing w:after="0"/>
              <w:rPr>
                <w:sz w:val="20"/>
                <w:szCs w:val="20"/>
                <w:color w:val="auto"/>
              </w:rPr>
            </w:pPr>
            <w:r>
              <w:rPr>
                <w:rFonts w:ascii="Arial" w:cs="Arial" w:eastAsia="Arial" w:hAnsi="Arial"/>
                <w:sz w:val="16"/>
                <w:szCs w:val="16"/>
                <w:color w:val="auto"/>
              </w:rPr>
              <w:t>-</w:t>
            </w:r>
          </w:p>
        </w:tc>
        <w:tc>
          <w:tcPr>
            <w:tcW w:w="1420" w:type="dxa"/>
            <w:vAlign w:val="bottom"/>
            <w:tcBorders>
              <w:top w:val="single" w:sz="8" w:color="DBDBDB"/>
            </w:tcBorders>
          </w:tcPr>
          <w:p>
            <w:pPr>
              <w:jc w:val="center"/>
              <w:spacing w:after="0"/>
              <w:rPr>
                <w:sz w:val="20"/>
                <w:szCs w:val="20"/>
                <w:color w:val="auto"/>
              </w:rPr>
            </w:pPr>
            <w:r>
              <w:rPr>
                <w:rFonts w:ascii="Arial" w:cs="Arial" w:eastAsia="Arial" w:hAnsi="Arial"/>
                <w:sz w:val="16"/>
                <w:szCs w:val="16"/>
                <w:color w:val="auto"/>
              </w:rPr>
              <w:t>-</w:t>
            </w:r>
          </w:p>
        </w:tc>
        <w:tc>
          <w:tcPr>
            <w:tcW w:w="1960" w:type="dxa"/>
            <w:vAlign w:val="bottom"/>
            <w:tcBorders>
              <w:top w:val="single" w:sz="8" w:color="DBDBDB"/>
            </w:tcBorders>
          </w:tcPr>
          <w:p>
            <w:pPr>
              <w:jc w:val="center"/>
              <w:ind w:lef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8"/>
        </w:trPr>
        <w:tc>
          <w:tcPr>
            <w:tcW w:w="2440" w:type="dxa"/>
            <w:vAlign w:val="bottom"/>
            <w:tcBorders>
              <w:bottom w:val="single" w:sz="8" w:color="DBDBDB"/>
            </w:tcBorders>
          </w:tcPr>
          <w:p>
            <w:pPr>
              <w:spacing w:after="0"/>
              <w:rPr>
                <w:sz w:val="2"/>
                <w:szCs w:val="2"/>
                <w:color w:val="auto"/>
              </w:rPr>
            </w:pPr>
          </w:p>
        </w:tc>
        <w:tc>
          <w:tcPr>
            <w:tcW w:w="1720" w:type="dxa"/>
            <w:vAlign w:val="bottom"/>
            <w:tcBorders>
              <w:bottom w:val="single" w:sz="8" w:color="DBDBDB"/>
            </w:tcBorders>
          </w:tcPr>
          <w:p>
            <w:pPr>
              <w:spacing w:after="0"/>
              <w:rPr>
                <w:sz w:val="2"/>
                <w:szCs w:val="2"/>
                <w:color w:val="auto"/>
              </w:rPr>
            </w:pPr>
          </w:p>
        </w:tc>
        <w:tc>
          <w:tcPr>
            <w:tcW w:w="1460" w:type="dxa"/>
            <w:vAlign w:val="bottom"/>
            <w:tcBorders>
              <w:bottom w:val="single" w:sz="8" w:color="DBDBDB"/>
            </w:tcBorders>
          </w:tcPr>
          <w:p>
            <w:pPr>
              <w:spacing w:after="0"/>
              <w:rPr>
                <w:sz w:val="2"/>
                <w:szCs w:val="2"/>
                <w:color w:val="auto"/>
              </w:rPr>
            </w:pPr>
          </w:p>
        </w:tc>
        <w:tc>
          <w:tcPr>
            <w:tcW w:w="1840" w:type="dxa"/>
            <w:vAlign w:val="bottom"/>
            <w:tcBorders>
              <w:bottom w:val="single" w:sz="8" w:color="DBDBDB"/>
            </w:tcBorders>
          </w:tcPr>
          <w:p>
            <w:pPr>
              <w:spacing w:after="0"/>
              <w:rPr>
                <w:sz w:val="2"/>
                <w:szCs w:val="2"/>
                <w:color w:val="auto"/>
              </w:rPr>
            </w:pPr>
          </w:p>
        </w:tc>
        <w:tc>
          <w:tcPr>
            <w:tcW w:w="1420" w:type="dxa"/>
            <w:vAlign w:val="bottom"/>
            <w:tcBorders>
              <w:bottom w:val="single" w:sz="8" w:color="DBDBDB"/>
            </w:tcBorders>
          </w:tcPr>
          <w:p>
            <w:pPr>
              <w:spacing w:after="0"/>
              <w:rPr>
                <w:sz w:val="2"/>
                <w:szCs w:val="2"/>
                <w:color w:val="auto"/>
              </w:rPr>
            </w:pPr>
          </w:p>
        </w:tc>
        <w:tc>
          <w:tcPr>
            <w:tcW w:w="1960" w:type="dxa"/>
            <w:vAlign w:val="bottom"/>
            <w:tcBorders>
              <w:bottom w:val="single" w:sz="8" w:color="DBDBDB"/>
            </w:tcBorders>
          </w:tcPr>
          <w:p>
            <w:pPr>
              <w:spacing w:after="0"/>
              <w:rPr>
                <w:sz w:val="2"/>
                <w:szCs w:val="2"/>
                <w:color w:val="auto"/>
              </w:rPr>
            </w:pPr>
          </w:p>
        </w:tc>
        <w:tc>
          <w:tcPr>
            <w:tcW w:w="0" w:type="dxa"/>
            <w:vAlign w:val="bottom"/>
          </w:tcPr>
          <w:p>
            <w:pPr>
              <w:spacing w:after="0"/>
              <w:rPr>
                <w:sz w:val="1"/>
                <w:szCs w:val="1"/>
                <w:color w:val="auto"/>
              </w:rPr>
            </w:pPr>
          </w:p>
        </w:tc>
      </w:tr>
      <w:tr>
        <w:trPr>
          <w:trHeight w:val="241"/>
        </w:trPr>
        <w:tc>
          <w:tcPr>
            <w:tcW w:w="2440" w:type="dxa"/>
            <w:vAlign w:val="bottom"/>
            <w:tcBorders>
              <w:bottom w:val="single" w:sz="8" w:color="E7ECF0"/>
            </w:tcBorders>
            <w:shd w:val="clear" w:color="auto" w:fill="E7ECF0"/>
          </w:tcPr>
          <w:p>
            <w:pPr>
              <w:spacing w:after="0"/>
              <w:rPr>
                <w:sz w:val="20"/>
                <w:szCs w:val="20"/>
                <w:color w:val="auto"/>
              </w:rPr>
            </w:pPr>
            <w:r>
              <w:rPr>
                <w:rFonts w:ascii="Arial" w:cs="Arial" w:eastAsia="Arial" w:hAnsi="Arial"/>
                <w:sz w:val="16"/>
                <w:szCs w:val="16"/>
                <w:color w:val="auto"/>
              </w:rPr>
              <w:t>Craig K. Morgan</w:t>
            </w:r>
          </w:p>
        </w:tc>
        <w:tc>
          <w:tcPr>
            <w:tcW w:w="1720" w:type="dxa"/>
            <w:vAlign w:val="bottom"/>
            <w:tcBorders>
              <w:bottom w:val="single" w:sz="8" w:color="E7ECF0"/>
            </w:tcBorders>
            <w:shd w:val="clear" w:color="auto" w:fill="E7ECF0"/>
          </w:tcPr>
          <w:p>
            <w:pPr>
              <w:jc w:val="center"/>
              <w:spacing w:after="0"/>
              <w:rPr>
                <w:sz w:val="20"/>
                <w:szCs w:val="20"/>
                <w:color w:val="auto"/>
              </w:rPr>
            </w:pPr>
            <w:r>
              <w:rPr>
                <w:rFonts w:ascii="Arial" w:cs="Arial" w:eastAsia="Arial" w:hAnsi="Arial"/>
                <w:sz w:val="16"/>
                <w:szCs w:val="16"/>
                <w:color w:val="auto"/>
              </w:rPr>
              <w:t>-</w:t>
            </w:r>
          </w:p>
        </w:tc>
        <w:tc>
          <w:tcPr>
            <w:tcW w:w="1460" w:type="dxa"/>
            <w:vAlign w:val="bottom"/>
            <w:tcBorders>
              <w:bottom w:val="single" w:sz="8" w:color="E7ECF0"/>
            </w:tcBorders>
            <w:shd w:val="clear" w:color="auto" w:fill="E7ECF0"/>
          </w:tcPr>
          <w:p>
            <w:pPr>
              <w:jc w:val="center"/>
              <w:spacing w:after="0"/>
              <w:rPr>
                <w:sz w:val="20"/>
                <w:szCs w:val="20"/>
                <w:color w:val="auto"/>
              </w:rPr>
            </w:pPr>
            <w:r>
              <w:rPr>
                <w:rFonts w:ascii="Arial" w:cs="Arial" w:eastAsia="Arial" w:hAnsi="Arial"/>
                <w:sz w:val="16"/>
                <w:szCs w:val="16"/>
                <w:color w:val="auto"/>
                <w:w w:val="74"/>
              </w:rPr>
              <w:t>-</w:t>
            </w:r>
          </w:p>
        </w:tc>
        <w:tc>
          <w:tcPr>
            <w:tcW w:w="1840" w:type="dxa"/>
            <w:vAlign w:val="bottom"/>
            <w:tcBorders>
              <w:bottom w:val="single" w:sz="8" w:color="E7ECF0"/>
            </w:tcBorders>
            <w:shd w:val="clear" w:color="auto" w:fill="E7ECF0"/>
          </w:tcPr>
          <w:p>
            <w:pPr>
              <w:jc w:val="center"/>
              <w:ind w:right="19"/>
              <w:spacing w:after="0"/>
              <w:rPr>
                <w:sz w:val="20"/>
                <w:szCs w:val="20"/>
                <w:color w:val="auto"/>
              </w:rPr>
            </w:pPr>
            <w:r>
              <w:rPr>
                <w:rFonts w:ascii="Arial" w:cs="Arial" w:eastAsia="Arial" w:hAnsi="Arial"/>
                <w:sz w:val="16"/>
                <w:szCs w:val="16"/>
                <w:color w:val="auto"/>
              </w:rPr>
              <w:t>-</w:t>
            </w:r>
          </w:p>
        </w:tc>
        <w:tc>
          <w:tcPr>
            <w:tcW w:w="1420" w:type="dxa"/>
            <w:vAlign w:val="bottom"/>
            <w:tcBorders>
              <w:bottom w:val="single" w:sz="8" w:color="E7ECF0"/>
            </w:tcBorders>
            <w:shd w:val="clear" w:color="auto" w:fill="E7ECF0"/>
          </w:tcPr>
          <w:p>
            <w:pPr>
              <w:jc w:val="center"/>
              <w:spacing w:after="0"/>
              <w:rPr>
                <w:sz w:val="20"/>
                <w:szCs w:val="20"/>
                <w:color w:val="auto"/>
              </w:rPr>
            </w:pPr>
            <w:r>
              <w:rPr>
                <w:rFonts w:ascii="Arial" w:cs="Arial" w:eastAsia="Arial" w:hAnsi="Arial"/>
                <w:sz w:val="16"/>
                <w:szCs w:val="16"/>
                <w:color w:val="auto"/>
              </w:rPr>
              <w:t>-</w:t>
            </w:r>
          </w:p>
        </w:tc>
        <w:tc>
          <w:tcPr>
            <w:tcW w:w="1960" w:type="dxa"/>
            <w:vAlign w:val="bottom"/>
            <w:tcBorders>
              <w:bottom w:val="single" w:sz="8" w:color="E7ECF0"/>
            </w:tcBorders>
            <w:shd w:val="clear" w:color="auto" w:fill="E7ECF0"/>
          </w:tcPr>
          <w:p>
            <w:pPr>
              <w:jc w:val="center"/>
              <w:ind w:lef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8"/>
        </w:trPr>
        <w:tc>
          <w:tcPr>
            <w:tcW w:w="2440" w:type="dxa"/>
            <w:vAlign w:val="bottom"/>
            <w:tcBorders>
              <w:top w:val="single" w:sz="8" w:color="DBDBDB"/>
            </w:tcBorders>
          </w:tcPr>
          <w:p>
            <w:pPr>
              <w:spacing w:after="0"/>
              <w:rPr>
                <w:sz w:val="20"/>
                <w:szCs w:val="20"/>
                <w:color w:val="auto"/>
              </w:rPr>
            </w:pPr>
            <w:r>
              <w:rPr>
                <w:rFonts w:ascii="Arial" w:cs="Arial" w:eastAsia="Arial" w:hAnsi="Arial"/>
                <w:sz w:val="16"/>
                <w:szCs w:val="16"/>
                <w:color w:val="auto"/>
              </w:rPr>
              <w:t>Stacey E. Zengel</w:t>
            </w:r>
          </w:p>
        </w:tc>
        <w:tc>
          <w:tcPr>
            <w:tcW w:w="1720" w:type="dxa"/>
            <w:vAlign w:val="bottom"/>
            <w:tcBorders>
              <w:top w:val="single" w:sz="8" w:color="DBDBDB"/>
            </w:tcBorders>
          </w:tcPr>
          <w:p>
            <w:pPr>
              <w:jc w:val="center"/>
              <w:spacing w:after="0"/>
              <w:rPr>
                <w:sz w:val="20"/>
                <w:szCs w:val="20"/>
                <w:color w:val="auto"/>
              </w:rPr>
            </w:pPr>
            <w:r>
              <w:rPr>
                <w:rFonts w:ascii="Arial" w:cs="Arial" w:eastAsia="Arial" w:hAnsi="Arial"/>
                <w:sz w:val="16"/>
                <w:szCs w:val="16"/>
                <w:color w:val="auto"/>
              </w:rPr>
              <w:t>-</w:t>
            </w:r>
          </w:p>
        </w:tc>
        <w:tc>
          <w:tcPr>
            <w:tcW w:w="1460" w:type="dxa"/>
            <w:vAlign w:val="bottom"/>
            <w:tcBorders>
              <w:top w:val="single" w:sz="8" w:color="DBDBDB"/>
            </w:tcBorders>
          </w:tcPr>
          <w:p>
            <w:pPr>
              <w:jc w:val="center"/>
              <w:spacing w:after="0"/>
              <w:rPr>
                <w:sz w:val="20"/>
                <w:szCs w:val="20"/>
                <w:color w:val="auto"/>
              </w:rPr>
            </w:pPr>
            <w:r>
              <w:rPr>
                <w:rFonts w:ascii="Arial" w:cs="Arial" w:eastAsia="Arial" w:hAnsi="Arial"/>
                <w:sz w:val="16"/>
                <w:szCs w:val="16"/>
                <w:color w:val="auto"/>
                <w:w w:val="74"/>
              </w:rPr>
              <w:t>-</w:t>
            </w:r>
          </w:p>
        </w:tc>
        <w:tc>
          <w:tcPr>
            <w:tcW w:w="1840" w:type="dxa"/>
            <w:vAlign w:val="bottom"/>
            <w:tcBorders>
              <w:top w:val="single" w:sz="8" w:color="DBDBDB"/>
            </w:tcBorders>
          </w:tcPr>
          <w:p>
            <w:pPr>
              <w:jc w:val="center"/>
              <w:spacing w:after="0"/>
              <w:rPr>
                <w:sz w:val="20"/>
                <w:szCs w:val="20"/>
                <w:color w:val="auto"/>
              </w:rPr>
            </w:pPr>
            <w:r>
              <w:rPr>
                <w:rFonts w:ascii="Arial" w:cs="Arial" w:eastAsia="Arial" w:hAnsi="Arial"/>
                <w:sz w:val="16"/>
                <w:szCs w:val="16"/>
                <w:color w:val="auto"/>
                <w:w w:val="74"/>
              </w:rPr>
              <w:t>-</w:t>
            </w:r>
          </w:p>
        </w:tc>
        <w:tc>
          <w:tcPr>
            <w:tcW w:w="1420" w:type="dxa"/>
            <w:vAlign w:val="bottom"/>
            <w:tcBorders>
              <w:top w:val="single" w:sz="8" w:color="DBDBDB"/>
            </w:tcBorders>
          </w:tcPr>
          <w:p>
            <w:pPr>
              <w:jc w:val="center"/>
              <w:spacing w:after="0"/>
              <w:rPr>
                <w:sz w:val="20"/>
                <w:szCs w:val="20"/>
                <w:color w:val="auto"/>
              </w:rPr>
            </w:pPr>
            <w:r>
              <w:rPr>
                <w:rFonts w:ascii="Arial" w:cs="Arial" w:eastAsia="Arial" w:hAnsi="Arial"/>
                <w:sz w:val="16"/>
                <w:szCs w:val="16"/>
                <w:color w:val="auto"/>
              </w:rPr>
              <w:t>-</w:t>
            </w:r>
          </w:p>
        </w:tc>
        <w:tc>
          <w:tcPr>
            <w:tcW w:w="1960" w:type="dxa"/>
            <w:vAlign w:val="bottom"/>
            <w:tcBorders>
              <w:top w:val="single" w:sz="8" w:color="DBDBDB"/>
            </w:tcBorders>
          </w:tcPr>
          <w:p>
            <w:pPr>
              <w:jc w:val="center"/>
              <w:ind w:left="39"/>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8"/>
        </w:trPr>
        <w:tc>
          <w:tcPr>
            <w:tcW w:w="2440" w:type="dxa"/>
            <w:vAlign w:val="bottom"/>
            <w:tcBorders>
              <w:bottom w:val="single" w:sz="8" w:color="DBDBDB"/>
            </w:tcBorders>
          </w:tcPr>
          <w:p>
            <w:pPr>
              <w:spacing w:after="0"/>
              <w:rPr>
                <w:sz w:val="2"/>
                <w:szCs w:val="2"/>
                <w:color w:val="auto"/>
              </w:rPr>
            </w:pPr>
          </w:p>
        </w:tc>
        <w:tc>
          <w:tcPr>
            <w:tcW w:w="1720" w:type="dxa"/>
            <w:vAlign w:val="bottom"/>
            <w:tcBorders>
              <w:bottom w:val="single" w:sz="8" w:color="DBDBDB"/>
            </w:tcBorders>
          </w:tcPr>
          <w:p>
            <w:pPr>
              <w:spacing w:after="0"/>
              <w:rPr>
                <w:sz w:val="2"/>
                <w:szCs w:val="2"/>
                <w:color w:val="auto"/>
              </w:rPr>
            </w:pPr>
          </w:p>
        </w:tc>
        <w:tc>
          <w:tcPr>
            <w:tcW w:w="1460" w:type="dxa"/>
            <w:vAlign w:val="bottom"/>
            <w:tcBorders>
              <w:bottom w:val="single" w:sz="8" w:color="DBDBDB"/>
            </w:tcBorders>
          </w:tcPr>
          <w:p>
            <w:pPr>
              <w:spacing w:after="0"/>
              <w:rPr>
                <w:sz w:val="2"/>
                <w:szCs w:val="2"/>
                <w:color w:val="auto"/>
              </w:rPr>
            </w:pPr>
          </w:p>
        </w:tc>
        <w:tc>
          <w:tcPr>
            <w:tcW w:w="1840" w:type="dxa"/>
            <w:vAlign w:val="bottom"/>
            <w:tcBorders>
              <w:bottom w:val="single" w:sz="8" w:color="DBDBDB"/>
            </w:tcBorders>
          </w:tcPr>
          <w:p>
            <w:pPr>
              <w:spacing w:after="0"/>
              <w:rPr>
                <w:sz w:val="2"/>
                <w:szCs w:val="2"/>
                <w:color w:val="auto"/>
              </w:rPr>
            </w:pPr>
          </w:p>
        </w:tc>
        <w:tc>
          <w:tcPr>
            <w:tcW w:w="1420" w:type="dxa"/>
            <w:vAlign w:val="bottom"/>
            <w:tcBorders>
              <w:bottom w:val="single" w:sz="8" w:color="DBDBDB"/>
            </w:tcBorders>
          </w:tcPr>
          <w:p>
            <w:pPr>
              <w:spacing w:after="0"/>
              <w:rPr>
                <w:sz w:val="2"/>
                <w:szCs w:val="2"/>
                <w:color w:val="auto"/>
              </w:rPr>
            </w:pPr>
          </w:p>
        </w:tc>
        <w:tc>
          <w:tcPr>
            <w:tcW w:w="1960" w:type="dxa"/>
            <w:vAlign w:val="bottom"/>
            <w:tcBorders>
              <w:bottom w:val="single" w:sz="8" w:color="DBDBDB"/>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84" w:lineRule="exact"/>
        <w:rPr>
          <w:sz w:val="20"/>
          <w:szCs w:val="20"/>
          <w:color w:val="auto"/>
        </w:rPr>
      </w:pPr>
    </w:p>
    <w:p>
      <w:pPr>
        <w:ind w:left="980" w:right="20" w:hanging="324"/>
        <w:spacing w:after="0" w:line="287" w:lineRule="auto"/>
        <w:tabs>
          <w:tab w:leader="none" w:pos="997"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These amounts were not included in the Summary Compensation Table because plan earnings were not preferential or above market.</w:t>
      </w:r>
    </w:p>
    <w:p>
      <w:pPr>
        <w:spacing w:after="0" w:line="58" w:lineRule="exact"/>
        <w:rPr>
          <w:rFonts w:ascii="Arial" w:cs="Arial" w:eastAsia="Arial" w:hAnsi="Arial"/>
          <w:sz w:val="18"/>
          <w:szCs w:val="18"/>
          <w:color w:val="auto"/>
        </w:rPr>
      </w:pPr>
    </w:p>
    <w:p>
      <w:pPr>
        <w:jc w:val="both"/>
        <w:ind w:left="980" w:hanging="324"/>
        <w:spacing w:after="0" w:line="335" w:lineRule="auto"/>
        <w:tabs>
          <w:tab w:leader="none" w:pos="957" w:val="left"/>
        </w:tabs>
        <w:numPr>
          <w:ilvl w:val="0"/>
          <w:numId w:val="21"/>
        </w:numPr>
        <w:rPr>
          <w:rFonts w:ascii="Arial" w:cs="Arial" w:eastAsia="Arial" w:hAnsi="Arial"/>
          <w:sz w:val="17"/>
          <w:szCs w:val="17"/>
          <w:color w:val="auto"/>
        </w:rPr>
      </w:pPr>
      <w:r>
        <w:rPr>
          <w:rFonts w:ascii="Arial" w:cs="Arial" w:eastAsia="Arial" w:hAnsi="Arial"/>
          <w:sz w:val="17"/>
          <w:szCs w:val="17"/>
          <w:color w:val="auto"/>
        </w:rPr>
        <w:t>The executive contributions included in this column for Mr. Adelson relate to an award of performance shares that was granted to Mr. Adelson before he was a Named Executive and therefore were not previously reported in the Summary Compensation Table.</w:t>
      </w:r>
    </w:p>
    <w:p>
      <w:pPr>
        <w:spacing w:after="0" w:line="19" w:lineRule="exact"/>
        <w:rPr>
          <w:sz w:val="20"/>
          <w:szCs w:val="20"/>
          <w:color w:val="auto"/>
        </w:rPr>
      </w:pPr>
    </w:p>
    <w:p>
      <w:pPr>
        <w:jc w:val="both"/>
        <w:spacing w:after="0" w:line="264" w:lineRule="auto"/>
        <w:rPr>
          <w:sz w:val="20"/>
          <w:szCs w:val="20"/>
          <w:color w:val="auto"/>
        </w:rPr>
      </w:pPr>
      <w:r>
        <w:rPr>
          <w:rFonts w:ascii="Arial" w:cs="Arial" w:eastAsia="Arial" w:hAnsi="Arial"/>
          <w:sz w:val="20"/>
          <w:szCs w:val="20"/>
          <w:color w:val="auto"/>
        </w:rPr>
        <w:t>Under the Company’s non-qualified Deferred Compensation Plan adopted in 2014, our Named Executives may voluntarily defer a portion of their compensation to one or more future years. While the plan allows the Company to offer deferral of all types of compensation, including salary, bonus and equity grants, to date the Company has only offered a program to defer receipt of equity compensation upon vesting of performance shares and restricted stock units. Dividends payable on the deferred shares are invested in the Jack Henry federal rate fund. Aggregate earnings (losses) represents stock price appreciation (or depreciation) on deferred shares, dividends, and interest paid on prior dividends. Performance shares and restricted stock units that are deferred under the Company’s Deferred Compensation Plan may be settled in stock or, at the option of the HC&amp;C Committee, in cash.</w:t>
      </w: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Agreements with Executive Officers and Potential Payments upon Termination or Change in Control</w:t>
      </w:r>
    </w:p>
    <w:p>
      <w:pPr>
        <w:spacing w:after="0" w:line="258" w:lineRule="exact"/>
        <w:rPr>
          <w:sz w:val="20"/>
          <w:szCs w:val="20"/>
          <w:color w:val="auto"/>
        </w:rPr>
      </w:pPr>
    </w:p>
    <w:p>
      <w:pPr>
        <w:jc w:val="both"/>
        <w:spacing w:after="0" w:line="265" w:lineRule="auto"/>
        <w:rPr>
          <w:sz w:val="20"/>
          <w:szCs w:val="20"/>
          <w:color w:val="auto"/>
        </w:rPr>
      </w:pPr>
      <w:r>
        <w:rPr>
          <w:rFonts w:ascii="Arial" w:cs="Arial" w:eastAsia="Arial" w:hAnsi="Arial"/>
          <w:sz w:val="20"/>
          <w:szCs w:val="20"/>
          <w:color w:val="auto"/>
        </w:rPr>
        <w:t>The Named Executives would each receive certain payments and benefits in the event of certain types of termination of employment. In addition to the items discussed below, the Named Executives may be entitled to benefits that are generally available to all salaried Company employees, including distributions under the 401(k) plan, certain disability benefits, and accrued vacation. Because these payments or benefits do not discriminate in scope, terms, or operation in favor of the Named Executive, such payments and benefits are not included below. The following descriptions are qualified in their entirety by reference to the relevant agreements.</w:t>
      </w:r>
    </w:p>
    <w:p>
      <w:pPr>
        <w:spacing w:after="0" w:line="204" w:lineRule="exact"/>
        <w:rPr>
          <w:sz w:val="20"/>
          <w:szCs w:val="20"/>
          <w:color w:val="auto"/>
        </w:rPr>
      </w:pPr>
    </w:p>
    <w:p>
      <w:pPr>
        <w:spacing w:after="0"/>
        <w:rPr>
          <w:sz w:val="20"/>
          <w:szCs w:val="20"/>
          <w:color w:val="auto"/>
        </w:rPr>
      </w:pPr>
      <w:r>
        <w:rPr>
          <w:rFonts w:ascii="Arial" w:cs="Arial" w:eastAsia="Arial" w:hAnsi="Arial"/>
          <w:sz w:val="20"/>
          <w:szCs w:val="20"/>
          <w:color w:val="auto"/>
        </w:rPr>
        <w:t>The Company has no employment contracts with any of its executive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219075</wp:posOffset>
            </wp:positionV>
            <wp:extent cx="7132320" cy="3511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32320" cy="351155"/>
                    </a:xfrm>
                    <a:prstGeom prst="rect">
                      <a:avLst/>
                    </a:prstGeom>
                    <a:noFill/>
                  </pic:spPr>
                </pic:pic>
              </a:graphicData>
            </a:graphic>
          </wp:anchor>
        </w:drawing>
      </w:r>
    </w:p>
    <w:p>
      <w:pPr>
        <w:spacing w:after="0" w:line="200" w:lineRule="exact"/>
        <w:rPr>
          <w:sz w:val="20"/>
          <w:szCs w:val="20"/>
          <w:color w:val="auto"/>
        </w:rPr>
      </w:pPr>
    </w:p>
    <w:p>
      <w:pPr>
        <w:spacing w:after="0" w:line="336" w:lineRule="exact"/>
        <w:rPr>
          <w:sz w:val="20"/>
          <w:szCs w:val="20"/>
          <w:color w:val="auto"/>
        </w:rPr>
      </w:pPr>
    </w:p>
    <w:p>
      <w:pPr>
        <w:ind w:left="9000"/>
        <w:spacing w:after="0"/>
        <w:tabs>
          <w:tab w:leader="none" w:pos="11000" w:val="left"/>
        </w:tabs>
        <w:rPr>
          <w:sz w:val="20"/>
          <w:szCs w:val="20"/>
          <w:color w:val="auto"/>
        </w:rPr>
      </w:pPr>
      <w:r>
        <w:rPr>
          <w:rFonts w:ascii="Arial" w:cs="Arial" w:eastAsia="Arial" w:hAnsi="Arial"/>
          <w:sz w:val="18"/>
          <w:szCs w:val="18"/>
          <w:color w:val="auto"/>
        </w:rPr>
        <w:t>2024 Proxy Statement</w:t>
      </w:r>
      <w:r>
        <w:rPr>
          <w:sz w:val="20"/>
          <w:szCs w:val="20"/>
          <w:color w:val="auto"/>
        </w:rPr>
        <w:tab/>
      </w:r>
      <w:r>
        <w:rPr>
          <w:rFonts w:ascii="Arial" w:cs="Arial" w:eastAsia="Arial" w:hAnsi="Arial"/>
          <w:sz w:val="17"/>
          <w:szCs w:val="17"/>
          <w:color w:val="1E3767"/>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262255</wp:posOffset>
            </wp:positionV>
            <wp:extent cx="7157720" cy="425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8" w:right="339" w:bottom="1440" w:gutter="0" w:footer="0" w:header="0"/>
        </w:sectPr>
      </w:pPr>
    </w:p>
    <w:bookmarkStart w:id="60" w:name="page61"/>
    <w:bookmarkEnd w:id="60"/>
    <w:p>
      <w:pPr>
        <w:spacing w:after="0"/>
        <w:rPr>
          <w:sz w:val="20"/>
          <w:szCs w:val="20"/>
          <w:color w:val="auto"/>
        </w:rPr>
      </w:pPr>
      <w:r>
        <w:rPr>
          <w:rFonts w:ascii="Arial" w:cs="Arial" w:eastAsia="Arial" w:hAnsi="Arial"/>
          <w:sz w:val="20"/>
          <w:szCs w:val="20"/>
          <w:i w:val="1"/>
          <w:iCs w:val="1"/>
          <w:color w:val="auto"/>
        </w:rPr>
        <w:t>Change in Control Termination</w:t>
      </w:r>
    </w:p>
    <w:p>
      <w:pPr>
        <w:spacing w:after="0" w:line="256" w:lineRule="exact"/>
        <w:rPr>
          <w:sz w:val="20"/>
          <w:szCs w:val="20"/>
          <w:color w:val="auto"/>
        </w:rPr>
      </w:pPr>
    </w:p>
    <w:p>
      <w:pPr>
        <w:spacing w:after="0" w:line="284" w:lineRule="auto"/>
        <w:rPr>
          <w:sz w:val="20"/>
          <w:szCs w:val="20"/>
          <w:color w:val="auto"/>
        </w:rPr>
      </w:pPr>
      <w:r>
        <w:rPr>
          <w:rFonts w:ascii="Arial" w:cs="Arial" w:eastAsia="Arial" w:hAnsi="Arial"/>
          <w:sz w:val="19"/>
          <w:szCs w:val="19"/>
          <w:color w:val="auto"/>
        </w:rPr>
        <w:t>As of June 30, 2024, each of the Named Executives, was a participant in the Severance Plan. Under the Severance Plan, change in control has the meaning given it under the Company’s 2015 Equity Incentive Plan, which defines change in control as</w:t>
      </w:r>
    </w:p>
    <w:p>
      <w:pPr>
        <w:jc w:val="both"/>
        <w:ind w:firstLine="8"/>
        <w:spacing w:after="0" w:line="259" w:lineRule="auto"/>
        <w:tabs>
          <w:tab w:leader="none" w:pos="240" w:val="left"/>
        </w:tabs>
        <w:numPr>
          <w:ilvl w:val="0"/>
          <w:numId w:val="22"/>
        </w:numPr>
        <w:rPr>
          <w:rFonts w:ascii="Arial" w:cs="Arial" w:eastAsia="Arial" w:hAnsi="Arial"/>
          <w:sz w:val="20"/>
          <w:szCs w:val="20"/>
          <w:color w:val="auto"/>
        </w:rPr>
      </w:pPr>
      <w:r>
        <w:rPr>
          <w:rFonts w:ascii="Arial" w:cs="Arial" w:eastAsia="Arial" w:hAnsi="Arial"/>
          <w:sz w:val="20"/>
          <w:szCs w:val="20"/>
          <w:color w:val="auto"/>
        </w:rPr>
        <w:t>an acquisition of 20% or more of the stock of the Company, (ii) when individuals who make up the Board, or individuals who join the Board who were approved in advance by at least a majority of the incumbent Board, cease to constitute at least a majority of the Board, (iii) consummation of a transaction where persons who were stockholders immediately prior to the transaction own 50% or less of the voting power after the transaction, (iv) consummation of a transaction where less than a majority of members of the resulting Board following the transaction were members of the Board who approved the transaction, or (v) approval by the stockholders of a liquidation of the Company or sale of all or substantially all of the Company’s assets. The Severance Plan provides a lump sum cash payment severance benefit for the Chief Executive Officer equal to 200% of the Chief Executive Officer’s annual salary and target annual incentive bonus. The Severance Plan provides a lump sum cash payment severance benefit for the Named Executives other than the Chief Executive Officer equal to 150% of the Named Executive’s annual salary and target annual incentive bonus. These cash benefits are paid in a lump sum payment within 60 days following the executive’s termination. In addition, the Named Executives will receive a lump sum prorated amount of target annual bonus for the current fiscal year and welfare benefit consisting of payments equal to the cost of health benefit continuation premiums for 18 months. The termination benefits under the Severance Plan will be paid only upon a termination of the Named Executive by the Company without “Cause” or by the Named Executive for “Good Reason” (both as defined in the Severance Plan) during the 90 days prior to and the two years following any change in control (i.e., “double trigger”).</w:t>
      </w:r>
    </w:p>
    <w:p>
      <w:pPr>
        <w:spacing w:after="0" w:line="215" w:lineRule="exact"/>
        <w:rPr>
          <w:sz w:val="20"/>
          <w:szCs w:val="20"/>
          <w:color w:val="auto"/>
        </w:rPr>
      </w:pPr>
    </w:p>
    <w:p>
      <w:pPr>
        <w:jc w:val="both"/>
        <w:spacing w:after="0" w:line="269" w:lineRule="auto"/>
        <w:rPr>
          <w:sz w:val="20"/>
          <w:szCs w:val="20"/>
          <w:color w:val="auto"/>
        </w:rPr>
      </w:pPr>
      <w:r>
        <w:rPr>
          <w:rFonts w:ascii="Arial" w:cs="Arial" w:eastAsia="Arial" w:hAnsi="Arial"/>
          <w:sz w:val="20"/>
          <w:szCs w:val="20"/>
          <w:color w:val="auto"/>
        </w:rPr>
        <w:t>In order for a Named Executive to receive severance benefits under the Severance Plan, the Named Executive must execute and not revoke an effective release of claims and comply with a two-year post-employment non-competition covenant, a two-year post-employment customer and employee non-solicitation covenant, and a continuous non-disparagement covenant, as well as any other confidentiality agreements or other agreements between the Named Executive and the Company.</w:t>
      </w:r>
    </w:p>
    <w:p>
      <w:pPr>
        <w:spacing w:after="0" w:line="197" w:lineRule="exact"/>
        <w:rPr>
          <w:sz w:val="20"/>
          <w:szCs w:val="20"/>
          <w:color w:val="auto"/>
        </w:rPr>
      </w:pPr>
    </w:p>
    <w:p>
      <w:pPr>
        <w:jc w:val="both"/>
        <w:spacing w:after="0" w:line="263" w:lineRule="auto"/>
        <w:rPr>
          <w:sz w:val="20"/>
          <w:szCs w:val="20"/>
          <w:color w:val="auto"/>
        </w:rPr>
      </w:pPr>
      <w:r>
        <w:rPr>
          <w:rFonts w:ascii="Arial" w:cs="Arial" w:eastAsia="Arial" w:hAnsi="Arial"/>
          <w:sz w:val="20"/>
          <w:szCs w:val="20"/>
          <w:color w:val="auto"/>
        </w:rPr>
        <w:t>Upon a change in control, all unvested restricted stock units that are not assumed, substituted, or replaced by the successor or surviving entity (or a parent or subsidiary thereof) in connection with the change in control will become vested immediately prior to the change in control. Any unvested restricted stock units that are assumed, substituted, or replaced by the successor or surviving entity (or a parent or subsidiary thereof) in connection with a change in control will remain outstanding and upon a qualified termination of the grantee 90 days prior to or 2 years after the change in control all such unvested restricted stock units will vest. Any unvested restricted stock units will vest upon a qualified termination of the grantee 90 days prior to or 2 years after the change in control.</w:t>
      </w:r>
    </w:p>
    <w:p>
      <w:pPr>
        <w:spacing w:after="0" w:line="220" w:lineRule="exact"/>
        <w:rPr>
          <w:sz w:val="20"/>
          <w:szCs w:val="20"/>
          <w:color w:val="auto"/>
        </w:rPr>
      </w:pPr>
    </w:p>
    <w:p>
      <w:pPr>
        <w:jc w:val="both"/>
        <w:spacing w:after="0" w:line="261" w:lineRule="auto"/>
        <w:rPr>
          <w:sz w:val="20"/>
          <w:szCs w:val="20"/>
          <w:color w:val="auto"/>
        </w:rPr>
      </w:pPr>
      <w:r>
        <w:rPr>
          <w:rFonts w:ascii="Arial" w:cs="Arial" w:eastAsia="Arial" w:hAnsi="Arial"/>
          <w:sz w:val="20"/>
          <w:szCs w:val="20"/>
          <w:color w:val="auto"/>
        </w:rPr>
        <w:t>Upon a change in control, all performance shares automatically convert into time-based awards. The number of such converted shares for TSR-based awards shall equal the greater of the number of target shares for such award or the number of shares that would have vested based on actual TSR achievement if the change in control date were the measuring date for TSR measurement. The number of such converted shares for grants other than TSR-based awards shall equal the number of target shares for such award. If the surviving entity does not assume this award, or substitute or replace it with an award with substantially identical economic terms, then all shares shall vest in full. If the surviving entity does assume, substitute, or replace this award in connection with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33655</wp:posOffset>
            </wp:positionV>
            <wp:extent cx="7132320" cy="3511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32320" cy="351155"/>
                    </a:xfrm>
                    <a:prstGeom prst="rect">
                      <a:avLst/>
                    </a:prstGeom>
                    <a:noFill/>
                  </pic:spPr>
                </pic:pic>
              </a:graphicData>
            </a:graphic>
          </wp:anchor>
        </w:drawing>
      </w:r>
    </w:p>
    <w:p>
      <w:pPr>
        <w:spacing w:after="0" w:line="244" w:lineRule="exact"/>
        <w:rPr>
          <w:sz w:val="20"/>
          <w:szCs w:val="20"/>
          <w:color w:val="auto"/>
        </w:rPr>
      </w:pPr>
    </w:p>
    <w:p>
      <w:pPr>
        <w:ind w:left="20"/>
        <w:spacing w:after="0"/>
        <w:tabs>
          <w:tab w:leader="none" w:pos="440" w:val="left"/>
        </w:tabs>
        <w:rPr>
          <w:sz w:val="20"/>
          <w:szCs w:val="20"/>
          <w:color w:val="auto"/>
        </w:rPr>
      </w:pPr>
      <w:r>
        <w:rPr>
          <w:rFonts w:ascii="Arial" w:cs="Arial" w:eastAsia="Arial" w:hAnsi="Arial"/>
          <w:sz w:val="18"/>
          <w:szCs w:val="18"/>
          <w:color w:val="auto"/>
        </w:rPr>
        <w:t>58</w:t>
        <w:tab/>
        <w:t>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262255</wp:posOffset>
            </wp:positionV>
            <wp:extent cx="7157720" cy="425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01" w:right="339" w:bottom="1440" w:gutter="0" w:footer="0" w:header="0"/>
        </w:sectPr>
      </w:pPr>
    </w:p>
    <w:bookmarkStart w:id="61" w:name="page62"/>
    <w:bookmarkEnd w:id="61"/>
    <w:p>
      <w:pPr>
        <w:jc w:val="both"/>
        <w:spacing w:after="0" w:line="286" w:lineRule="auto"/>
        <w:rPr>
          <w:sz w:val="20"/>
          <w:szCs w:val="20"/>
          <w:color w:val="auto"/>
        </w:rPr>
      </w:pPr>
      <w:r>
        <w:rPr>
          <w:rFonts w:ascii="Arial" w:cs="Arial" w:eastAsia="Arial" w:hAnsi="Arial"/>
          <w:sz w:val="20"/>
          <w:szCs w:val="20"/>
          <w:color w:val="auto"/>
        </w:rPr>
        <w:t>change in control, all such shares shall vest in full upon a qualified termination of the grantee 90 days prior to or 2 years after the change in control.</w:t>
      </w:r>
    </w:p>
    <w:p>
      <w:pPr>
        <w:spacing w:after="0" w:line="194" w:lineRule="exact"/>
        <w:rPr>
          <w:sz w:val="20"/>
          <w:szCs w:val="20"/>
          <w:color w:val="auto"/>
        </w:rPr>
      </w:pPr>
    </w:p>
    <w:p>
      <w:pPr>
        <w:jc w:val="both"/>
        <w:spacing w:after="0" w:line="265" w:lineRule="auto"/>
        <w:rPr>
          <w:sz w:val="20"/>
          <w:szCs w:val="20"/>
          <w:color w:val="auto"/>
        </w:rPr>
      </w:pPr>
      <w:r>
        <w:rPr>
          <w:rFonts w:ascii="Arial" w:cs="Arial" w:eastAsia="Arial" w:hAnsi="Arial"/>
          <w:sz w:val="20"/>
          <w:szCs w:val="20"/>
          <w:color w:val="auto"/>
        </w:rPr>
        <w:t>The table below reflects the cash severance benefit payments and estimated welfare benefit payments that would be paid under the Severance Plan, as if the triggering events occurred on June 30, 2024, the last day of the last completed fiscal year. The table also shows the value as of June 30, 2024, of all issued restricted stock units and performance shares with respect to which restrictions would lapse upon a change in control and termination. The below table assumes the performance shares vested at target rather than actual TSR achievement.</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40" w:type="dxa"/>
            <w:vAlign w:val="bottom"/>
            <w:vMerge w:val="restart"/>
            <w:shd w:val="clear" w:color="auto" w:fill="E8F7F7"/>
          </w:tcPr>
          <w:p>
            <w:pPr>
              <w:ind w:left="20"/>
              <w:spacing w:after="0"/>
              <w:rPr>
                <w:sz w:val="20"/>
                <w:szCs w:val="20"/>
                <w:color w:val="auto"/>
              </w:rPr>
            </w:pPr>
            <w:r>
              <w:rPr>
                <w:rFonts w:ascii="Arial" w:cs="Arial" w:eastAsia="Arial" w:hAnsi="Arial"/>
                <w:sz w:val="18"/>
                <w:szCs w:val="18"/>
                <w:b w:val="1"/>
                <w:bCs w:val="1"/>
                <w:color w:val="auto"/>
              </w:rPr>
              <w:t>Name</w:t>
            </w:r>
          </w:p>
        </w:tc>
        <w:tc>
          <w:tcPr>
            <w:tcW w:w="2780" w:type="dxa"/>
            <w:vAlign w:val="bottom"/>
            <w:shd w:val="clear" w:color="auto" w:fill="E8F7F7"/>
          </w:tcPr>
          <w:p>
            <w:pPr>
              <w:jc w:val="right"/>
              <w:ind w:right="70"/>
              <w:spacing w:after="0"/>
              <w:rPr>
                <w:sz w:val="20"/>
                <w:szCs w:val="20"/>
                <w:color w:val="auto"/>
              </w:rPr>
            </w:pPr>
            <w:r>
              <w:rPr>
                <w:rFonts w:ascii="Arial" w:cs="Arial" w:eastAsia="Arial" w:hAnsi="Arial"/>
                <w:sz w:val="18"/>
                <w:szCs w:val="18"/>
                <w:b w:val="1"/>
                <w:bCs w:val="1"/>
                <w:color w:val="auto"/>
              </w:rPr>
              <w:t>Cash Payment Severance</w:t>
            </w:r>
          </w:p>
        </w:tc>
        <w:tc>
          <w:tcPr>
            <w:tcW w:w="2100" w:type="dxa"/>
            <w:vAlign w:val="bottom"/>
            <w:vMerge w:val="restart"/>
            <w:shd w:val="clear" w:color="auto" w:fill="E8F7F7"/>
          </w:tcPr>
          <w:p>
            <w:pPr>
              <w:jc w:val="right"/>
              <w:ind w:right="250"/>
              <w:spacing w:after="0"/>
              <w:rPr>
                <w:sz w:val="20"/>
                <w:szCs w:val="20"/>
                <w:color w:val="auto"/>
              </w:rPr>
            </w:pPr>
            <w:r>
              <w:rPr>
                <w:rFonts w:ascii="Arial" w:cs="Arial" w:eastAsia="Arial" w:hAnsi="Arial"/>
                <w:sz w:val="18"/>
                <w:szCs w:val="18"/>
                <w:b w:val="1"/>
                <w:bCs w:val="1"/>
                <w:color w:val="auto"/>
              </w:rPr>
              <w:t>Welfare Benefit ($)</w:t>
            </w:r>
          </w:p>
        </w:tc>
        <w:tc>
          <w:tcPr>
            <w:tcW w:w="2520" w:type="dxa"/>
            <w:vAlign w:val="bottom"/>
            <w:shd w:val="clear" w:color="auto" w:fill="E8F7F7"/>
          </w:tcPr>
          <w:p>
            <w:pPr>
              <w:jc w:val="right"/>
              <w:ind w:right="310"/>
              <w:spacing w:after="0"/>
              <w:rPr>
                <w:sz w:val="20"/>
                <w:szCs w:val="20"/>
                <w:color w:val="auto"/>
              </w:rPr>
            </w:pPr>
            <w:r>
              <w:rPr>
                <w:rFonts w:ascii="Arial" w:cs="Arial" w:eastAsia="Arial" w:hAnsi="Arial"/>
                <w:sz w:val="18"/>
                <w:szCs w:val="18"/>
                <w:b w:val="1"/>
                <w:bCs w:val="1"/>
                <w:color w:val="auto"/>
              </w:rPr>
              <w:t>Equity Incentive Vesting</w:t>
            </w:r>
          </w:p>
        </w:tc>
        <w:tc>
          <w:tcPr>
            <w:tcW w:w="1680" w:type="dxa"/>
            <w:vAlign w:val="bottom"/>
            <w:vMerge w:val="restart"/>
            <w:shd w:val="clear" w:color="auto" w:fill="E8F7F7"/>
          </w:tcPr>
          <w:p>
            <w:pPr>
              <w:jc w:val="right"/>
              <w:ind w:right="570"/>
              <w:spacing w:after="0"/>
              <w:rPr>
                <w:sz w:val="20"/>
                <w:szCs w:val="20"/>
                <w:color w:val="auto"/>
              </w:rPr>
            </w:pPr>
            <w:r>
              <w:rPr>
                <w:rFonts w:ascii="Arial" w:cs="Arial" w:eastAsia="Arial" w:hAnsi="Arial"/>
                <w:sz w:val="18"/>
                <w:szCs w:val="18"/>
                <w:b w:val="1"/>
                <w:bCs w:val="1"/>
                <w:color w:val="auto"/>
              </w:rPr>
              <w:t>Total ($)</w:t>
            </w:r>
          </w:p>
        </w:tc>
        <w:tc>
          <w:tcPr>
            <w:tcW w:w="0" w:type="dxa"/>
            <w:vAlign w:val="bottom"/>
          </w:tcPr>
          <w:p>
            <w:pPr>
              <w:spacing w:after="0"/>
              <w:rPr>
                <w:sz w:val="1"/>
                <w:szCs w:val="1"/>
                <w:color w:val="auto"/>
              </w:rPr>
            </w:pPr>
          </w:p>
        </w:tc>
      </w:tr>
      <w:tr>
        <w:trPr>
          <w:trHeight w:val="229"/>
        </w:trPr>
        <w:tc>
          <w:tcPr>
            <w:tcW w:w="2040" w:type="dxa"/>
            <w:vAlign w:val="bottom"/>
            <w:tcBorders>
              <w:bottom w:val="single" w:sz="8" w:color="auto"/>
            </w:tcBorders>
            <w:vMerge w:val="continue"/>
            <w:shd w:val="clear" w:color="auto" w:fill="E8F7F7"/>
          </w:tcPr>
          <w:p>
            <w:pPr>
              <w:spacing w:after="0"/>
              <w:rPr>
                <w:sz w:val="19"/>
                <w:szCs w:val="19"/>
                <w:color w:val="auto"/>
              </w:rPr>
            </w:pPr>
          </w:p>
        </w:tc>
        <w:tc>
          <w:tcPr>
            <w:tcW w:w="2780" w:type="dxa"/>
            <w:vAlign w:val="bottom"/>
            <w:tcBorders>
              <w:bottom w:val="single" w:sz="8" w:color="auto"/>
            </w:tcBorders>
            <w:shd w:val="clear" w:color="auto" w:fill="E8F7F7"/>
          </w:tcPr>
          <w:p>
            <w:pPr>
              <w:jc w:val="right"/>
              <w:ind w:right="730"/>
              <w:spacing w:after="0"/>
              <w:rPr>
                <w:sz w:val="20"/>
                <w:szCs w:val="20"/>
                <w:color w:val="auto"/>
              </w:rPr>
            </w:pPr>
            <w:r>
              <w:rPr>
                <w:rFonts w:ascii="Arial" w:cs="Arial" w:eastAsia="Arial" w:hAnsi="Arial"/>
                <w:sz w:val="18"/>
                <w:szCs w:val="18"/>
                <w:b w:val="1"/>
                <w:bCs w:val="1"/>
                <w:color w:val="auto"/>
              </w:rPr>
              <w:t>Benefit ($)</w:t>
            </w:r>
          </w:p>
        </w:tc>
        <w:tc>
          <w:tcPr>
            <w:tcW w:w="2100" w:type="dxa"/>
            <w:vAlign w:val="bottom"/>
            <w:tcBorders>
              <w:bottom w:val="single" w:sz="8" w:color="auto"/>
            </w:tcBorders>
            <w:vMerge w:val="continue"/>
            <w:shd w:val="clear" w:color="auto" w:fill="E8F7F7"/>
          </w:tcPr>
          <w:p>
            <w:pPr>
              <w:spacing w:after="0"/>
              <w:rPr>
                <w:sz w:val="19"/>
                <w:szCs w:val="19"/>
                <w:color w:val="auto"/>
              </w:rPr>
            </w:pPr>
          </w:p>
        </w:tc>
        <w:tc>
          <w:tcPr>
            <w:tcW w:w="2520" w:type="dxa"/>
            <w:vAlign w:val="bottom"/>
            <w:tcBorders>
              <w:bottom w:val="single" w:sz="8" w:color="auto"/>
            </w:tcBorders>
            <w:shd w:val="clear" w:color="auto" w:fill="E8F7F7"/>
          </w:tcPr>
          <w:p>
            <w:pPr>
              <w:jc w:val="right"/>
              <w:ind w:right="1230"/>
              <w:spacing w:after="0"/>
              <w:rPr>
                <w:sz w:val="20"/>
                <w:szCs w:val="20"/>
                <w:color w:val="auto"/>
              </w:rPr>
            </w:pPr>
            <w:r>
              <w:rPr>
                <w:rFonts w:ascii="Arial" w:cs="Arial" w:eastAsia="Arial" w:hAnsi="Arial"/>
                <w:sz w:val="18"/>
                <w:szCs w:val="18"/>
                <w:b w:val="1"/>
                <w:bCs w:val="1"/>
                <w:color w:val="auto"/>
              </w:rPr>
              <w:t>($)</w:t>
            </w:r>
          </w:p>
        </w:tc>
        <w:tc>
          <w:tcPr>
            <w:tcW w:w="1680" w:type="dxa"/>
            <w:vAlign w:val="bottom"/>
            <w:tcBorders>
              <w:bottom w:val="single" w:sz="8" w:color="auto"/>
            </w:tcBorders>
            <w:vMerge w:val="continue"/>
            <w:shd w:val="clear" w:color="auto" w:fill="E8F7F7"/>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2040" w:type="dxa"/>
            <w:vAlign w:val="bottom"/>
            <w:tcBorders>
              <w:bottom w:val="single" w:sz="8" w:color="DBDBDB"/>
            </w:tcBorders>
          </w:tcPr>
          <w:p>
            <w:pPr>
              <w:ind w:left="20"/>
              <w:spacing w:after="0"/>
              <w:rPr>
                <w:sz w:val="20"/>
                <w:szCs w:val="20"/>
                <w:color w:val="auto"/>
              </w:rPr>
            </w:pPr>
            <w:r>
              <w:rPr>
                <w:rFonts w:ascii="Arial" w:cs="Arial" w:eastAsia="Arial" w:hAnsi="Arial"/>
                <w:sz w:val="18"/>
                <w:szCs w:val="18"/>
                <w:color w:val="auto"/>
              </w:rPr>
              <w:t>David B. Foss</w:t>
            </w:r>
          </w:p>
        </w:tc>
        <w:tc>
          <w:tcPr>
            <w:tcW w:w="2780" w:type="dxa"/>
            <w:vAlign w:val="bottom"/>
            <w:tcBorders>
              <w:bottom w:val="single" w:sz="8" w:color="DBDBDB"/>
            </w:tcBorders>
          </w:tcPr>
          <w:p>
            <w:pPr>
              <w:jc w:val="right"/>
              <w:ind w:right="70"/>
              <w:spacing w:after="0"/>
              <w:rPr>
                <w:sz w:val="20"/>
                <w:szCs w:val="20"/>
                <w:color w:val="auto"/>
              </w:rPr>
            </w:pPr>
            <w:r>
              <w:rPr>
                <w:rFonts w:ascii="Arial" w:cs="Arial" w:eastAsia="Arial" w:hAnsi="Arial"/>
                <w:sz w:val="18"/>
                <w:szCs w:val="18"/>
                <w:color w:val="auto"/>
              </w:rPr>
              <w:t>5,622,500</w:t>
            </w:r>
          </w:p>
        </w:tc>
        <w:tc>
          <w:tcPr>
            <w:tcW w:w="2100" w:type="dxa"/>
            <w:vAlign w:val="bottom"/>
            <w:tcBorders>
              <w:bottom w:val="single" w:sz="8" w:color="DBDBDB"/>
            </w:tcBorders>
          </w:tcPr>
          <w:p>
            <w:pPr>
              <w:jc w:val="right"/>
              <w:spacing w:after="0"/>
              <w:rPr>
                <w:sz w:val="20"/>
                <w:szCs w:val="20"/>
                <w:color w:val="auto"/>
              </w:rPr>
            </w:pPr>
            <w:r>
              <w:rPr>
                <w:rFonts w:ascii="Arial" w:cs="Arial" w:eastAsia="Arial" w:hAnsi="Arial"/>
                <w:sz w:val="18"/>
                <w:szCs w:val="18"/>
                <w:color w:val="auto"/>
              </w:rPr>
              <w:t>28,701</w:t>
            </w:r>
          </w:p>
        </w:tc>
        <w:tc>
          <w:tcPr>
            <w:tcW w:w="2520" w:type="dxa"/>
            <w:vAlign w:val="bottom"/>
            <w:tcBorders>
              <w:bottom w:val="single" w:sz="8" w:color="DBDBDB"/>
            </w:tcBorders>
          </w:tcPr>
          <w:p>
            <w:pPr>
              <w:jc w:val="right"/>
              <w:ind w:right="230"/>
              <w:spacing w:after="0"/>
              <w:rPr>
                <w:sz w:val="20"/>
                <w:szCs w:val="20"/>
                <w:color w:val="auto"/>
              </w:rPr>
            </w:pPr>
            <w:r>
              <w:rPr>
                <w:rFonts w:ascii="Arial" w:cs="Arial" w:eastAsia="Arial" w:hAnsi="Arial"/>
                <w:sz w:val="18"/>
                <w:szCs w:val="18"/>
                <w:color w:val="auto"/>
              </w:rPr>
              <w:t>17,679,304</w:t>
            </w:r>
          </w:p>
        </w:tc>
        <w:tc>
          <w:tcPr>
            <w:tcW w:w="1680" w:type="dxa"/>
            <w:vAlign w:val="bottom"/>
            <w:tcBorders>
              <w:bottom w:val="single" w:sz="8" w:color="DBDBDB"/>
            </w:tcBorders>
          </w:tcPr>
          <w:p>
            <w:pPr>
              <w:jc w:val="right"/>
              <w:spacing w:after="0"/>
              <w:rPr>
                <w:sz w:val="20"/>
                <w:szCs w:val="20"/>
                <w:color w:val="auto"/>
              </w:rPr>
            </w:pPr>
            <w:r>
              <w:rPr>
                <w:rFonts w:ascii="Arial" w:cs="Arial" w:eastAsia="Arial" w:hAnsi="Arial"/>
                <w:sz w:val="18"/>
                <w:szCs w:val="18"/>
                <w:color w:val="auto"/>
              </w:rPr>
              <w:t>23,330,505</w:t>
            </w:r>
          </w:p>
        </w:tc>
        <w:tc>
          <w:tcPr>
            <w:tcW w:w="0" w:type="dxa"/>
            <w:vAlign w:val="bottom"/>
          </w:tcPr>
          <w:p>
            <w:pPr>
              <w:spacing w:after="0"/>
              <w:rPr>
                <w:sz w:val="1"/>
                <w:szCs w:val="1"/>
                <w:color w:val="auto"/>
              </w:rPr>
            </w:pPr>
          </w:p>
        </w:tc>
      </w:tr>
      <w:tr>
        <w:trPr>
          <w:trHeight w:val="250"/>
        </w:trPr>
        <w:tc>
          <w:tcPr>
            <w:tcW w:w="2040" w:type="dxa"/>
            <w:vAlign w:val="bottom"/>
            <w:tcBorders>
              <w:bottom w:val="single" w:sz="8" w:color="DBDBDB"/>
            </w:tcBorders>
            <w:shd w:val="clear" w:color="auto" w:fill="E7ECF0"/>
          </w:tcPr>
          <w:p>
            <w:pPr>
              <w:ind w:left="20"/>
              <w:spacing w:after="0"/>
              <w:rPr>
                <w:sz w:val="20"/>
                <w:szCs w:val="20"/>
                <w:color w:val="auto"/>
              </w:rPr>
            </w:pPr>
            <w:r>
              <w:rPr>
                <w:rFonts w:ascii="Arial" w:cs="Arial" w:eastAsia="Arial" w:hAnsi="Arial"/>
                <w:sz w:val="18"/>
                <w:szCs w:val="18"/>
                <w:color w:val="auto"/>
              </w:rPr>
              <w:t>Gregory R. Adelson</w:t>
            </w:r>
          </w:p>
        </w:tc>
        <w:tc>
          <w:tcPr>
            <w:tcW w:w="2780" w:type="dxa"/>
            <w:vAlign w:val="bottom"/>
            <w:tcBorders>
              <w:bottom w:val="single" w:sz="8" w:color="DBDBDB"/>
            </w:tcBorders>
            <w:shd w:val="clear" w:color="auto" w:fill="E7ECF0"/>
          </w:tcPr>
          <w:p>
            <w:pPr>
              <w:jc w:val="right"/>
              <w:ind w:right="70"/>
              <w:spacing w:after="0"/>
              <w:rPr>
                <w:sz w:val="20"/>
                <w:szCs w:val="20"/>
                <w:color w:val="auto"/>
              </w:rPr>
            </w:pPr>
            <w:r>
              <w:rPr>
                <w:rFonts w:ascii="Arial" w:cs="Arial" w:eastAsia="Arial" w:hAnsi="Arial"/>
                <w:sz w:val="18"/>
                <w:szCs w:val="18"/>
                <w:color w:val="auto"/>
              </w:rPr>
              <w:t>2,346,000</w:t>
            </w:r>
          </w:p>
        </w:tc>
        <w:tc>
          <w:tcPr>
            <w:tcW w:w="2100" w:type="dxa"/>
            <w:vAlign w:val="bottom"/>
            <w:tcBorders>
              <w:bottom w:val="single" w:sz="8" w:color="DBDBDB"/>
            </w:tcBorders>
            <w:shd w:val="clear" w:color="auto" w:fill="E7ECF0"/>
          </w:tcPr>
          <w:p>
            <w:pPr>
              <w:jc w:val="right"/>
              <w:spacing w:after="0"/>
              <w:rPr>
                <w:sz w:val="20"/>
                <w:szCs w:val="20"/>
                <w:color w:val="auto"/>
              </w:rPr>
            </w:pPr>
            <w:r>
              <w:rPr>
                <w:rFonts w:ascii="Arial" w:cs="Arial" w:eastAsia="Arial" w:hAnsi="Arial"/>
                <w:sz w:val="18"/>
                <w:szCs w:val="18"/>
                <w:color w:val="auto"/>
              </w:rPr>
              <w:t>46,979</w:t>
            </w:r>
          </w:p>
        </w:tc>
        <w:tc>
          <w:tcPr>
            <w:tcW w:w="2520" w:type="dxa"/>
            <w:vAlign w:val="bottom"/>
            <w:tcBorders>
              <w:bottom w:val="single" w:sz="8" w:color="DBDBDB"/>
            </w:tcBorders>
            <w:shd w:val="clear" w:color="auto" w:fill="E7ECF0"/>
          </w:tcPr>
          <w:p>
            <w:pPr>
              <w:jc w:val="right"/>
              <w:ind w:right="230"/>
              <w:spacing w:after="0"/>
              <w:rPr>
                <w:sz w:val="20"/>
                <w:szCs w:val="20"/>
                <w:color w:val="auto"/>
              </w:rPr>
            </w:pPr>
            <w:r>
              <w:rPr>
                <w:rFonts w:ascii="Arial" w:cs="Arial" w:eastAsia="Arial" w:hAnsi="Arial"/>
                <w:sz w:val="18"/>
                <w:szCs w:val="18"/>
                <w:color w:val="auto"/>
              </w:rPr>
              <w:t>3,460,521</w:t>
            </w:r>
          </w:p>
        </w:tc>
        <w:tc>
          <w:tcPr>
            <w:tcW w:w="1680" w:type="dxa"/>
            <w:vAlign w:val="bottom"/>
            <w:tcBorders>
              <w:bottom w:val="single" w:sz="8" w:color="DBDBDB"/>
            </w:tcBorders>
            <w:shd w:val="clear" w:color="auto" w:fill="E7ECF0"/>
          </w:tcPr>
          <w:p>
            <w:pPr>
              <w:jc w:val="right"/>
              <w:spacing w:after="0"/>
              <w:rPr>
                <w:sz w:val="20"/>
                <w:szCs w:val="20"/>
                <w:color w:val="auto"/>
              </w:rPr>
            </w:pPr>
            <w:r>
              <w:rPr>
                <w:rFonts w:ascii="Arial" w:cs="Arial" w:eastAsia="Arial" w:hAnsi="Arial"/>
                <w:sz w:val="18"/>
                <w:szCs w:val="18"/>
                <w:color w:val="auto"/>
              </w:rPr>
              <w:t>5,853,500</w:t>
            </w:r>
          </w:p>
        </w:tc>
        <w:tc>
          <w:tcPr>
            <w:tcW w:w="0" w:type="dxa"/>
            <w:vAlign w:val="bottom"/>
          </w:tcPr>
          <w:p>
            <w:pPr>
              <w:spacing w:after="0"/>
              <w:rPr>
                <w:sz w:val="1"/>
                <w:szCs w:val="1"/>
                <w:color w:val="auto"/>
              </w:rPr>
            </w:pPr>
          </w:p>
        </w:tc>
      </w:tr>
      <w:tr>
        <w:trPr>
          <w:trHeight w:val="255"/>
        </w:trPr>
        <w:tc>
          <w:tcPr>
            <w:tcW w:w="2040" w:type="dxa"/>
            <w:vAlign w:val="bottom"/>
            <w:tcBorders>
              <w:bottom w:val="single" w:sz="8" w:color="DBDBDB"/>
            </w:tcBorders>
          </w:tcPr>
          <w:p>
            <w:pPr>
              <w:ind w:left="20"/>
              <w:spacing w:after="0"/>
              <w:rPr>
                <w:sz w:val="20"/>
                <w:szCs w:val="20"/>
                <w:color w:val="auto"/>
              </w:rPr>
            </w:pPr>
            <w:r>
              <w:rPr>
                <w:rFonts w:ascii="Arial" w:cs="Arial" w:eastAsia="Arial" w:hAnsi="Arial"/>
                <w:sz w:val="18"/>
                <w:szCs w:val="18"/>
                <w:color w:val="auto"/>
              </w:rPr>
              <w:t>Mimi L. Carsley</w:t>
            </w:r>
          </w:p>
        </w:tc>
        <w:tc>
          <w:tcPr>
            <w:tcW w:w="2780" w:type="dxa"/>
            <w:vAlign w:val="bottom"/>
            <w:tcBorders>
              <w:bottom w:val="single" w:sz="8" w:color="DBDBDB"/>
            </w:tcBorders>
          </w:tcPr>
          <w:p>
            <w:pPr>
              <w:jc w:val="right"/>
              <w:ind w:right="70"/>
              <w:spacing w:after="0"/>
              <w:rPr>
                <w:sz w:val="20"/>
                <w:szCs w:val="20"/>
                <w:color w:val="auto"/>
              </w:rPr>
            </w:pPr>
            <w:r>
              <w:rPr>
                <w:rFonts w:ascii="Arial" w:cs="Arial" w:eastAsia="Arial" w:hAnsi="Arial"/>
                <w:sz w:val="18"/>
                <w:szCs w:val="18"/>
                <w:color w:val="auto"/>
              </w:rPr>
              <w:t>2,071,000</w:t>
            </w:r>
          </w:p>
        </w:tc>
        <w:tc>
          <w:tcPr>
            <w:tcW w:w="2100" w:type="dxa"/>
            <w:vAlign w:val="bottom"/>
            <w:tcBorders>
              <w:bottom w:val="single" w:sz="8" w:color="DBDBDB"/>
            </w:tcBorders>
          </w:tcPr>
          <w:p>
            <w:pPr>
              <w:jc w:val="right"/>
              <w:spacing w:after="0"/>
              <w:rPr>
                <w:sz w:val="20"/>
                <w:szCs w:val="20"/>
                <w:color w:val="auto"/>
              </w:rPr>
            </w:pPr>
            <w:r>
              <w:rPr>
                <w:rFonts w:ascii="Arial" w:cs="Arial" w:eastAsia="Arial" w:hAnsi="Arial"/>
                <w:sz w:val="18"/>
                <w:szCs w:val="18"/>
                <w:color w:val="auto"/>
              </w:rPr>
              <w:t>43,812</w:t>
            </w:r>
          </w:p>
        </w:tc>
        <w:tc>
          <w:tcPr>
            <w:tcW w:w="2520" w:type="dxa"/>
            <w:vAlign w:val="bottom"/>
            <w:tcBorders>
              <w:bottom w:val="single" w:sz="8" w:color="DBDBDB"/>
            </w:tcBorders>
          </w:tcPr>
          <w:p>
            <w:pPr>
              <w:jc w:val="right"/>
              <w:ind w:right="230"/>
              <w:spacing w:after="0"/>
              <w:rPr>
                <w:sz w:val="20"/>
                <w:szCs w:val="20"/>
                <w:color w:val="auto"/>
              </w:rPr>
            </w:pPr>
            <w:r>
              <w:rPr>
                <w:rFonts w:ascii="Arial" w:cs="Arial" w:eastAsia="Arial" w:hAnsi="Arial"/>
                <w:sz w:val="18"/>
                <w:szCs w:val="18"/>
                <w:color w:val="auto"/>
              </w:rPr>
              <w:t>2,328,597</w:t>
            </w:r>
          </w:p>
        </w:tc>
        <w:tc>
          <w:tcPr>
            <w:tcW w:w="1680" w:type="dxa"/>
            <w:vAlign w:val="bottom"/>
            <w:tcBorders>
              <w:bottom w:val="single" w:sz="8" w:color="DBDBDB"/>
            </w:tcBorders>
          </w:tcPr>
          <w:p>
            <w:pPr>
              <w:jc w:val="right"/>
              <w:spacing w:after="0"/>
              <w:rPr>
                <w:sz w:val="20"/>
                <w:szCs w:val="20"/>
                <w:color w:val="auto"/>
              </w:rPr>
            </w:pPr>
            <w:r>
              <w:rPr>
                <w:rFonts w:ascii="Arial" w:cs="Arial" w:eastAsia="Arial" w:hAnsi="Arial"/>
                <w:sz w:val="18"/>
                <w:szCs w:val="18"/>
                <w:color w:val="auto"/>
              </w:rPr>
              <w:t>4,443,409</w:t>
            </w:r>
          </w:p>
        </w:tc>
        <w:tc>
          <w:tcPr>
            <w:tcW w:w="0" w:type="dxa"/>
            <w:vAlign w:val="bottom"/>
          </w:tcPr>
          <w:p>
            <w:pPr>
              <w:spacing w:after="0"/>
              <w:rPr>
                <w:sz w:val="1"/>
                <w:szCs w:val="1"/>
                <w:color w:val="auto"/>
              </w:rPr>
            </w:pPr>
          </w:p>
        </w:tc>
      </w:tr>
      <w:tr>
        <w:trPr>
          <w:trHeight w:val="245"/>
        </w:trPr>
        <w:tc>
          <w:tcPr>
            <w:tcW w:w="2040" w:type="dxa"/>
            <w:vAlign w:val="bottom"/>
            <w:tcBorders>
              <w:bottom w:val="single" w:sz="8" w:color="DBDBDB"/>
            </w:tcBorders>
            <w:shd w:val="clear" w:color="auto" w:fill="E7ECF0"/>
          </w:tcPr>
          <w:p>
            <w:pPr>
              <w:ind w:left="20"/>
              <w:spacing w:after="0"/>
              <w:rPr>
                <w:sz w:val="20"/>
                <w:szCs w:val="20"/>
                <w:color w:val="auto"/>
              </w:rPr>
            </w:pPr>
            <w:r>
              <w:rPr>
                <w:rFonts w:ascii="Arial" w:cs="Arial" w:eastAsia="Arial" w:hAnsi="Arial"/>
                <w:sz w:val="18"/>
                <w:szCs w:val="18"/>
                <w:color w:val="auto"/>
              </w:rPr>
              <w:t>Craig K. Morgan</w:t>
            </w:r>
          </w:p>
        </w:tc>
        <w:tc>
          <w:tcPr>
            <w:tcW w:w="2780" w:type="dxa"/>
            <w:vAlign w:val="bottom"/>
            <w:tcBorders>
              <w:bottom w:val="single" w:sz="8" w:color="DBDBDB"/>
            </w:tcBorders>
            <w:shd w:val="clear" w:color="auto" w:fill="E7ECF0"/>
          </w:tcPr>
          <w:p>
            <w:pPr>
              <w:jc w:val="right"/>
              <w:ind w:right="70"/>
              <w:spacing w:after="0"/>
              <w:rPr>
                <w:sz w:val="20"/>
                <w:szCs w:val="20"/>
                <w:color w:val="auto"/>
              </w:rPr>
            </w:pPr>
            <w:r>
              <w:rPr>
                <w:rFonts w:ascii="Arial" w:cs="Arial" w:eastAsia="Arial" w:hAnsi="Arial"/>
                <w:sz w:val="18"/>
                <w:szCs w:val="18"/>
                <w:color w:val="auto"/>
              </w:rPr>
              <w:t>1,644,750</w:t>
            </w:r>
          </w:p>
        </w:tc>
        <w:tc>
          <w:tcPr>
            <w:tcW w:w="2100" w:type="dxa"/>
            <w:vAlign w:val="bottom"/>
            <w:tcBorders>
              <w:bottom w:val="single" w:sz="8" w:color="DBDBDB"/>
            </w:tcBorders>
            <w:shd w:val="clear" w:color="auto" w:fill="E7ECF0"/>
          </w:tcPr>
          <w:p>
            <w:pPr>
              <w:jc w:val="right"/>
              <w:spacing w:after="0"/>
              <w:rPr>
                <w:sz w:val="20"/>
                <w:szCs w:val="20"/>
                <w:color w:val="auto"/>
              </w:rPr>
            </w:pPr>
            <w:r>
              <w:rPr>
                <w:rFonts w:ascii="Arial" w:cs="Arial" w:eastAsia="Arial" w:hAnsi="Arial"/>
                <w:sz w:val="18"/>
                <w:szCs w:val="18"/>
                <w:color w:val="auto"/>
              </w:rPr>
              <w:t>28,375</w:t>
            </w:r>
          </w:p>
        </w:tc>
        <w:tc>
          <w:tcPr>
            <w:tcW w:w="2520" w:type="dxa"/>
            <w:vAlign w:val="bottom"/>
            <w:tcBorders>
              <w:bottom w:val="single" w:sz="8" w:color="DBDBDB"/>
            </w:tcBorders>
            <w:shd w:val="clear" w:color="auto" w:fill="E7ECF0"/>
          </w:tcPr>
          <w:p>
            <w:pPr>
              <w:jc w:val="right"/>
              <w:ind w:right="230"/>
              <w:spacing w:after="0"/>
              <w:rPr>
                <w:sz w:val="20"/>
                <w:szCs w:val="20"/>
                <w:color w:val="auto"/>
              </w:rPr>
            </w:pPr>
            <w:r>
              <w:rPr>
                <w:rFonts w:ascii="Arial" w:cs="Arial" w:eastAsia="Arial" w:hAnsi="Arial"/>
                <w:sz w:val="18"/>
                <w:szCs w:val="18"/>
                <w:color w:val="auto"/>
              </w:rPr>
              <w:t>1,755,994</w:t>
            </w:r>
          </w:p>
        </w:tc>
        <w:tc>
          <w:tcPr>
            <w:tcW w:w="1680" w:type="dxa"/>
            <w:vAlign w:val="bottom"/>
            <w:tcBorders>
              <w:bottom w:val="single" w:sz="8" w:color="DBDBDB"/>
            </w:tcBorders>
            <w:shd w:val="clear" w:color="auto" w:fill="E7ECF0"/>
          </w:tcPr>
          <w:p>
            <w:pPr>
              <w:jc w:val="right"/>
              <w:spacing w:after="0"/>
              <w:rPr>
                <w:sz w:val="20"/>
                <w:szCs w:val="20"/>
                <w:color w:val="auto"/>
              </w:rPr>
            </w:pPr>
            <w:r>
              <w:rPr>
                <w:rFonts w:ascii="Arial" w:cs="Arial" w:eastAsia="Arial" w:hAnsi="Arial"/>
                <w:sz w:val="18"/>
                <w:szCs w:val="18"/>
                <w:color w:val="auto"/>
              </w:rPr>
              <w:t>3,429,119</w:t>
            </w:r>
          </w:p>
        </w:tc>
        <w:tc>
          <w:tcPr>
            <w:tcW w:w="0" w:type="dxa"/>
            <w:vAlign w:val="bottom"/>
          </w:tcPr>
          <w:p>
            <w:pPr>
              <w:spacing w:after="0"/>
              <w:rPr>
                <w:sz w:val="1"/>
                <w:szCs w:val="1"/>
                <w:color w:val="auto"/>
              </w:rPr>
            </w:pPr>
          </w:p>
        </w:tc>
      </w:tr>
      <w:tr>
        <w:trPr>
          <w:trHeight w:val="255"/>
        </w:trPr>
        <w:tc>
          <w:tcPr>
            <w:tcW w:w="2040" w:type="dxa"/>
            <w:vAlign w:val="bottom"/>
            <w:tcBorders>
              <w:bottom w:val="single" w:sz="8" w:color="DBDBDB"/>
            </w:tcBorders>
          </w:tcPr>
          <w:p>
            <w:pPr>
              <w:ind w:left="20"/>
              <w:spacing w:after="0"/>
              <w:rPr>
                <w:sz w:val="20"/>
                <w:szCs w:val="20"/>
                <w:color w:val="auto"/>
              </w:rPr>
            </w:pPr>
            <w:r>
              <w:rPr>
                <w:rFonts w:ascii="Arial" w:cs="Arial" w:eastAsia="Arial" w:hAnsi="Arial"/>
                <w:sz w:val="18"/>
                <w:szCs w:val="18"/>
                <w:color w:val="auto"/>
              </w:rPr>
              <w:t>Stacey E. Zengel</w:t>
            </w:r>
          </w:p>
        </w:tc>
        <w:tc>
          <w:tcPr>
            <w:tcW w:w="2780" w:type="dxa"/>
            <w:vAlign w:val="bottom"/>
            <w:tcBorders>
              <w:bottom w:val="single" w:sz="8" w:color="DBDBDB"/>
            </w:tcBorders>
          </w:tcPr>
          <w:p>
            <w:pPr>
              <w:jc w:val="right"/>
              <w:ind w:right="70"/>
              <w:spacing w:after="0"/>
              <w:rPr>
                <w:sz w:val="20"/>
                <w:szCs w:val="20"/>
                <w:color w:val="auto"/>
              </w:rPr>
            </w:pPr>
            <w:r>
              <w:rPr>
                <w:rFonts w:ascii="Arial" w:cs="Arial" w:eastAsia="Arial" w:hAnsi="Arial"/>
                <w:sz w:val="18"/>
                <w:szCs w:val="18"/>
                <w:color w:val="auto"/>
              </w:rPr>
              <w:t>1,074,315</w:t>
            </w:r>
          </w:p>
        </w:tc>
        <w:tc>
          <w:tcPr>
            <w:tcW w:w="2100" w:type="dxa"/>
            <w:vAlign w:val="bottom"/>
            <w:tcBorders>
              <w:bottom w:val="single" w:sz="8" w:color="DBDBDB"/>
            </w:tcBorders>
          </w:tcPr>
          <w:p>
            <w:pPr>
              <w:jc w:val="right"/>
              <w:spacing w:after="0"/>
              <w:rPr>
                <w:sz w:val="20"/>
                <w:szCs w:val="20"/>
                <w:color w:val="auto"/>
              </w:rPr>
            </w:pPr>
            <w:r>
              <w:rPr>
                <w:rFonts w:ascii="Arial" w:cs="Arial" w:eastAsia="Arial" w:hAnsi="Arial"/>
                <w:sz w:val="18"/>
                <w:szCs w:val="18"/>
                <w:color w:val="auto"/>
              </w:rPr>
              <w:t>28,700</w:t>
            </w:r>
          </w:p>
        </w:tc>
        <w:tc>
          <w:tcPr>
            <w:tcW w:w="2520" w:type="dxa"/>
            <w:vAlign w:val="bottom"/>
            <w:tcBorders>
              <w:bottom w:val="single" w:sz="8" w:color="DBDBDB"/>
            </w:tcBorders>
          </w:tcPr>
          <w:p>
            <w:pPr>
              <w:jc w:val="right"/>
              <w:ind w:right="230"/>
              <w:spacing w:after="0"/>
              <w:rPr>
                <w:sz w:val="20"/>
                <w:szCs w:val="20"/>
                <w:color w:val="auto"/>
              </w:rPr>
            </w:pPr>
            <w:r>
              <w:rPr>
                <w:rFonts w:ascii="Arial" w:cs="Arial" w:eastAsia="Arial" w:hAnsi="Arial"/>
                <w:sz w:val="18"/>
                <w:szCs w:val="18"/>
                <w:color w:val="auto"/>
              </w:rPr>
              <w:t>618,591</w:t>
            </w:r>
          </w:p>
        </w:tc>
        <w:tc>
          <w:tcPr>
            <w:tcW w:w="1680" w:type="dxa"/>
            <w:vAlign w:val="bottom"/>
            <w:tcBorders>
              <w:bottom w:val="single" w:sz="8" w:color="DBDBDB"/>
            </w:tcBorders>
          </w:tcPr>
          <w:p>
            <w:pPr>
              <w:jc w:val="right"/>
              <w:spacing w:after="0"/>
              <w:rPr>
                <w:sz w:val="20"/>
                <w:szCs w:val="20"/>
                <w:color w:val="auto"/>
              </w:rPr>
            </w:pPr>
            <w:r>
              <w:rPr>
                <w:rFonts w:ascii="Arial" w:cs="Arial" w:eastAsia="Arial" w:hAnsi="Arial"/>
                <w:sz w:val="18"/>
                <w:szCs w:val="18"/>
                <w:color w:val="auto"/>
              </w:rPr>
              <w:t>1,721,606</w:t>
            </w:r>
          </w:p>
        </w:tc>
        <w:tc>
          <w:tcPr>
            <w:tcW w:w="0" w:type="dxa"/>
            <w:vAlign w:val="bottom"/>
          </w:tcPr>
          <w:p>
            <w:pPr>
              <w:spacing w:after="0"/>
              <w:rPr>
                <w:sz w:val="1"/>
                <w:szCs w:val="1"/>
                <w:color w:val="auto"/>
              </w:rPr>
            </w:pPr>
          </w:p>
        </w:tc>
      </w:tr>
    </w:tbl>
    <w:p>
      <w:pPr>
        <w:spacing w:after="0" w:line="329" w:lineRule="exact"/>
        <w:rPr>
          <w:sz w:val="20"/>
          <w:szCs w:val="20"/>
          <w:color w:val="auto"/>
        </w:rPr>
      </w:pPr>
    </w:p>
    <w:p>
      <w:pPr>
        <w:jc w:val="both"/>
        <w:spacing w:after="0" w:line="265" w:lineRule="auto"/>
        <w:rPr>
          <w:sz w:val="20"/>
          <w:szCs w:val="20"/>
          <w:color w:val="auto"/>
        </w:rPr>
      </w:pPr>
      <w:r>
        <w:rPr>
          <w:rFonts w:ascii="Arial" w:cs="Arial" w:eastAsia="Arial" w:hAnsi="Arial"/>
          <w:sz w:val="20"/>
          <w:szCs w:val="20"/>
          <w:color w:val="auto"/>
        </w:rPr>
        <w:t>Under the 2017 Annual Incentive Plan, the HC&amp;C Committee, in its sole discretion, has the option to accelerate time periods for purposes of vesting of, or receiving payment with respect to, an incentive award in connection with a change in control. The 2017 Annual Incentive Plan defines change in control to include (i) an acquisition of more than 50% of the common stock or the voting power of the Company, (ii) certain changes to the composition of the Board resulting in incumbent directors no longer constituting a majority of the Board, (iii) certain mergers or sales of all or substantially all of the Company’s assets, and (iv) stockholder approval of complete liquidation or dissolution of the Company.</w:t>
      </w:r>
    </w:p>
    <w:p>
      <w:pPr>
        <w:spacing w:after="0" w:line="204"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Death, Disability, Retirement, Termination without Cause and Resignation for Good Reason</w:t>
      </w:r>
    </w:p>
    <w:p>
      <w:pPr>
        <w:spacing w:after="0" w:line="256" w:lineRule="exact"/>
        <w:rPr>
          <w:sz w:val="20"/>
          <w:szCs w:val="20"/>
          <w:color w:val="auto"/>
        </w:rPr>
      </w:pPr>
    </w:p>
    <w:p>
      <w:pPr>
        <w:jc w:val="both"/>
        <w:spacing w:after="0" w:line="262" w:lineRule="auto"/>
        <w:rPr>
          <w:sz w:val="20"/>
          <w:szCs w:val="20"/>
          <w:color w:val="auto"/>
        </w:rPr>
      </w:pPr>
      <w:r>
        <w:rPr>
          <w:rFonts w:ascii="Arial" w:cs="Arial" w:eastAsia="Arial" w:hAnsi="Arial"/>
          <w:sz w:val="20"/>
          <w:szCs w:val="20"/>
          <w:color w:val="auto"/>
        </w:rPr>
        <w:t>The Severance Plan provides that each Named Executive who is terminated by the Company without “Cause” or who terminates their employment for “Good Reason” (both as defined in the Severance Plan) not in connection with a change in control, shall receive severance payments equal to two times the sum of current annual base salary for the Chief Executive Officer, paid ratably over two years, and one and a half times the annual base salary for other Named Executives, paid ratably over one and a half years. The Named Executives also receive a prorated amount of the annual bonus the Named Executive would have received for the current performance year had the Named Executive remained employed through the end of such performance year, paid in a single lump sum at the same time as annual bonus payments are made to active annual bonus participants for such performance year. In addition, the Named Executives receive a lump sum welfare benefit equal to the cost of health benefit continuation premiums for 18 months.</w:t>
      </w:r>
    </w:p>
    <w:p>
      <w:pPr>
        <w:spacing w:after="0" w:line="211" w:lineRule="exact"/>
        <w:rPr>
          <w:sz w:val="20"/>
          <w:szCs w:val="20"/>
          <w:color w:val="auto"/>
        </w:rPr>
      </w:pPr>
    </w:p>
    <w:p>
      <w:pPr>
        <w:jc w:val="both"/>
        <w:spacing w:after="0" w:line="269" w:lineRule="auto"/>
        <w:rPr>
          <w:sz w:val="20"/>
          <w:szCs w:val="20"/>
          <w:color w:val="auto"/>
        </w:rPr>
      </w:pPr>
      <w:r>
        <w:rPr>
          <w:rFonts w:ascii="Arial" w:cs="Arial" w:eastAsia="Arial" w:hAnsi="Arial"/>
          <w:sz w:val="20"/>
          <w:szCs w:val="20"/>
          <w:color w:val="auto"/>
        </w:rPr>
        <w:t>In order for a Named Executive to receive severance benefits under the Severance Plan, the Named Executive must execute and not revoke an effective release of claims and comply with a two-year post-employment non-competition covenant, a two-year post-employment customer and employee non-solicitation covenant, and a continuous non-disparagement covenant, as well as any other confidentiality agreements or other agreements between the Named Executive and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27940</wp:posOffset>
            </wp:positionV>
            <wp:extent cx="7132320" cy="3511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32320" cy="351155"/>
                    </a:xfrm>
                    <a:prstGeom prst="rect">
                      <a:avLst/>
                    </a:prstGeom>
                    <a:noFill/>
                  </pic:spPr>
                </pic:pic>
              </a:graphicData>
            </a:graphic>
          </wp:anchor>
        </w:drawing>
      </w:r>
    </w:p>
    <w:p>
      <w:pPr>
        <w:spacing w:after="0" w:line="234" w:lineRule="exact"/>
        <w:rPr>
          <w:sz w:val="20"/>
          <w:szCs w:val="20"/>
          <w:color w:val="auto"/>
        </w:rPr>
      </w:pPr>
    </w:p>
    <w:p>
      <w:pPr>
        <w:ind w:left="9000"/>
        <w:spacing w:after="0"/>
        <w:tabs>
          <w:tab w:leader="none" w:pos="11000" w:val="left"/>
        </w:tabs>
        <w:rPr>
          <w:sz w:val="20"/>
          <w:szCs w:val="20"/>
          <w:color w:val="auto"/>
        </w:rPr>
      </w:pPr>
      <w:r>
        <w:rPr>
          <w:rFonts w:ascii="Arial" w:cs="Arial" w:eastAsia="Arial" w:hAnsi="Arial"/>
          <w:sz w:val="18"/>
          <w:szCs w:val="18"/>
          <w:color w:val="auto"/>
        </w:rPr>
        <w:t>2024 Proxy Statement</w:t>
      </w:r>
      <w:r>
        <w:rPr>
          <w:sz w:val="20"/>
          <w:szCs w:val="20"/>
          <w:color w:val="auto"/>
        </w:rPr>
        <w:tab/>
      </w:r>
      <w:r>
        <w:rPr>
          <w:rFonts w:ascii="Arial" w:cs="Arial" w:eastAsia="Arial" w:hAnsi="Arial"/>
          <w:sz w:val="17"/>
          <w:szCs w:val="17"/>
          <w:color w:val="1E3767"/>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262255</wp:posOffset>
            </wp:positionV>
            <wp:extent cx="7157720" cy="425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01" w:right="339" w:bottom="1440" w:gutter="0" w:footer="0" w:header="0"/>
        </w:sectPr>
      </w:pPr>
    </w:p>
    <w:bookmarkStart w:id="62" w:name="page63"/>
    <w:bookmarkEnd w:id="62"/>
    <w:p>
      <w:pPr>
        <w:jc w:val="both"/>
        <w:spacing w:after="0" w:line="286" w:lineRule="auto"/>
        <w:rPr>
          <w:sz w:val="20"/>
          <w:szCs w:val="20"/>
          <w:color w:val="auto"/>
        </w:rPr>
      </w:pPr>
      <w:r>
        <w:rPr>
          <w:rFonts w:ascii="Arial" w:cs="Arial" w:eastAsia="Arial" w:hAnsi="Arial"/>
          <w:sz w:val="20"/>
          <w:szCs w:val="20"/>
          <w:color w:val="auto"/>
        </w:rPr>
        <w:t>The table below reflects the cash severance benefit payments and estimated welfare benefit payments that would be paid under the Severance Plan, as if the triggering events occurred on June 30, 2024, the last day of the last completed fiscal year.</w:t>
      </w:r>
    </w:p>
    <w:p>
      <w:pPr>
        <w:spacing w:after="0" w:line="185" w:lineRule="exact"/>
        <w:rPr>
          <w:sz w:val="20"/>
          <w:szCs w:val="20"/>
          <w:color w:val="auto"/>
        </w:rPr>
      </w:pPr>
    </w:p>
    <w:tbl>
      <w:tblPr>
        <w:tblLayout w:type="fixed"/>
        <w:tblInd w:w="1180" w:type="dxa"/>
        <w:tblCellMar>
          <w:top w:w="0" w:type="dxa"/>
          <w:left w:w="0" w:type="dxa"/>
          <w:bottom w:w="0" w:type="dxa"/>
          <w:right w:w="0" w:type="dxa"/>
        </w:tblCellMar>
      </w:tblPr>
      <w:tr>
        <w:trPr>
          <w:trHeight w:val="207"/>
        </w:trPr>
        <w:tc>
          <w:tcPr>
            <w:tcW w:w="2040" w:type="dxa"/>
            <w:vAlign w:val="bottom"/>
            <w:vMerge w:val="restart"/>
            <w:shd w:val="clear" w:color="auto" w:fill="E8F7F7"/>
          </w:tcPr>
          <w:p>
            <w:pPr>
              <w:ind w:left="20"/>
              <w:spacing w:after="0"/>
              <w:rPr>
                <w:sz w:val="20"/>
                <w:szCs w:val="20"/>
                <w:color w:val="auto"/>
              </w:rPr>
            </w:pPr>
            <w:r>
              <w:rPr>
                <w:rFonts w:ascii="Arial" w:cs="Arial" w:eastAsia="Arial" w:hAnsi="Arial"/>
                <w:sz w:val="18"/>
                <w:szCs w:val="18"/>
                <w:b w:val="1"/>
                <w:bCs w:val="1"/>
                <w:color w:val="auto"/>
              </w:rPr>
              <w:t>Name</w:t>
            </w:r>
          </w:p>
        </w:tc>
        <w:tc>
          <w:tcPr>
            <w:tcW w:w="2800" w:type="dxa"/>
            <w:vAlign w:val="bottom"/>
            <w:shd w:val="clear" w:color="auto" w:fill="E8F7F7"/>
          </w:tcPr>
          <w:p>
            <w:pPr>
              <w:jc w:val="right"/>
              <w:ind w:right="90"/>
              <w:spacing w:after="0"/>
              <w:rPr>
                <w:sz w:val="20"/>
                <w:szCs w:val="20"/>
                <w:color w:val="auto"/>
              </w:rPr>
            </w:pPr>
            <w:r>
              <w:rPr>
                <w:rFonts w:ascii="Arial" w:cs="Arial" w:eastAsia="Arial" w:hAnsi="Arial"/>
                <w:sz w:val="18"/>
                <w:szCs w:val="18"/>
                <w:b w:val="1"/>
                <w:bCs w:val="1"/>
                <w:color w:val="auto"/>
              </w:rPr>
              <w:t>Cash Payment Severance</w:t>
            </w:r>
          </w:p>
        </w:tc>
        <w:tc>
          <w:tcPr>
            <w:tcW w:w="2380" w:type="dxa"/>
            <w:vAlign w:val="bottom"/>
            <w:vMerge w:val="restart"/>
            <w:shd w:val="clear" w:color="auto" w:fill="E8F7F7"/>
          </w:tcPr>
          <w:p>
            <w:pPr>
              <w:jc w:val="right"/>
              <w:ind w:right="550"/>
              <w:spacing w:after="0"/>
              <w:rPr>
                <w:sz w:val="20"/>
                <w:szCs w:val="20"/>
                <w:color w:val="auto"/>
              </w:rPr>
            </w:pPr>
            <w:r>
              <w:rPr>
                <w:rFonts w:ascii="Arial" w:cs="Arial" w:eastAsia="Arial" w:hAnsi="Arial"/>
                <w:sz w:val="18"/>
                <w:szCs w:val="18"/>
                <w:b w:val="1"/>
                <w:bCs w:val="1"/>
                <w:color w:val="auto"/>
              </w:rPr>
              <w:t>Welfare Benefit ($)</w:t>
            </w:r>
          </w:p>
        </w:tc>
        <w:tc>
          <w:tcPr>
            <w:tcW w:w="1660" w:type="dxa"/>
            <w:vAlign w:val="bottom"/>
            <w:vMerge w:val="restart"/>
            <w:shd w:val="clear" w:color="auto" w:fill="E8F7F7"/>
          </w:tcPr>
          <w:p>
            <w:pPr>
              <w:jc w:val="right"/>
              <w:ind w:right="550"/>
              <w:spacing w:after="0"/>
              <w:rPr>
                <w:sz w:val="20"/>
                <w:szCs w:val="20"/>
                <w:color w:val="auto"/>
              </w:rPr>
            </w:pPr>
            <w:r>
              <w:rPr>
                <w:rFonts w:ascii="Arial" w:cs="Arial" w:eastAsia="Arial" w:hAnsi="Arial"/>
                <w:sz w:val="18"/>
                <w:szCs w:val="18"/>
                <w:b w:val="1"/>
                <w:bCs w:val="1"/>
                <w:color w:val="auto"/>
              </w:rPr>
              <w:t>Total ($)</w:t>
            </w:r>
          </w:p>
        </w:tc>
        <w:tc>
          <w:tcPr>
            <w:tcW w:w="0" w:type="dxa"/>
            <w:vAlign w:val="bottom"/>
          </w:tcPr>
          <w:p>
            <w:pPr>
              <w:spacing w:after="0"/>
              <w:rPr>
                <w:sz w:val="1"/>
                <w:szCs w:val="1"/>
                <w:color w:val="auto"/>
              </w:rPr>
            </w:pPr>
          </w:p>
        </w:tc>
      </w:tr>
      <w:tr>
        <w:trPr>
          <w:trHeight w:val="229"/>
        </w:trPr>
        <w:tc>
          <w:tcPr>
            <w:tcW w:w="2040" w:type="dxa"/>
            <w:vAlign w:val="bottom"/>
            <w:tcBorders>
              <w:bottom w:val="single" w:sz="8" w:color="auto"/>
            </w:tcBorders>
            <w:vMerge w:val="continue"/>
            <w:shd w:val="clear" w:color="auto" w:fill="E8F7F7"/>
          </w:tcPr>
          <w:p>
            <w:pPr>
              <w:spacing w:after="0"/>
              <w:rPr>
                <w:sz w:val="19"/>
                <w:szCs w:val="19"/>
                <w:color w:val="auto"/>
              </w:rPr>
            </w:pPr>
          </w:p>
        </w:tc>
        <w:tc>
          <w:tcPr>
            <w:tcW w:w="2800" w:type="dxa"/>
            <w:vAlign w:val="bottom"/>
            <w:tcBorders>
              <w:bottom w:val="single" w:sz="8" w:color="auto"/>
            </w:tcBorders>
            <w:shd w:val="clear" w:color="auto" w:fill="E8F7F7"/>
          </w:tcPr>
          <w:p>
            <w:pPr>
              <w:jc w:val="right"/>
              <w:ind w:right="750"/>
              <w:spacing w:after="0"/>
              <w:rPr>
                <w:sz w:val="20"/>
                <w:szCs w:val="20"/>
                <w:color w:val="auto"/>
              </w:rPr>
            </w:pPr>
            <w:r>
              <w:rPr>
                <w:rFonts w:ascii="Arial" w:cs="Arial" w:eastAsia="Arial" w:hAnsi="Arial"/>
                <w:sz w:val="18"/>
                <w:szCs w:val="18"/>
                <w:b w:val="1"/>
                <w:bCs w:val="1"/>
                <w:color w:val="auto"/>
              </w:rPr>
              <w:t>Benefit ($)</w:t>
            </w:r>
          </w:p>
        </w:tc>
        <w:tc>
          <w:tcPr>
            <w:tcW w:w="2380" w:type="dxa"/>
            <w:vAlign w:val="bottom"/>
            <w:tcBorders>
              <w:bottom w:val="single" w:sz="8" w:color="auto"/>
            </w:tcBorders>
            <w:vMerge w:val="continue"/>
            <w:shd w:val="clear" w:color="auto" w:fill="E8F7F7"/>
          </w:tcPr>
          <w:p>
            <w:pPr>
              <w:spacing w:after="0"/>
              <w:rPr>
                <w:sz w:val="19"/>
                <w:szCs w:val="19"/>
                <w:color w:val="auto"/>
              </w:rPr>
            </w:pPr>
          </w:p>
        </w:tc>
        <w:tc>
          <w:tcPr>
            <w:tcW w:w="1660" w:type="dxa"/>
            <w:vAlign w:val="bottom"/>
            <w:tcBorders>
              <w:bottom w:val="single" w:sz="8" w:color="auto"/>
            </w:tcBorders>
            <w:vMerge w:val="continue"/>
            <w:shd w:val="clear" w:color="auto" w:fill="E8F7F7"/>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2040" w:type="dxa"/>
            <w:vAlign w:val="bottom"/>
            <w:tcBorders>
              <w:bottom w:val="single" w:sz="8" w:color="DBDBDB"/>
            </w:tcBorders>
          </w:tcPr>
          <w:p>
            <w:pPr>
              <w:ind w:left="20"/>
              <w:spacing w:after="0"/>
              <w:rPr>
                <w:sz w:val="20"/>
                <w:szCs w:val="20"/>
                <w:color w:val="auto"/>
              </w:rPr>
            </w:pPr>
            <w:r>
              <w:rPr>
                <w:rFonts w:ascii="Arial" w:cs="Arial" w:eastAsia="Arial" w:hAnsi="Arial"/>
                <w:sz w:val="18"/>
                <w:szCs w:val="18"/>
                <w:color w:val="auto"/>
              </w:rPr>
              <w:t>David B. Foss</w:t>
            </w:r>
          </w:p>
        </w:tc>
        <w:tc>
          <w:tcPr>
            <w:tcW w:w="2800" w:type="dxa"/>
            <w:vAlign w:val="bottom"/>
            <w:tcBorders>
              <w:bottom w:val="single" w:sz="8" w:color="DBDBDB"/>
            </w:tcBorders>
          </w:tcPr>
          <w:p>
            <w:pPr>
              <w:jc w:val="right"/>
              <w:ind w:right="90"/>
              <w:spacing w:after="0"/>
              <w:rPr>
                <w:sz w:val="20"/>
                <w:szCs w:val="20"/>
                <w:color w:val="auto"/>
              </w:rPr>
            </w:pPr>
            <w:r>
              <w:rPr>
                <w:rFonts w:ascii="Arial" w:cs="Arial" w:eastAsia="Arial" w:hAnsi="Arial"/>
                <w:sz w:val="18"/>
                <w:szCs w:val="18"/>
                <w:color w:val="auto"/>
              </w:rPr>
              <w:t>3,027,500</w:t>
            </w:r>
          </w:p>
        </w:tc>
        <w:tc>
          <w:tcPr>
            <w:tcW w:w="2380" w:type="dxa"/>
            <w:vAlign w:val="bottom"/>
            <w:tcBorders>
              <w:bottom w:val="single" w:sz="8" w:color="DBDBDB"/>
            </w:tcBorders>
          </w:tcPr>
          <w:p>
            <w:pPr>
              <w:jc w:val="right"/>
              <w:ind w:right="250"/>
              <w:spacing w:after="0"/>
              <w:rPr>
                <w:sz w:val="20"/>
                <w:szCs w:val="20"/>
                <w:color w:val="auto"/>
              </w:rPr>
            </w:pPr>
            <w:r>
              <w:rPr>
                <w:rFonts w:ascii="Arial" w:cs="Arial" w:eastAsia="Arial" w:hAnsi="Arial"/>
                <w:sz w:val="18"/>
                <w:szCs w:val="18"/>
                <w:color w:val="auto"/>
              </w:rPr>
              <w:t>28,701</w:t>
            </w:r>
          </w:p>
        </w:tc>
        <w:tc>
          <w:tcPr>
            <w:tcW w:w="1660" w:type="dxa"/>
            <w:vAlign w:val="bottom"/>
            <w:tcBorders>
              <w:bottom w:val="single" w:sz="8" w:color="DBDBDB"/>
            </w:tcBorders>
          </w:tcPr>
          <w:p>
            <w:pPr>
              <w:jc w:val="right"/>
              <w:spacing w:after="0"/>
              <w:rPr>
                <w:sz w:val="20"/>
                <w:szCs w:val="20"/>
                <w:color w:val="auto"/>
              </w:rPr>
            </w:pPr>
            <w:r>
              <w:rPr>
                <w:rFonts w:ascii="Arial" w:cs="Arial" w:eastAsia="Arial" w:hAnsi="Arial"/>
                <w:sz w:val="18"/>
                <w:szCs w:val="18"/>
                <w:color w:val="auto"/>
              </w:rPr>
              <w:t>3,056,201</w:t>
            </w:r>
          </w:p>
        </w:tc>
        <w:tc>
          <w:tcPr>
            <w:tcW w:w="0" w:type="dxa"/>
            <w:vAlign w:val="bottom"/>
          </w:tcPr>
          <w:p>
            <w:pPr>
              <w:spacing w:after="0"/>
              <w:rPr>
                <w:sz w:val="1"/>
                <w:szCs w:val="1"/>
                <w:color w:val="auto"/>
              </w:rPr>
            </w:pPr>
          </w:p>
        </w:tc>
      </w:tr>
      <w:tr>
        <w:trPr>
          <w:trHeight w:val="250"/>
        </w:trPr>
        <w:tc>
          <w:tcPr>
            <w:tcW w:w="2040" w:type="dxa"/>
            <w:vAlign w:val="bottom"/>
            <w:tcBorders>
              <w:bottom w:val="single" w:sz="8" w:color="DBDBDB"/>
            </w:tcBorders>
            <w:shd w:val="clear" w:color="auto" w:fill="E7ECF0"/>
          </w:tcPr>
          <w:p>
            <w:pPr>
              <w:ind w:left="20"/>
              <w:spacing w:after="0"/>
              <w:rPr>
                <w:sz w:val="20"/>
                <w:szCs w:val="20"/>
                <w:color w:val="auto"/>
              </w:rPr>
            </w:pPr>
            <w:r>
              <w:rPr>
                <w:rFonts w:ascii="Arial" w:cs="Arial" w:eastAsia="Arial" w:hAnsi="Arial"/>
                <w:sz w:val="18"/>
                <w:szCs w:val="18"/>
                <w:color w:val="auto"/>
              </w:rPr>
              <w:t>Gregory R. Adelson</w:t>
            </w:r>
          </w:p>
        </w:tc>
        <w:tc>
          <w:tcPr>
            <w:tcW w:w="2800" w:type="dxa"/>
            <w:vAlign w:val="bottom"/>
            <w:tcBorders>
              <w:bottom w:val="single" w:sz="8" w:color="DBDBDB"/>
            </w:tcBorders>
            <w:shd w:val="clear" w:color="auto" w:fill="E7ECF0"/>
          </w:tcPr>
          <w:p>
            <w:pPr>
              <w:jc w:val="right"/>
              <w:ind w:right="90"/>
              <w:spacing w:after="0"/>
              <w:rPr>
                <w:sz w:val="20"/>
                <w:szCs w:val="20"/>
                <w:color w:val="auto"/>
              </w:rPr>
            </w:pPr>
            <w:r>
              <w:rPr>
                <w:rFonts w:ascii="Arial" w:cs="Arial" w:eastAsia="Arial" w:hAnsi="Arial"/>
                <w:sz w:val="18"/>
                <w:szCs w:val="18"/>
                <w:color w:val="auto"/>
              </w:rPr>
              <w:t>1,466,250</w:t>
            </w:r>
          </w:p>
        </w:tc>
        <w:tc>
          <w:tcPr>
            <w:tcW w:w="2380" w:type="dxa"/>
            <w:vAlign w:val="bottom"/>
            <w:tcBorders>
              <w:bottom w:val="single" w:sz="8" w:color="DBDBDB"/>
            </w:tcBorders>
            <w:shd w:val="clear" w:color="auto" w:fill="E7ECF0"/>
          </w:tcPr>
          <w:p>
            <w:pPr>
              <w:jc w:val="right"/>
              <w:ind w:right="250"/>
              <w:spacing w:after="0"/>
              <w:rPr>
                <w:sz w:val="20"/>
                <w:szCs w:val="20"/>
                <w:color w:val="auto"/>
              </w:rPr>
            </w:pPr>
            <w:r>
              <w:rPr>
                <w:rFonts w:ascii="Arial" w:cs="Arial" w:eastAsia="Arial" w:hAnsi="Arial"/>
                <w:sz w:val="18"/>
                <w:szCs w:val="18"/>
                <w:color w:val="auto"/>
              </w:rPr>
              <w:t>46,979</w:t>
            </w:r>
          </w:p>
        </w:tc>
        <w:tc>
          <w:tcPr>
            <w:tcW w:w="1660" w:type="dxa"/>
            <w:vAlign w:val="bottom"/>
            <w:tcBorders>
              <w:bottom w:val="single" w:sz="8" w:color="DBDBDB"/>
            </w:tcBorders>
            <w:shd w:val="clear" w:color="auto" w:fill="E7ECF0"/>
          </w:tcPr>
          <w:p>
            <w:pPr>
              <w:jc w:val="right"/>
              <w:spacing w:after="0"/>
              <w:rPr>
                <w:sz w:val="20"/>
                <w:szCs w:val="20"/>
                <w:color w:val="auto"/>
              </w:rPr>
            </w:pPr>
            <w:r>
              <w:rPr>
                <w:rFonts w:ascii="Arial" w:cs="Arial" w:eastAsia="Arial" w:hAnsi="Arial"/>
                <w:sz w:val="18"/>
                <w:szCs w:val="18"/>
                <w:color w:val="auto"/>
              </w:rPr>
              <w:t>1,513,229</w:t>
            </w:r>
          </w:p>
        </w:tc>
        <w:tc>
          <w:tcPr>
            <w:tcW w:w="0" w:type="dxa"/>
            <w:vAlign w:val="bottom"/>
          </w:tcPr>
          <w:p>
            <w:pPr>
              <w:spacing w:after="0"/>
              <w:rPr>
                <w:sz w:val="1"/>
                <w:szCs w:val="1"/>
                <w:color w:val="auto"/>
              </w:rPr>
            </w:pPr>
          </w:p>
        </w:tc>
      </w:tr>
      <w:tr>
        <w:trPr>
          <w:trHeight w:val="250"/>
        </w:trPr>
        <w:tc>
          <w:tcPr>
            <w:tcW w:w="2040" w:type="dxa"/>
            <w:vAlign w:val="bottom"/>
            <w:tcBorders>
              <w:bottom w:val="single" w:sz="8" w:color="DBDBDB"/>
            </w:tcBorders>
          </w:tcPr>
          <w:p>
            <w:pPr>
              <w:ind w:left="20"/>
              <w:spacing w:after="0"/>
              <w:rPr>
                <w:sz w:val="20"/>
                <w:szCs w:val="20"/>
                <w:color w:val="auto"/>
              </w:rPr>
            </w:pPr>
            <w:r>
              <w:rPr>
                <w:rFonts w:ascii="Arial" w:cs="Arial" w:eastAsia="Arial" w:hAnsi="Arial"/>
                <w:sz w:val="18"/>
                <w:szCs w:val="18"/>
                <w:color w:val="auto"/>
              </w:rPr>
              <w:t>Mimi L. Carsley</w:t>
            </w:r>
          </w:p>
        </w:tc>
        <w:tc>
          <w:tcPr>
            <w:tcW w:w="2800" w:type="dxa"/>
            <w:vAlign w:val="bottom"/>
            <w:tcBorders>
              <w:bottom w:val="single" w:sz="8" w:color="DBDBDB"/>
            </w:tcBorders>
          </w:tcPr>
          <w:p>
            <w:pPr>
              <w:jc w:val="right"/>
              <w:ind w:right="90"/>
              <w:spacing w:after="0"/>
              <w:rPr>
                <w:sz w:val="20"/>
                <w:szCs w:val="20"/>
                <w:color w:val="auto"/>
              </w:rPr>
            </w:pPr>
            <w:r>
              <w:rPr>
                <w:rFonts w:ascii="Arial" w:cs="Arial" w:eastAsia="Arial" w:hAnsi="Arial"/>
                <w:sz w:val="18"/>
                <w:szCs w:val="18"/>
                <w:color w:val="auto"/>
              </w:rPr>
              <w:t>1,294,375</w:t>
            </w:r>
          </w:p>
        </w:tc>
        <w:tc>
          <w:tcPr>
            <w:tcW w:w="2380" w:type="dxa"/>
            <w:vAlign w:val="bottom"/>
            <w:tcBorders>
              <w:bottom w:val="single" w:sz="8" w:color="DBDBDB"/>
            </w:tcBorders>
          </w:tcPr>
          <w:p>
            <w:pPr>
              <w:jc w:val="right"/>
              <w:ind w:right="250"/>
              <w:spacing w:after="0"/>
              <w:rPr>
                <w:sz w:val="20"/>
                <w:szCs w:val="20"/>
                <w:color w:val="auto"/>
              </w:rPr>
            </w:pPr>
            <w:r>
              <w:rPr>
                <w:rFonts w:ascii="Arial" w:cs="Arial" w:eastAsia="Arial" w:hAnsi="Arial"/>
                <w:sz w:val="18"/>
                <w:szCs w:val="18"/>
                <w:color w:val="auto"/>
              </w:rPr>
              <w:t>43,812</w:t>
            </w:r>
          </w:p>
        </w:tc>
        <w:tc>
          <w:tcPr>
            <w:tcW w:w="1660" w:type="dxa"/>
            <w:vAlign w:val="bottom"/>
            <w:tcBorders>
              <w:bottom w:val="single" w:sz="8" w:color="DBDBDB"/>
            </w:tcBorders>
          </w:tcPr>
          <w:p>
            <w:pPr>
              <w:jc w:val="right"/>
              <w:spacing w:after="0"/>
              <w:rPr>
                <w:sz w:val="20"/>
                <w:szCs w:val="20"/>
                <w:color w:val="auto"/>
              </w:rPr>
            </w:pPr>
            <w:r>
              <w:rPr>
                <w:rFonts w:ascii="Arial" w:cs="Arial" w:eastAsia="Arial" w:hAnsi="Arial"/>
                <w:sz w:val="18"/>
                <w:szCs w:val="18"/>
                <w:color w:val="auto"/>
              </w:rPr>
              <w:t>1,338,187</w:t>
            </w:r>
          </w:p>
        </w:tc>
        <w:tc>
          <w:tcPr>
            <w:tcW w:w="0" w:type="dxa"/>
            <w:vAlign w:val="bottom"/>
          </w:tcPr>
          <w:p>
            <w:pPr>
              <w:spacing w:after="0"/>
              <w:rPr>
                <w:sz w:val="1"/>
                <w:szCs w:val="1"/>
                <w:color w:val="auto"/>
              </w:rPr>
            </w:pPr>
          </w:p>
        </w:tc>
      </w:tr>
      <w:tr>
        <w:trPr>
          <w:trHeight w:val="250"/>
        </w:trPr>
        <w:tc>
          <w:tcPr>
            <w:tcW w:w="2040" w:type="dxa"/>
            <w:vAlign w:val="bottom"/>
            <w:tcBorders>
              <w:bottom w:val="single" w:sz="8" w:color="DBDBDB"/>
            </w:tcBorders>
            <w:shd w:val="clear" w:color="auto" w:fill="E7ECF0"/>
          </w:tcPr>
          <w:p>
            <w:pPr>
              <w:ind w:left="20"/>
              <w:spacing w:after="0"/>
              <w:rPr>
                <w:sz w:val="20"/>
                <w:szCs w:val="20"/>
                <w:color w:val="auto"/>
              </w:rPr>
            </w:pPr>
            <w:r>
              <w:rPr>
                <w:rFonts w:ascii="Arial" w:cs="Arial" w:eastAsia="Arial" w:hAnsi="Arial"/>
                <w:sz w:val="18"/>
                <w:szCs w:val="18"/>
                <w:color w:val="auto"/>
              </w:rPr>
              <w:t>Craig K. Morgan</w:t>
            </w:r>
          </w:p>
        </w:tc>
        <w:tc>
          <w:tcPr>
            <w:tcW w:w="2800" w:type="dxa"/>
            <w:vAlign w:val="bottom"/>
            <w:tcBorders>
              <w:bottom w:val="single" w:sz="8" w:color="DBDBDB"/>
            </w:tcBorders>
            <w:shd w:val="clear" w:color="auto" w:fill="E7ECF0"/>
          </w:tcPr>
          <w:p>
            <w:pPr>
              <w:jc w:val="right"/>
              <w:ind w:right="90"/>
              <w:spacing w:after="0"/>
              <w:rPr>
                <w:sz w:val="20"/>
                <w:szCs w:val="20"/>
                <w:color w:val="auto"/>
              </w:rPr>
            </w:pPr>
            <w:r>
              <w:rPr>
                <w:rFonts w:ascii="Arial" w:cs="Arial" w:eastAsia="Arial" w:hAnsi="Arial"/>
                <w:sz w:val="18"/>
                <w:szCs w:val="18"/>
                <w:color w:val="auto"/>
              </w:rPr>
              <w:t>1,052,640</w:t>
            </w:r>
          </w:p>
        </w:tc>
        <w:tc>
          <w:tcPr>
            <w:tcW w:w="2380" w:type="dxa"/>
            <w:vAlign w:val="bottom"/>
            <w:tcBorders>
              <w:bottom w:val="single" w:sz="8" w:color="DBDBDB"/>
            </w:tcBorders>
            <w:shd w:val="clear" w:color="auto" w:fill="E7ECF0"/>
          </w:tcPr>
          <w:p>
            <w:pPr>
              <w:jc w:val="right"/>
              <w:ind w:right="250"/>
              <w:spacing w:after="0"/>
              <w:rPr>
                <w:sz w:val="20"/>
                <w:szCs w:val="20"/>
                <w:color w:val="auto"/>
              </w:rPr>
            </w:pPr>
            <w:r>
              <w:rPr>
                <w:rFonts w:ascii="Arial" w:cs="Arial" w:eastAsia="Arial" w:hAnsi="Arial"/>
                <w:sz w:val="18"/>
                <w:szCs w:val="18"/>
                <w:color w:val="auto"/>
              </w:rPr>
              <w:t>28,375</w:t>
            </w:r>
          </w:p>
        </w:tc>
        <w:tc>
          <w:tcPr>
            <w:tcW w:w="1660" w:type="dxa"/>
            <w:vAlign w:val="bottom"/>
            <w:tcBorders>
              <w:bottom w:val="single" w:sz="8" w:color="DBDBDB"/>
            </w:tcBorders>
            <w:shd w:val="clear" w:color="auto" w:fill="E7ECF0"/>
          </w:tcPr>
          <w:p>
            <w:pPr>
              <w:jc w:val="right"/>
              <w:spacing w:after="0"/>
              <w:rPr>
                <w:sz w:val="20"/>
                <w:szCs w:val="20"/>
                <w:color w:val="auto"/>
              </w:rPr>
            </w:pPr>
            <w:r>
              <w:rPr>
                <w:rFonts w:ascii="Arial" w:cs="Arial" w:eastAsia="Arial" w:hAnsi="Arial"/>
                <w:sz w:val="18"/>
                <w:szCs w:val="18"/>
                <w:color w:val="auto"/>
              </w:rPr>
              <w:t>1,081,015</w:t>
            </w:r>
          </w:p>
        </w:tc>
        <w:tc>
          <w:tcPr>
            <w:tcW w:w="0" w:type="dxa"/>
            <w:vAlign w:val="bottom"/>
          </w:tcPr>
          <w:p>
            <w:pPr>
              <w:spacing w:after="0"/>
              <w:rPr>
                <w:sz w:val="1"/>
                <w:szCs w:val="1"/>
                <w:color w:val="auto"/>
              </w:rPr>
            </w:pPr>
          </w:p>
        </w:tc>
      </w:tr>
      <w:tr>
        <w:trPr>
          <w:trHeight w:val="250"/>
        </w:trPr>
        <w:tc>
          <w:tcPr>
            <w:tcW w:w="2040" w:type="dxa"/>
            <w:vAlign w:val="bottom"/>
            <w:tcBorders>
              <w:bottom w:val="single" w:sz="8" w:color="DBDBDB"/>
            </w:tcBorders>
          </w:tcPr>
          <w:p>
            <w:pPr>
              <w:ind w:left="20"/>
              <w:spacing w:after="0"/>
              <w:rPr>
                <w:sz w:val="20"/>
                <w:szCs w:val="20"/>
                <w:color w:val="auto"/>
              </w:rPr>
            </w:pPr>
            <w:r>
              <w:rPr>
                <w:rFonts w:ascii="Arial" w:cs="Arial" w:eastAsia="Arial" w:hAnsi="Arial"/>
                <w:sz w:val="18"/>
                <w:szCs w:val="18"/>
                <w:color w:val="auto"/>
              </w:rPr>
              <w:t>Stacey E. Zengel</w:t>
            </w:r>
          </w:p>
        </w:tc>
        <w:tc>
          <w:tcPr>
            <w:tcW w:w="2800" w:type="dxa"/>
            <w:vAlign w:val="bottom"/>
            <w:tcBorders>
              <w:bottom w:val="single" w:sz="8" w:color="DBDBDB"/>
            </w:tcBorders>
          </w:tcPr>
          <w:p>
            <w:pPr>
              <w:jc w:val="right"/>
              <w:ind w:right="90"/>
              <w:spacing w:after="0"/>
              <w:rPr>
                <w:sz w:val="20"/>
                <w:szCs w:val="20"/>
                <w:color w:val="auto"/>
              </w:rPr>
            </w:pPr>
            <w:r>
              <w:rPr>
                <w:rFonts w:ascii="Arial" w:cs="Arial" w:eastAsia="Arial" w:hAnsi="Arial"/>
                <w:sz w:val="18"/>
                <w:szCs w:val="18"/>
                <w:color w:val="auto"/>
              </w:rPr>
              <w:t>781,320</w:t>
            </w:r>
          </w:p>
        </w:tc>
        <w:tc>
          <w:tcPr>
            <w:tcW w:w="2380" w:type="dxa"/>
            <w:vAlign w:val="bottom"/>
            <w:tcBorders>
              <w:bottom w:val="single" w:sz="8" w:color="DBDBDB"/>
            </w:tcBorders>
          </w:tcPr>
          <w:p>
            <w:pPr>
              <w:jc w:val="right"/>
              <w:ind w:right="250"/>
              <w:spacing w:after="0"/>
              <w:rPr>
                <w:sz w:val="20"/>
                <w:szCs w:val="20"/>
                <w:color w:val="auto"/>
              </w:rPr>
            </w:pPr>
            <w:r>
              <w:rPr>
                <w:rFonts w:ascii="Arial" w:cs="Arial" w:eastAsia="Arial" w:hAnsi="Arial"/>
                <w:sz w:val="18"/>
                <w:szCs w:val="18"/>
                <w:color w:val="auto"/>
              </w:rPr>
              <w:t>28,700</w:t>
            </w:r>
          </w:p>
        </w:tc>
        <w:tc>
          <w:tcPr>
            <w:tcW w:w="1660" w:type="dxa"/>
            <w:vAlign w:val="bottom"/>
            <w:tcBorders>
              <w:bottom w:val="single" w:sz="8" w:color="DBDBDB"/>
            </w:tcBorders>
          </w:tcPr>
          <w:p>
            <w:pPr>
              <w:jc w:val="right"/>
              <w:spacing w:after="0"/>
              <w:rPr>
                <w:sz w:val="20"/>
                <w:szCs w:val="20"/>
                <w:color w:val="auto"/>
              </w:rPr>
            </w:pPr>
            <w:r>
              <w:rPr>
                <w:rFonts w:ascii="Arial" w:cs="Arial" w:eastAsia="Arial" w:hAnsi="Arial"/>
                <w:sz w:val="18"/>
                <w:szCs w:val="18"/>
                <w:color w:val="auto"/>
              </w:rPr>
              <w:t>810,020</w:t>
            </w:r>
          </w:p>
        </w:tc>
        <w:tc>
          <w:tcPr>
            <w:tcW w:w="0" w:type="dxa"/>
            <w:vAlign w:val="bottom"/>
          </w:tcPr>
          <w:p>
            <w:pPr>
              <w:spacing w:after="0"/>
              <w:rPr>
                <w:sz w:val="1"/>
                <w:szCs w:val="1"/>
                <w:color w:val="auto"/>
              </w:rPr>
            </w:pPr>
          </w:p>
        </w:tc>
      </w:tr>
    </w:tbl>
    <w:p>
      <w:pPr>
        <w:spacing w:after="0" w:line="316" w:lineRule="exact"/>
        <w:rPr>
          <w:sz w:val="20"/>
          <w:szCs w:val="20"/>
          <w:color w:val="auto"/>
        </w:rPr>
      </w:pPr>
    </w:p>
    <w:p>
      <w:pPr>
        <w:jc w:val="both"/>
        <w:spacing w:after="0" w:line="261" w:lineRule="auto"/>
        <w:rPr>
          <w:sz w:val="20"/>
          <w:szCs w:val="20"/>
          <w:color w:val="auto"/>
        </w:rPr>
      </w:pPr>
      <w:r>
        <w:rPr>
          <w:rFonts w:ascii="Arial" w:cs="Arial" w:eastAsia="Arial" w:hAnsi="Arial"/>
          <w:sz w:val="20"/>
          <w:szCs w:val="20"/>
          <w:color w:val="auto"/>
        </w:rPr>
        <w:t>Performance shares contain terms which allow for the pro-rata vesting of awards upon a Named Executive’s death, disability, or retirement based on full months of service following the grant date. Retirement is defined in the performance share awards as termination with the stated purpose of retirement, for which the grantee has provided the Company at least six months’ prior notice and occurs (1) on or after the age of 55 and following a minimum number of years of employment with the Company such that the grantee’s age plus the number of full years of employment with the Company equals or exceeds 72, or (2) on or after age 65. With respect to a Named Executive’s death, disability, or retirement during the term, at the end of the three-year term of the grant, the award will be calculated and a pro-rata portion will be settled to the grantee based on completed full months of service. For example, if an eligible grantee dies, becomes disabled, or retires 18 months after the start of the fiscal year for which the award was granted, he or she would be credited with 18 months of service and would be entitled to one-half of any amount that vests on performance measured at the end of the three-year grant.</w:t>
      </w:r>
    </w:p>
    <w:p>
      <w:pPr>
        <w:spacing w:after="0" w:line="226" w:lineRule="exact"/>
        <w:rPr>
          <w:sz w:val="20"/>
          <w:szCs w:val="20"/>
          <w:color w:val="auto"/>
        </w:rPr>
      </w:pPr>
    </w:p>
    <w:p>
      <w:pPr>
        <w:jc w:val="both"/>
        <w:spacing w:after="0" w:line="263" w:lineRule="auto"/>
        <w:rPr>
          <w:sz w:val="20"/>
          <w:szCs w:val="20"/>
          <w:color w:val="auto"/>
        </w:rPr>
      </w:pPr>
      <w:r>
        <w:rPr>
          <w:rFonts w:ascii="Arial" w:cs="Arial" w:eastAsia="Arial" w:hAnsi="Arial"/>
          <w:sz w:val="20"/>
          <w:szCs w:val="20"/>
          <w:color w:val="auto"/>
        </w:rPr>
        <w:t>The following table summarizes the severance benefits due to the Named Executives upon their death, disability, or retirement under their applicable performance share award agreements (in each case assuming their death, disability or retirement occurred on June 30, 2024). As of June 30, 2024, only Mr. Foss, Mr. Adelson, and Mr. Zengel were eligible for retirement under the performance share award definition. Mr. Zengel retired from the Company effective June 30, 2024. On the date of his retirement, Mr. Zengel qualified for the definition of retirement under his outstanding performance share awards. The below table shows the benefits actually due to Mr. Zengel under his outstanding performance share awards, assuming the TSR and other performance metrics occur at target.</w:t>
      </w:r>
    </w:p>
    <w:p>
      <w:pPr>
        <w:spacing w:after="0" w:line="242" w:lineRule="exact"/>
        <w:rPr>
          <w:sz w:val="20"/>
          <w:szCs w:val="20"/>
          <w:color w:val="auto"/>
        </w:rPr>
      </w:pPr>
    </w:p>
    <w:tbl>
      <w:tblPr>
        <w:tblLayout w:type="fixed"/>
        <w:tblInd w:w="2000" w:type="dxa"/>
        <w:tblCellMar>
          <w:top w:w="0" w:type="dxa"/>
          <w:left w:w="0" w:type="dxa"/>
          <w:bottom w:w="0" w:type="dxa"/>
          <w:right w:w="0" w:type="dxa"/>
        </w:tblCellMar>
      </w:tblPr>
      <w:tr>
        <w:trPr>
          <w:trHeight w:val="256"/>
        </w:trPr>
        <w:tc>
          <w:tcPr>
            <w:tcW w:w="2760" w:type="dxa"/>
            <w:vAlign w:val="bottom"/>
            <w:tcBorders>
              <w:bottom w:val="single" w:sz="8" w:color="auto"/>
            </w:tcBorders>
            <w:shd w:val="clear" w:color="auto" w:fill="E8F7F7"/>
          </w:tcPr>
          <w:p>
            <w:pPr>
              <w:ind w:left="20"/>
              <w:spacing w:after="0"/>
              <w:rPr>
                <w:sz w:val="20"/>
                <w:szCs w:val="20"/>
                <w:color w:val="auto"/>
              </w:rPr>
            </w:pPr>
            <w:r>
              <w:rPr>
                <w:rFonts w:ascii="Arial" w:cs="Arial" w:eastAsia="Arial" w:hAnsi="Arial"/>
                <w:sz w:val="18"/>
                <w:szCs w:val="18"/>
                <w:b w:val="1"/>
                <w:bCs w:val="1"/>
                <w:color w:val="auto"/>
              </w:rPr>
              <w:t>Name</w:t>
            </w:r>
          </w:p>
        </w:tc>
        <w:tc>
          <w:tcPr>
            <w:tcW w:w="4500" w:type="dxa"/>
            <w:vAlign w:val="bottom"/>
            <w:tcBorders>
              <w:bottom w:val="single" w:sz="8" w:color="auto"/>
            </w:tcBorders>
            <w:shd w:val="clear" w:color="auto" w:fill="E8F7F7"/>
          </w:tcPr>
          <w:p>
            <w:pPr>
              <w:jc w:val="right"/>
              <w:ind w:right="370"/>
              <w:spacing w:after="0"/>
              <w:rPr>
                <w:sz w:val="20"/>
                <w:szCs w:val="20"/>
                <w:color w:val="auto"/>
              </w:rPr>
            </w:pPr>
            <w:r>
              <w:rPr>
                <w:rFonts w:ascii="Arial" w:cs="Arial" w:eastAsia="Arial" w:hAnsi="Arial"/>
                <w:sz w:val="18"/>
                <w:szCs w:val="18"/>
                <w:b w:val="1"/>
                <w:bCs w:val="1"/>
                <w:color w:val="auto"/>
              </w:rPr>
              <w:t>Performance Share Vesting (1) ($)</w:t>
            </w:r>
          </w:p>
        </w:tc>
      </w:tr>
      <w:tr>
        <w:trPr>
          <w:trHeight w:val="250"/>
        </w:trPr>
        <w:tc>
          <w:tcPr>
            <w:tcW w:w="2760" w:type="dxa"/>
            <w:vAlign w:val="bottom"/>
            <w:tcBorders>
              <w:bottom w:val="single" w:sz="8" w:color="DBDBDB"/>
            </w:tcBorders>
          </w:tcPr>
          <w:p>
            <w:pPr>
              <w:ind w:left="20"/>
              <w:spacing w:after="0"/>
              <w:rPr>
                <w:sz w:val="20"/>
                <w:szCs w:val="20"/>
                <w:color w:val="auto"/>
              </w:rPr>
            </w:pPr>
            <w:r>
              <w:rPr>
                <w:rFonts w:ascii="Arial" w:cs="Arial" w:eastAsia="Arial" w:hAnsi="Arial"/>
                <w:sz w:val="18"/>
                <w:szCs w:val="18"/>
                <w:color w:val="auto"/>
              </w:rPr>
              <w:t>David B. Foss</w:t>
            </w:r>
          </w:p>
        </w:tc>
        <w:tc>
          <w:tcPr>
            <w:tcW w:w="4500" w:type="dxa"/>
            <w:vAlign w:val="bottom"/>
            <w:tcBorders>
              <w:bottom w:val="single" w:sz="8" w:color="DBDBDB"/>
            </w:tcBorders>
          </w:tcPr>
          <w:p>
            <w:pPr>
              <w:jc w:val="right"/>
              <w:spacing w:after="0"/>
              <w:rPr>
                <w:sz w:val="20"/>
                <w:szCs w:val="20"/>
                <w:color w:val="auto"/>
              </w:rPr>
            </w:pPr>
            <w:r>
              <w:rPr>
                <w:rFonts w:ascii="Arial" w:cs="Arial" w:eastAsia="Arial" w:hAnsi="Arial"/>
                <w:sz w:val="18"/>
                <w:szCs w:val="18"/>
                <w:color w:val="auto"/>
              </w:rPr>
              <w:t>7,818,767</w:t>
            </w:r>
          </w:p>
        </w:tc>
      </w:tr>
      <w:tr>
        <w:trPr>
          <w:trHeight w:val="250"/>
        </w:trPr>
        <w:tc>
          <w:tcPr>
            <w:tcW w:w="2760" w:type="dxa"/>
            <w:vAlign w:val="bottom"/>
            <w:tcBorders>
              <w:bottom w:val="single" w:sz="8" w:color="DBDBDB"/>
            </w:tcBorders>
            <w:shd w:val="clear" w:color="auto" w:fill="E7ECF0"/>
          </w:tcPr>
          <w:p>
            <w:pPr>
              <w:ind w:left="20"/>
              <w:spacing w:after="0"/>
              <w:rPr>
                <w:sz w:val="20"/>
                <w:szCs w:val="20"/>
                <w:color w:val="auto"/>
              </w:rPr>
            </w:pPr>
            <w:r>
              <w:rPr>
                <w:rFonts w:ascii="Arial" w:cs="Arial" w:eastAsia="Arial" w:hAnsi="Arial"/>
                <w:sz w:val="18"/>
                <w:szCs w:val="18"/>
                <w:color w:val="auto"/>
              </w:rPr>
              <w:t>Gregory R. Adelson</w:t>
            </w:r>
          </w:p>
        </w:tc>
        <w:tc>
          <w:tcPr>
            <w:tcW w:w="4500" w:type="dxa"/>
            <w:vAlign w:val="bottom"/>
            <w:tcBorders>
              <w:bottom w:val="single" w:sz="8" w:color="DBDBDB"/>
            </w:tcBorders>
            <w:shd w:val="clear" w:color="auto" w:fill="E7ECF0"/>
          </w:tcPr>
          <w:p>
            <w:pPr>
              <w:jc w:val="right"/>
              <w:spacing w:after="0"/>
              <w:rPr>
                <w:sz w:val="20"/>
                <w:szCs w:val="20"/>
                <w:color w:val="auto"/>
              </w:rPr>
            </w:pPr>
            <w:r>
              <w:rPr>
                <w:rFonts w:ascii="Arial" w:cs="Arial" w:eastAsia="Arial" w:hAnsi="Arial"/>
                <w:sz w:val="18"/>
                <w:szCs w:val="18"/>
                <w:color w:val="auto"/>
              </w:rPr>
              <w:t>1,391,912</w:t>
            </w:r>
          </w:p>
        </w:tc>
      </w:tr>
      <w:tr>
        <w:trPr>
          <w:trHeight w:val="250"/>
        </w:trPr>
        <w:tc>
          <w:tcPr>
            <w:tcW w:w="2760" w:type="dxa"/>
            <w:vAlign w:val="bottom"/>
            <w:tcBorders>
              <w:bottom w:val="single" w:sz="8" w:color="DBDBDB"/>
            </w:tcBorders>
          </w:tcPr>
          <w:p>
            <w:pPr>
              <w:ind w:left="20"/>
              <w:spacing w:after="0"/>
              <w:rPr>
                <w:sz w:val="20"/>
                <w:szCs w:val="20"/>
                <w:color w:val="auto"/>
              </w:rPr>
            </w:pPr>
            <w:r>
              <w:rPr>
                <w:rFonts w:ascii="Arial" w:cs="Arial" w:eastAsia="Arial" w:hAnsi="Arial"/>
                <w:sz w:val="18"/>
                <w:szCs w:val="18"/>
                <w:color w:val="auto"/>
              </w:rPr>
              <w:t>Mimi L. Carsley</w:t>
            </w:r>
          </w:p>
        </w:tc>
        <w:tc>
          <w:tcPr>
            <w:tcW w:w="4500" w:type="dxa"/>
            <w:vAlign w:val="bottom"/>
            <w:tcBorders>
              <w:bottom w:val="single" w:sz="8" w:color="DBDBDB"/>
            </w:tcBorders>
          </w:tcPr>
          <w:p>
            <w:pPr>
              <w:jc w:val="right"/>
              <w:spacing w:after="0"/>
              <w:rPr>
                <w:sz w:val="20"/>
                <w:szCs w:val="20"/>
                <w:color w:val="auto"/>
              </w:rPr>
            </w:pPr>
            <w:r>
              <w:rPr>
                <w:rFonts w:ascii="Arial" w:cs="Arial" w:eastAsia="Arial" w:hAnsi="Arial"/>
                <w:sz w:val="18"/>
                <w:szCs w:val="18"/>
                <w:color w:val="auto"/>
              </w:rPr>
              <w:t>602,597</w:t>
            </w:r>
          </w:p>
        </w:tc>
      </w:tr>
      <w:tr>
        <w:trPr>
          <w:trHeight w:val="250"/>
        </w:trPr>
        <w:tc>
          <w:tcPr>
            <w:tcW w:w="2760" w:type="dxa"/>
            <w:vAlign w:val="bottom"/>
            <w:tcBorders>
              <w:bottom w:val="single" w:sz="8" w:color="DBDBDB"/>
            </w:tcBorders>
            <w:shd w:val="clear" w:color="auto" w:fill="E7ECF0"/>
          </w:tcPr>
          <w:p>
            <w:pPr>
              <w:ind w:left="20"/>
              <w:spacing w:after="0"/>
              <w:rPr>
                <w:sz w:val="20"/>
                <w:szCs w:val="20"/>
                <w:color w:val="auto"/>
              </w:rPr>
            </w:pPr>
            <w:r>
              <w:rPr>
                <w:rFonts w:ascii="Arial" w:cs="Arial" w:eastAsia="Arial" w:hAnsi="Arial"/>
                <w:sz w:val="18"/>
                <w:szCs w:val="18"/>
                <w:color w:val="auto"/>
              </w:rPr>
              <w:t>Craig K. Morgan</w:t>
            </w:r>
          </w:p>
        </w:tc>
        <w:tc>
          <w:tcPr>
            <w:tcW w:w="4500" w:type="dxa"/>
            <w:vAlign w:val="bottom"/>
            <w:tcBorders>
              <w:bottom w:val="single" w:sz="8" w:color="DBDBDB"/>
            </w:tcBorders>
            <w:shd w:val="clear" w:color="auto" w:fill="E7ECF0"/>
          </w:tcPr>
          <w:p>
            <w:pPr>
              <w:jc w:val="right"/>
              <w:spacing w:after="0"/>
              <w:rPr>
                <w:sz w:val="20"/>
                <w:szCs w:val="20"/>
                <w:color w:val="auto"/>
              </w:rPr>
            </w:pPr>
            <w:r>
              <w:rPr>
                <w:rFonts w:ascii="Arial" w:cs="Arial" w:eastAsia="Arial" w:hAnsi="Arial"/>
                <w:sz w:val="18"/>
                <w:szCs w:val="18"/>
                <w:color w:val="auto"/>
              </w:rPr>
              <w:t>709,237</w:t>
            </w:r>
          </w:p>
        </w:tc>
      </w:tr>
      <w:tr>
        <w:trPr>
          <w:trHeight w:val="250"/>
        </w:trPr>
        <w:tc>
          <w:tcPr>
            <w:tcW w:w="2760" w:type="dxa"/>
            <w:vAlign w:val="bottom"/>
            <w:tcBorders>
              <w:bottom w:val="single" w:sz="8" w:color="DBDBDB"/>
            </w:tcBorders>
          </w:tcPr>
          <w:p>
            <w:pPr>
              <w:ind w:left="20"/>
              <w:spacing w:after="0"/>
              <w:rPr>
                <w:sz w:val="20"/>
                <w:szCs w:val="20"/>
                <w:color w:val="auto"/>
              </w:rPr>
            </w:pPr>
            <w:r>
              <w:rPr>
                <w:rFonts w:ascii="Arial" w:cs="Arial" w:eastAsia="Arial" w:hAnsi="Arial"/>
                <w:sz w:val="18"/>
                <w:szCs w:val="18"/>
                <w:color w:val="auto"/>
              </w:rPr>
              <w:t>Stacey E. Zengel</w:t>
            </w:r>
          </w:p>
        </w:tc>
        <w:tc>
          <w:tcPr>
            <w:tcW w:w="4500" w:type="dxa"/>
            <w:vAlign w:val="bottom"/>
            <w:tcBorders>
              <w:bottom w:val="single" w:sz="8" w:color="DBDBDB"/>
            </w:tcBorders>
          </w:tcPr>
          <w:p>
            <w:pPr>
              <w:jc w:val="right"/>
              <w:spacing w:after="0"/>
              <w:rPr>
                <w:sz w:val="20"/>
                <w:szCs w:val="20"/>
                <w:color w:val="auto"/>
              </w:rPr>
            </w:pPr>
            <w:r>
              <w:rPr>
                <w:rFonts w:ascii="Arial" w:cs="Arial" w:eastAsia="Arial" w:hAnsi="Arial"/>
                <w:sz w:val="18"/>
                <w:szCs w:val="18"/>
                <w:color w:val="auto"/>
              </w:rPr>
              <w:t>368,786</w:t>
            </w:r>
          </w:p>
        </w:tc>
      </w:tr>
    </w:tbl>
    <w:p>
      <w:pPr>
        <w:spacing w:after="0" w:line="184" w:lineRule="exact"/>
        <w:rPr>
          <w:sz w:val="20"/>
          <w:szCs w:val="20"/>
          <w:color w:val="auto"/>
        </w:rPr>
      </w:pPr>
    </w:p>
    <w:p>
      <w:pPr>
        <w:ind w:left="980" w:hanging="324"/>
        <w:spacing w:after="0" w:line="287" w:lineRule="auto"/>
        <w:tabs>
          <w:tab w:leader="none" w:pos="997"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These calculations represent the value of unvested performance share awards at June 30, 2024 based on the closing share price at that date that would become vested upon their death,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3511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32320" cy="351155"/>
                    </a:xfrm>
                    <a:prstGeom prst="rect">
                      <a:avLst/>
                    </a:prstGeom>
                    <a:noFill/>
                  </pic:spPr>
                </pic:pic>
              </a:graphicData>
            </a:graphic>
          </wp:anchor>
        </w:drawing>
      </w:r>
    </w:p>
    <w:p>
      <w:pPr>
        <w:spacing w:after="0" w:line="227" w:lineRule="exact"/>
        <w:rPr>
          <w:sz w:val="20"/>
          <w:szCs w:val="20"/>
          <w:color w:val="auto"/>
        </w:rPr>
      </w:pPr>
    </w:p>
    <w:p>
      <w:pPr>
        <w:ind w:left="20"/>
        <w:spacing w:after="0"/>
        <w:tabs>
          <w:tab w:leader="none" w:pos="440" w:val="left"/>
        </w:tabs>
        <w:rPr>
          <w:sz w:val="20"/>
          <w:szCs w:val="20"/>
          <w:color w:val="auto"/>
        </w:rPr>
      </w:pPr>
      <w:r>
        <w:rPr>
          <w:rFonts w:ascii="Arial" w:cs="Arial" w:eastAsia="Arial" w:hAnsi="Arial"/>
          <w:sz w:val="18"/>
          <w:szCs w:val="18"/>
          <w:color w:val="auto"/>
        </w:rPr>
        <w:t>60</w:t>
        <w:tab/>
        <w:t>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262255</wp:posOffset>
            </wp:positionV>
            <wp:extent cx="7157720" cy="425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4" w:right="339" w:bottom="1440" w:gutter="0" w:footer="0" w:header="0"/>
        </w:sectPr>
      </w:pPr>
    </w:p>
    <w:bookmarkStart w:id="63" w:name="page64"/>
    <w:bookmarkEnd w:id="63"/>
    <w:p>
      <w:pPr>
        <w:ind w:left="980"/>
        <w:spacing w:after="0"/>
        <w:rPr>
          <w:sz w:val="20"/>
          <w:szCs w:val="20"/>
          <w:color w:val="auto"/>
        </w:rPr>
      </w:pPr>
      <w:r>
        <w:rPr>
          <w:rFonts w:ascii="Arial" w:cs="Arial" w:eastAsia="Arial" w:hAnsi="Arial"/>
          <w:sz w:val="18"/>
          <w:szCs w:val="18"/>
          <w:color w:val="auto"/>
        </w:rPr>
        <w:t>disability, or retirement (if eligible) and assumes the TSR and other performance metrics were at target.</w:t>
      </w:r>
    </w:p>
    <w:p>
      <w:pPr>
        <w:spacing w:after="0" w:line="276" w:lineRule="exact"/>
        <w:rPr>
          <w:sz w:val="20"/>
          <w:szCs w:val="20"/>
          <w:color w:val="auto"/>
        </w:rPr>
      </w:pPr>
    </w:p>
    <w:p>
      <w:pPr>
        <w:jc w:val="both"/>
        <w:spacing w:after="0" w:line="262" w:lineRule="auto"/>
        <w:rPr>
          <w:sz w:val="20"/>
          <w:szCs w:val="20"/>
          <w:color w:val="auto"/>
        </w:rPr>
      </w:pPr>
      <w:r>
        <w:rPr>
          <w:rFonts w:ascii="Arial" w:cs="Arial" w:eastAsia="Arial" w:hAnsi="Arial"/>
          <w:sz w:val="20"/>
          <w:szCs w:val="20"/>
          <w:color w:val="auto"/>
        </w:rPr>
        <w:t>Restricted stock units contain terms which allow for continued vesting in accordance with the vesting schedule of all unvested awards upon a Named Executive’s retirement. For this purpose, retirement is defined as termination with the express reason of retirement, for which the grantee has provided the Company at least six months’ prior notice and occurs (1) on or after the age of 55 and following a minimum number of years of employment with the Company such that the grantee’s age plus the number of full years of employment with the Company equals or exceeds 72, or (2) on or after age 65. The grantee must also remain actively employed as a full-time employee for six months following the date of the award to qualify for such continued vesting. Further, the grantee must abide by certain restrictive covenants, including non-competition, non-solicit, and non-disparagement covenants. Any breach of such restricted covenants will result in a forfeiture of all remaining non-settled awards.</w:t>
      </w:r>
    </w:p>
    <w:p>
      <w:pPr>
        <w:spacing w:after="0" w:line="206" w:lineRule="exact"/>
        <w:rPr>
          <w:sz w:val="20"/>
          <w:szCs w:val="20"/>
          <w:color w:val="auto"/>
        </w:rPr>
      </w:pPr>
    </w:p>
    <w:p>
      <w:pPr>
        <w:jc w:val="both"/>
        <w:spacing w:after="0" w:line="265" w:lineRule="auto"/>
        <w:rPr>
          <w:sz w:val="20"/>
          <w:szCs w:val="20"/>
          <w:color w:val="auto"/>
        </w:rPr>
      </w:pPr>
      <w:r>
        <w:rPr>
          <w:rFonts w:ascii="Arial" w:cs="Arial" w:eastAsia="Arial" w:hAnsi="Arial"/>
          <w:sz w:val="20"/>
          <w:szCs w:val="20"/>
          <w:color w:val="auto"/>
        </w:rPr>
        <w:t>The following table summarizes the severance benefits due to the Named Executives upon their retirement under their applicable restricted stock unit award agreements (in each case assuming their retirement occurred on June 30, 2024). As of June 30, 2024, only Mr. Foss, Mr. Adelson, and Mr. Zengel were eligible for retirement. Mr. Zengel retired from the Company effective June 30, 2024. On the date of his retirement, Mr. Zengel qualified for the definition of retirement for the outstanding restricted unit awards. The following table summarizes the benefits actually due to Mr. Zengel under his outstanding restricted stock units, assuming his continued compliance with restrictive covenants.</w:t>
      </w:r>
    </w:p>
    <w:p>
      <w:pPr>
        <w:spacing w:after="0" w:line="240" w:lineRule="exact"/>
        <w:rPr>
          <w:sz w:val="20"/>
          <w:szCs w:val="20"/>
          <w:color w:val="auto"/>
        </w:rPr>
      </w:pPr>
    </w:p>
    <w:tbl>
      <w:tblPr>
        <w:tblLayout w:type="fixed"/>
        <w:tblInd w:w="2000" w:type="dxa"/>
        <w:tblCellMar>
          <w:top w:w="0" w:type="dxa"/>
          <w:left w:w="0" w:type="dxa"/>
          <w:bottom w:w="0" w:type="dxa"/>
          <w:right w:w="0" w:type="dxa"/>
        </w:tblCellMar>
      </w:tblPr>
      <w:tr>
        <w:trPr>
          <w:trHeight w:val="257"/>
        </w:trPr>
        <w:tc>
          <w:tcPr>
            <w:tcW w:w="2720" w:type="dxa"/>
            <w:vAlign w:val="bottom"/>
            <w:tcBorders>
              <w:bottom w:val="single" w:sz="8" w:color="auto"/>
            </w:tcBorders>
            <w:shd w:val="clear" w:color="auto" w:fill="E8F7F7"/>
          </w:tcPr>
          <w:p>
            <w:pPr>
              <w:ind w:left="20"/>
              <w:spacing w:after="0"/>
              <w:rPr>
                <w:sz w:val="20"/>
                <w:szCs w:val="20"/>
                <w:color w:val="auto"/>
              </w:rPr>
            </w:pPr>
            <w:r>
              <w:rPr>
                <w:rFonts w:ascii="Arial" w:cs="Arial" w:eastAsia="Arial" w:hAnsi="Arial"/>
                <w:sz w:val="18"/>
                <w:szCs w:val="18"/>
                <w:b w:val="1"/>
                <w:bCs w:val="1"/>
                <w:color w:val="auto"/>
              </w:rPr>
              <w:t>Name</w:t>
            </w:r>
          </w:p>
        </w:tc>
        <w:tc>
          <w:tcPr>
            <w:tcW w:w="4540" w:type="dxa"/>
            <w:vAlign w:val="bottom"/>
            <w:tcBorders>
              <w:bottom w:val="single" w:sz="8" w:color="auto"/>
            </w:tcBorders>
            <w:shd w:val="clear" w:color="auto" w:fill="E8F7F7"/>
          </w:tcPr>
          <w:p>
            <w:pPr>
              <w:jc w:val="right"/>
              <w:ind w:right="290"/>
              <w:spacing w:after="0"/>
              <w:rPr>
                <w:sz w:val="20"/>
                <w:szCs w:val="20"/>
                <w:color w:val="auto"/>
              </w:rPr>
            </w:pPr>
            <w:r>
              <w:rPr>
                <w:rFonts w:ascii="Arial" w:cs="Arial" w:eastAsia="Arial" w:hAnsi="Arial"/>
                <w:sz w:val="18"/>
                <w:szCs w:val="18"/>
                <w:b w:val="1"/>
                <w:bCs w:val="1"/>
                <w:color w:val="auto"/>
              </w:rPr>
              <w:t>Restricted Stock Unit Vesting (1) ($)</w:t>
            </w:r>
          </w:p>
        </w:tc>
      </w:tr>
      <w:tr>
        <w:trPr>
          <w:trHeight w:val="250"/>
        </w:trPr>
        <w:tc>
          <w:tcPr>
            <w:tcW w:w="2720" w:type="dxa"/>
            <w:vAlign w:val="bottom"/>
            <w:tcBorders>
              <w:bottom w:val="single" w:sz="8" w:color="DBDBDB"/>
            </w:tcBorders>
          </w:tcPr>
          <w:p>
            <w:pPr>
              <w:ind w:left="20"/>
              <w:spacing w:after="0"/>
              <w:rPr>
                <w:sz w:val="20"/>
                <w:szCs w:val="20"/>
                <w:color w:val="auto"/>
              </w:rPr>
            </w:pPr>
            <w:r>
              <w:rPr>
                <w:rFonts w:ascii="Arial" w:cs="Arial" w:eastAsia="Arial" w:hAnsi="Arial"/>
                <w:sz w:val="18"/>
                <w:szCs w:val="18"/>
                <w:color w:val="auto"/>
              </w:rPr>
              <w:t>David B. Foss</w:t>
            </w:r>
          </w:p>
        </w:tc>
        <w:tc>
          <w:tcPr>
            <w:tcW w:w="4540" w:type="dxa"/>
            <w:vAlign w:val="bottom"/>
            <w:tcBorders>
              <w:bottom w:val="single" w:sz="8" w:color="DBDBDB"/>
            </w:tcBorders>
          </w:tcPr>
          <w:p>
            <w:pPr>
              <w:jc w:val="right"/>
              <w:spacing w:after="0"/>
              <w:rPr>
                <w:sz w:val="20"/>
                <w:szCs w:val="20"/>
                <w:color w:val="auto"/>
              </w:rPr>
            </w:pPr>
            <w:r>
              <w:rPr>
                <w:rFonts w:ascii="Arial" w:cs="Arial" w:eastAsia="Arial" w:hAnsi="Arial"/>
                <w:sz w:val="18"/>
                <w:szCs w:val="18"/>
                <w:color w:val="auto"/>
              </w:rPr>
              <w:t>5,560,010</w:t>
            </w:r>
          </w:p>
        </w:tc>
      </w:tr>
      <w:tr>
        <w:trPr>
          <w:trHeight w:val="250"/>
        </w:trPr>
        <w:tc>
          <w:tcPr>
            <w:tcW w:w="2720" w:type="dxa"/>
            <w:vAlign w:val="bottom"/>
            <w:tcBorders>
              <w:bottom w:val="single" w:sz="8" w:color="DBDBDB"/>
            </w:tcBorders>
            <w:shd w:val="clear" w:color="auto" w:fill="E7ECF0"/>
          </w:tcPr>
          <w:p>
            <w:pPr>
              <w:ind w:left="20"/>
              <w:spacing w:after="0"/>
              <w:rPr>
                <w:sz w:val="20"/>
                <w:szCs w:val="20"/>
                <w:color w:val="auto"/>
              </w:rPr>
            </w:pPr>
            <w:r>
              <w:rPr>
                <w:rFonts w:ascii="Arial" w:cs="Arial" w:eastAsia="Arial" w:hAnsi="Arial"/>
                <w:sz w:val="18"/>
                <w:szCs w:val="18"/>
                <w:color w:val="auto"/>
              </w:rPr>
              <w:t>Gregory R. Adelson</w:t>
            </w:r>
          </w:p>
        </w:tc>
        <w:tc>
          <w:tcPr>
            <w:tcW w:w="4540" w:type="dxa"/>
            <w:vAlign w:val="bottom"/>
            <w:tcBorders>
              <w:bottom w:val="single" w:sz="8" w:color="DBDBDB"/>
            </w:tcBorders>
            <w:shd w:val="clear" w:color="auto" w:fill="E7ECF0"/>
          </w:tcPr>
          <w:p>
            <w:pPr>
              <w:jc w:val="right"/>
              <w:spacing w:after="0"/>
              <w:rPr>
                <w:sz w:val="20"/>
                <w:szCs w:val="20"/>
                <w:color w:val="auto"/>
              </w:rPr>
            </w:pPr>
            <w:r>
              <w:rPr>
                <w:rFonts w:ascii="Arial" w:cs="Arial" w:eastAsia="Arial" w:hAnsi="Arial"/>
                <w:sz w:val="18"/>
                <w:szCs w:val="18"/>
                <w:color w:val="auto"/>
              </w:rPr>
              <w:t>1,137,237</w:t>
            </w:r>
          </w:p>
        </w:tc>
      </w:tr>
      <w:tr>
        <w:trPr>
          <w:trHeight w:val="250"/>
        </w:trPr>
        <w:tc>
          <w:tcPr>
            <w:tcW w:w="2720" w:type="dxa"/>
            <w:vAlign w:val="bottom"/>
            <w:tcBorders>
              <w:bottom w:val="single" w:sz="8" w:color="DBDBDB"/>
            </w:tcBorders>
          </w:tcPr>
          <w:p>
            <w:pPr>
              <w:ind w:left="20"/>
              <w:spacing w:after="0"/>
              <w:rPr>
                <w:sz w:val="20"/>
                <w:szCs w:val="20"/>
                <w:color w:val="auto"/>
              </w:rPr>
            </w:pPr>
            <w:r>
              <w:rPr>
                <w:rFonts w:ascii="Arial" w:cs="Arial" w:eastAsia="Arial" w:hAnsi="Arial"/>
                <w:sz w:val="18"/>
                <w:szCs w:val="18"/>
                <w:color w:val="auto"/>
              </w:rPr>
              <w:t>Stacey E. Zengel</w:t>
            </w:r>
          </w:p>
        </w:tc>
        <w:tc>
          <w:tcPr>
            <w:tcW w:w="4540" w:type="dxa"/>
            <w:vAlign w:val="bottom"/>
            <w:tcBorders>
              <w:bottom w:val="single" w:sz="8" w:color="DBDBDB"/>
            </w:tcBorders>
          </w:tcPr>
          <w:p>
            <w:pPr>
              <w:jc w:val="right"/>
              <w:spacing w:after="0"/>
              <w:rPr>
                <w:sz w:val="20"/>
                <w:szCs w:val="20"/>
                <w:color w:val="auto"/>
              </w:rPr>
            </w:pPr>
            <w:r>
              <w:rPr>
                <w:rFonts w:ascii="Arial" w:cs="Arial" w:eastAsia="Arial" w:hAnsi="Arial"/>
                <w:sz w:val="18"/>
                <w:szCs w:val="18"/>
                <w:color w:val="auto"/>
              </w:rPr>
              <w:t>249,694</w:t>
            </w:r>
          </w:p>
        </w:tc>
      </w:tr>
    </w:tbl>
    <w:p>
      <w:pPr>
        <w:spacing w:after="0" w:line="200" w:lineRule="exact"/>
        <w:rPr>
          <w:sz w:val="20"/>
          <w:szCs w:val="20"/>
          <w:color w:val="auto"/>
        </w:rPr>
      </w:pPr>
    </w:p>
    <w:p>
      <w:pPr>
        <w:spacing w:after="0" w:line="267" w:lineRule="exact"/>
        <w:rPr>
          <w:sz w:val="20"/>
          <w:szCs w:val="20"/>
          <w:color w:val="auto"/>
        </w:rPr>
      </w:pPr>
    </w:p>
    <w:p>
      <w:pPr>
        <w:ind w:left="980" w:hanging="324"/>
        <w:spacing w:after="0" w:line="287" w:lineRule="auto"/>
        <w:tabs>
          <w:tab w:leader="none" w:pos="997"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These calculations represent the value of unvested restricted stock unit awards at June 30, 2024 based on the closing share price at that date that would continue to vest following retirement assuming ongoing compliance with restrictive covenants.</w:t>
      </w:r>
    </w:p>
    <w:p>
      <w:pPr>
        <w:spacing w:after="0" w:line="204" w:lineRule="exact"/>
        <w:rPr>
          <w:sz w:val="20"/>
          <w:szCs w:val="20"/>
          <w:color w:val="auto"/>
        </w:rPr>
      </w:pPr>
    </w:p>
    <w:p>
      <w:pPr>
        <w:jc w:val="both"/>
        <w:spacing w:after="0" w:line="276" w:lineRule="auto"/>
        <w:rPr>
          <w:sz w:val="20"/>
          <w:szCs w:val="20"/>
          <w:color w:val="auto"/>
        </w:rPr>
      </w:pPr>
      <w:r>
        <w:rPr>
          <w:rFonts w:ascii="Arial" w:cs="Arial" w:eastAsia="Arial" w:hAnsi="Arial"/>
          <w:sz w:val="20"/>
          <w:szCs w:val="20"/>
          <w:color w:val="auto"/>
        </w:rPr>
        <w:t>Under Mr. Foss’ stock option agreement, upon his disability or death, Mr. Foss (or his estate) would have up to one year to exercise any vested options, but in no event beyond the expiration date. Upon resignation or termination not for cause, Mr. Foss would have up to 90 days to exercise any vested options, but in no event beyond the expiration date.</w:t>
      </w: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EQUITY COMPENSATION PLAN INFORMATION</w:t>
      </w:r>
    </w:p>
    <w:p>
      <w:pPr>
        <w:spacing w:after="0" w:line="253" w:lineRule="exact"/>
        <w:rPr>
          <w:sz w:val="20"/>
          <w:szCs w:val="20"/>
          <w:color w:val="auto"/>
        </w:rPr>
      </w:pPr>
    </w:p>
    <w:p>
      <w:pPr>
        <w:jc w:val="both"/>
        <w:spacing w:after="0" w:line="300" w:lineRule="auto"/>
        <w:rPr>
          <w:sz w:val="20"/>
          <w:szCs w:val="20"/>
          <w:color w:val="auto"/>
        </w:rPr>
      </w:pPr>
      <w:r>
        <w:rPr>
          <w:rFonts w:ascii="Arial" w:cs="Arial" w:eastAsia="Arial" w:hAnsi="Arial"/>
          <w:sz w:val="20"/>
          <w:szCs w:val="20"/>
          <w:color w:val="auto"/>
        </w:rPr>
        <w:t>The following table sets forth information as of June 30, 2024 with respect to the Company’s equity compensation plans under which our common stock is authorized for issuance: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3511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32320" cy="351155"/>
                    </a:xfrm>
                    <a:prstGeom prst="rect">
                      <a:avLst/>
                    </a:prstGeom>
                    <a:noFill/>
                  </pic:spPr>
                </pic:pic>
              </a:graphicData>
            </a:graphic>
          </wp:anchor>
        </w:drawing>
      </w:r>
    </w:p>
    <w:p>
      <w:pPr>
        <w:spacing w:after="0" w:line="200" w:lineRule="exact"/>
        <w:rPr>
          <w:sz w:val="20"/>
          <w:szCs w:val="20"/>
          <w:color w:val="auto"/>
        </w:rPr>
      </w:pPr>
    </w:p>
    <w:p>
      <w:pPr>
        <w:spacing w:after="0" w:line="234" w:lineRule="exact"/>
        <w:rPr>
          <w:sz w:val="20"/>
          <w:szCs w:val="20"/>
          <w:color w:val="auto"/>
        </w:rPr>
      </w:pPr>
    </w:p>
    <w:p>
      <w:pPr>
        <w:ind w:left="9000"/>
        <w:spacing w:after="0"/>
        <w:tabs>
          <w:tab w:leader="none" w:pos="11000" w:val="left"/>
        </w:tabs>
        <w:rPr>
          <w:sz w:val="20"/>
          <w:szCs w:val="20"/>
          <w:color w:val="auto"/>
        </w:rPr>
      </w:pPr>
      <w:r>
        <w:rPr>
          <w:rFonts w:ascii="Arial" w:cs="Arial" w:eastAsia="Arial" w:hAnsi="Arial"/>
          <w:sz w:val="18"/>
          <w:szCs w:val="18"/>
          <w:color w:val="auto"/>
        </w:rPr>
        <w:t>2024 Proxy Statement</w:t>
      </w:r>
      <w:r>
        <w:rPr>
          <w:sz w:val="20"/>
          <w:szCs w:val="20"/>
          <w:color w:val="auto"/>
        </w:rPr>
        <w:tab/>
      </w:r>
      <w:r>
        <w:rPr>
          <w:rFonts w:ascii="Arial" w:cs="Arial" w:eastAsia="Arial" w:hAnsi="Arial"/>
          <w:sz w:val="17"/>
          <w:szCs w:val="17"/>
          <w:color w:val="1E3767"/>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262255</wp:posOffset>
            </wp:positionV>
            <wp:extent cx="7157720" cy="425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8" w:right="339" w:bottom="1440" w:gutter="0" w:footer="0" w:header="0"/>
        </w:sectPr>
      </w:pPr>
    </w:p>
    <w:bookmarkStart w:id="64" w:name="page65"/>
    <w:bookmarkEnd w:id="64"/>
    <w:tbl>
      <w:tblPr>
        <w:tblLayout w:type="fixed"/>
        <w:tblInd w:w="180" w:type="dxa"/>
        <w:tblCellMar>
          <w:top w:w="0" w:type="dxa"/>
          <w:left w:w="0" w:type="dxa"/>
          <w:bottom w:w="0" w:type="dxa"/>
          <w:right w:w="0" w:type="dxa"/>
        </w:tblCellMar>
      </w:tblPr>
      <w:tr>
        <w:trPr>
          <w:trHeight w:val="184"/>
        </w:trPr>
        <w:tc>
          <w:tcPr>
            <w:tcW w:w="400" w:type="dxa"/>
            <w:vAlign w:val="bottom"/>
            <w:shd w:val="clear" w:color="auto" w:fill="E8F7F7"/>
          </w:tcPr>
          <w:p>
            <w:pPr>
              <w:spacing w:after="0"/>
              <w:rPr>
                <w:sz w:val="16"/>
                <w:szCs w:val="16"/>
                <w:color w:val="auto"/>
              </w:rPr>
            </w:pPr>
          </w:p>
        </w:tc>
        <w:tc>
          <w:tcPr>
            <w:tcW w:w="2840" w:type="dxa"/>
            <w:vAlign w:val="bottom"/>
            <w:shd w:val="clear" w:color="auto" w:fill="E8F7F7"/>
          </w:tcPr>
          <w:p>
            <w:pPr>
              <w:spacing w:after="0"/>
              <w:rPr>
                <w:sz w:val="16"/>
                <w:szCs w:val="16"/>
                <w:color w:val="auto"/>
              </w:rPr>
            </w:pPr>
          </w:p>
        </w:tc>
        <w:tc>
          <w:tcPr>
            <w:tcW w:w="2220" w:type="dxa"/>
            <w:vAlign w:val="bottom"/>
            <w:shd w:val="clear" w:color="auto" w:fill="E8F7F7"/>
          </w:tcPr>
          <w:p>
            <w:pPr>
              <w:spacing w:after="0"/>
              <w:rPr>
                <w:sz w:val="16"/>
                <w:szCs w:val="16"/>
                <w:color w:val="auto"/>
              </w:rPr>
            </w:pPr>
          </w:p>
        </w:tc>
        <w:tc>
          <w:tcPr>
            <w:tcW w:w="500" w:type="dxa"/>
            <w:vAlign w:val="bottom"/>
            <w:shd w:val="clear" w:color="auto" w:fill="E8F7F7"/>
          </w:tcPr>
          <w:p>
            <w:pPr>
              <w:spacing w:after="0"/>
              <w:rPr>
                <w:sz w:val="16"/>
                <w:szCs w:val="16"/>
                <w:color w:val="auto"/>
              </w:rPr>
            </w:pPr>
          </w:p>
        </w:tc>
        <w:tc>
          <w:tcPr>
            <w:tcW w:w="1860" w:type="dxa"/>
            <w:vAlign w:val="bottom"/>
            <w:vMerge w:val="restart"/>
            <w:shd w:val="clear" w:color="auto" w:fill="E8F7F7"/>
          </w:tcPr>
          <w:p>
            <w:pPr>
              <w:jc w:val="center"/>
              <w:spacing w:after="0"/>
              <w:rPr>
                <w:sz w:val="20"/>
                <w:szCs w:val="20"/>
                <w:color w:val="auto"/>
              </w:rPr>
            </w:pPr>
            <w:r>
              <w:rPr>
                <w:rFonts w:ascii="Arial" w:cs="Arial" w:eastAsia="Arial" w:hAnsi="Arial"/>
                <w:sz w:val="16"/>
                <w:szCs w:val="16"/>
                <w:b w:val="1"/>
                <w:bCs w:val="1"/>
                <w:color w:val="auto"/>
              </w:rPr>
              <w:t>Weighted-average</w:t>
            </w:r>
          </w:p>
        </w:tc>
        <w:tc>
          <w:tcPr>
            <w:tcW w:w="3040" w:type="dxa"/>
            <w:vAlign w:val="bottom"/>
            <w:shd w:val="clear" w:color="auto" w:fill="E8F7F7"/>
          </w:tcPr>
          <w:p>
            <w:pPr>
              <w:jc w:val="center"/>
              <w:spacing w:after="0"/>
              <w:rPr>
                <w:sz w:val="20"/>
                <w:szCs w:val="20"/>
                <w:color w:val="auto"/>
              </w:rPr>
            </w:pPr>
            <w:r>
              <w:rPr>
                <w:rFonts w:ascii="Arial" w:cs="Arial" w:eastAsia="Arial" w:hAnsi="Arial"/>
                <w:sz w:val="16"/>
                <w:szCs w:val="16"/>
                <w:b w:val="1"/>
                <w:bCs w:val="1"/>
                <w:color w:val="auto"/>
              </w:rPr>
              <w:t>Number of securities remaining</w:t>
            </w:r>
          </w:p>
        </w:tc>
        <w:tc>
          <w:tcPr>
            <w:tcW w:w="0" w:type="dxa"/>
            <w:vAlign w:val="bottom"/>
          </w:tcPr>
          <w:p>
            <w:pPr>
              <w:spacing w:after="0"/>
              <w:rPr>
                <w:sz w:val="1"/>
                <w:szCs w:val="1"/>
                <w:color w:val="auto"/>
              </w:rPr>
            </w:pPr>
          </w:p>
        </w:tc>
      </w:tr>
      <w:tr>
        <w:trPr>
          <w:trHeight w:val="81"/>
        </w:trPr>
        <w:tc>
          <w:tcPr>
            <w:tcW w:w="3240" w:type="dxa"/>
            <w:vAlign w:val="bottom"/>
            <w:gridSpan w:val="2"/>
            <w:vMerge w:val="restart"/>
            <w:shd w:val="clear" w:color="auto" w:fill="E8F7F7"/>
          </w:tcPr>
          <w:p>
            <w:pPr>
              <w:ind w:left="20"/>
              <w:spacing w:after="0"/>
              <w:rPr>
                <w:sz w:val="20"/>
                <w:szCs w:val="20"/>
                <w:color w:val="auto"/>
              </w:rPr>
            </w:pPr>
            <w:r>
              <w:rPr>
                <w:rFonts w:ascii="Arial" w:cs="Arial" w:eastAsia="Arial" w:hAnsi="Arial"/>
                <w:sz w:val="16"/>
                <w:szCs w:val="16"/>
                <w:b w:val="1"/>
                <w:bCs w:val="1"/>
                <w:color w:val="auto"/>
              </w:rPr>
              <w:t>Equity Compensation Plans approved by</w:t>
            </w:r>
          </w:p>
        </w:tc>
        <w:tc>
          <w:tcPr>
            <w:tcW w:w="2720" w:type="dxa"/>
            <w:vAlign w:val="bottom"/>
            <w:gridSpan w:val="2"/>
            <w:vMerge w:val="restart"/>
            <w:shd w:val="clear" w:color="auto" w:fill="E8F7F7"/>
          </w:tcPr>
          <w:p>
            <w:pPr>
              <w:jc w:val="center"/>
              <w:spacing w:after="0"/>
              <w:rPr>
                <w:sz w:val="20"/>
                <w:szCs w:val="20"/>
                <w:color w:val="auto"/>
              </w:rPr>
            </w:pPr>
            <w:r>
              <w:rPr>
                <w:rFonts w:ascii="Arial" w:cs="Arial" w:eastAsia="Arial" w:hAnsi="Arial"/>
                <w:sz w:val="16"/>
                <w:szCs w:val="16"/>
                <w:b w:val="1"/>
                <w:bCs w:val="1"/>
                <w:color w:val="auto"/>
              </w:rPr>
              <w:t>Number of securities to be issued</w:t>
            </w:r>
          </w:p>
        </w:tc>
        <w:tc>
          <w:tcPr>
            <w:tcW w:w="1860" w:type="dxa"/>
            <w:vAlign w:val="bottom"/>
            <w:vMerge w:val="continue"/>
            <w:shd w:val="clear" w:color="auto" w:fill="E8F7F7"/>
          </w:tcPr>
          <w:p>
            <w:pPr>
              <w:spacing w:after="0"/>
              <w:rPr>
                <w:sz w:val="7"/>
                <w:szCs w:val="7"/>
                <w:color w:val="auto"/>
              </w:rPr>
            </w:pPr>
          </w:p>
        </w:tc>
        <w:tc>
          <w:tcPr>
            <w:tcW w:w="3040" w:type="dxa"/>
            <w:vAlign w:val="bottom"/>
            <w:vMerge w:val="restart"/>
            <w:shd w:val="clear" w:color="auto" w:fill="E8F7F7"/>
          </w:tcPr>
          <w:p>
            <w:pPr>
              <w:jc w:val="center"/>
              <w:spacing w:after="0"/>
              <w:rPr>
                <w:sz w:val="20"/>
                <w:szCs w:val="20"/>
                <w:color w:val="auto"/>
              </w:rPr>
            </w:pPr>
            <w:r>
              <w:rPr>
                <w:rFonts w:ascii="Arial" w:cs="Arial" w:eastAsia="Arial" w:hAnsi="Arial"/>
                <w:sz w:val="16"/>
                <w:szCs w:val="16"/>
                <w:b w:val="1"/>
                <w:bCs w:val="1"/>
                <w:color w:val="auto"/>
              </w:rPr>
              <w:t>available for future issuance under</w:t>
            </w:r>
          </w:p>
        </w:tc>
        <w:tc>
          <w:tcPr>
            <w:tcW w:w="0" w:type="dxa"/>
            <w:vAlign w:val="bottom"/>
          </w:tcPr>
          <w:p>
            <w:pPr>
              <w:spacing w:after="0"/>
              <w:rPr>
                <w:sz w:val="1"/>
                <w:szCs w:val="1"/>
                <w:color w:val="auto"/>
              </w:rPr>
            </w:pPr>
          </w:p>
        </w:tc>
      </w:tr>
      <w:tr>
        <w:trPr>
          <w:trHeight w:val="176"/>
        </w:trPr>
        <w:tc>
          <w:tcPr>
            <w:tcW w:w="3240" w:type="dxa"/>
            <w:vAlign w:val="bottom"/>
            <w:gridSpan w:val="2"/>
            <w:vMerge w:val="continue"/>
            <w:shd w:val="clear" w:color="auto" w:fill="E8F7F7"/>
          </w:tcPr>
          <w:p>
            <w:pPr>
              <w:spacing w:after="0"/>
              <w:rPr>
                <w:sz w:val="15"/>
                <w:szCs w:val="15"/>
                <w:color w:val="auto"/>
              </w:rPr>
            </w:pPr>
          </w:p>
        </w:tc>
        <w:tc>
          <w:tcPr>
            <w:tcW w:w="2720" w:type="dxa"/>
            <w:vAlign w:val="bottom"/>
            <w:gridSpan w:val="2"/>
            <w:vMerge w:val="continue"/>
            <w:shd w:val="clear" w:color="auto" w:fill="E8F7F7"/>
          </w:tcPr>
          <w:p>
            <w:pPr>
              <w:spacing w:after="0"/>
              <w:rPr>
                <w:sz w:val="15"/>
                <w:szCs w:val="15"/>
                <w:color w:val="auto"/>
              </w:rPr>
            </w:pPr>
          </w:p>
        </w:tc>
        <w:tc>
          <w:tcPr>
            <w:tcW w:w="1860" w:type="dxa"/>
            <w:vAlign w:val="bottom"/>
            <w:shd w:val="clear" w:color="auto" w:fill="E8F7F7"/>
          </w:tcPr>
          <w:p>
            <w:pPr>
              <w:jc w:val="center"/>
              <w:spacing w:after="0" w:line="175" w:lineRule="exact"/>
              <w:rPr>
                <w:sz w:val="20"/>
                <w:szCs w:val="20"/>
                <w:color w:val="auto"/>
              </w:rPr>
            </w:pPr>
            <w:r>
              <w:rPr>
                <w:rFonts w:ascii="Arial" w:cs="Arial" w:eastAsia="Arial" w:hAnsi="Arial"/>
                <w:sz w:val="16"/>
                <w:szCs w:val="16"/>
                <w:b w:val="1"/>
                <w:bCs w:val="1"/>
                <w:color w:val="auto"/>
              </w:rPr>
              <w:t>exercise price of</w:t>
            </w:r>
          </w:p>
        </w:tc>
        <w:tc>
          <w:tcPr>
            <w:tcW w:w="3040" w:type="dxa"/>
            <w:vAlign w:val="bottom"/>
            <w:vMerge w:val="continue"/>
            <w:shd w:val="clear" w:color="auto" w:fill="E8F7F7"/>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3240" w:type="dxa"/>
            <w:vAlign w:val="bottom"/>
            <w:gridSpan w:val="2"/>
            <w:shd w:val="clear" w:color="auto" w:fill="E8F7F7"/>
          </w:tcPr>
          <w:p>
            <w:pPr>
              <w:ind w:left="20"/>
              <w:spacing w:after="0" w:line="162" w:lineRule="exact"/>
              <w:rPr>
                <w:sz w:val="20"/>
                <w:szCs w:val="20"/>
                <w:color w:val="auto"/>
              </w:rPr>
            </w:pPr>
            <w:r>
              <w:rPr>
                <w:rFonts w:ascii="Arial" w:cs="Arial" w:eastAsia="Arial" w:hAnsi="Arial"/>
                <w:sz w:val="16"/>
                <w:szCs w:val="16"/>
                <w:b w:val="1"/>
                <w:bCs w:val="1"/>
                <w:color w:val="auto"/>
              </w:rPr>
              <w:t>security holders:</w:t>
            </w:r>
          </w:p>
        </w:tc>
        <w:tc>
          <w:tcPr>
            <w:tcW w:w="2720" w:type="dxa"/>
            <w:vAlign w:val="bottom"/>
            <w:gridSpan w:val="2"/>
            <w:shd w:val="clear" w:color="auto" w:fill="E8F7F7"/>
          </w:tcPr>
          <w:p>
            <w:pPr>
              <w:jc w:val="center"/>
              <w:spacing w:after="0" w:line="162" w:lineRule="exact"/>
              <w:rPr>
                <w:sz w:val="20"/>
                <w:szCs w:val="20"/>
                <w:color w:val="auto"/>
              </w:rPr>
            </w:pPr>
            <w:r>
              <w:rPr>
                <w:rFonts w:ascii="Arial" w:cs="Arial" w:eastAsia="Arial" w:hAnsi="Arial"/>
                <w:sz w:val="16"/>
                <w:szCs w:val="16"/>
                <w:b w:val="1"/>
                <w:bCs w:val="1"/>
                <w:color w:val="auto"/>
              </w:rPr>
              <w:t>upon exercise of outstanding</w:t>
            </w:r>
          </w:p>
        </w:tc>
        <w:tc>
          <w:tcPr>
            <w:tcW w:w="1860" w:type="dxa"/>
            <w:vAlign w:val="bottom"/>
            <w:shd w:val="clear" w:color="auto" w:fill="E8F7F7"/>
          </w:tcPr>
          <w:p>
            <w:pPr>
              <w:jc w:val="center"/>
              <w:spacing w:after="0" w:line="162" w:lineRule="exact"/>
              <w:rPr>
                <w:sz w:val="20"/>
                <w:szCs w:val="20"/>
                <w:color w:val="auto"/>
              </w:rPr>
            </w:pPr>
            <w:r>
              <w:rPr>
                <w:rFonts w:ascii="Arial" w:cs="Arial" w:eastAsia="Arial" w:hAnsi="Arial"/>
                <w:sz w:val="16"/>
                <w:szCs w:val="16"/>
                <w:b w:val="1"/>
                <w:bCs w:val="1"/>
                <w:color w:val="auto"/>
              </w:rPr>
              <w:t>outstanding options,</w:t>
            </w:r>
          </w:p>
        </w:tc>
        <w:tc>
          <w:tcPr>
            <w:tcW w:w="3040" w:type="dxa"/>
            <w:vAlign w:val="bottom"/>
            <w:shd w:val="clear" w:color="auto" w:fill="E8F7F7"/>
          </w:tcPr>
          <w:p>
            <w:pPr>
              <w:jc w:val="center"/>
              <w:spacing w:after="0" w:line="162" w:lineRule="exact"/>
              <w:rPr>
                <w:sz w:val="20"/>
                <w:szCs w:val="20"/>
                <w:color w:val="auto"/>
              </w:rPr>
            </w:pPr>
            <w:r>
              <w:rPr>
                <w:rFonts w:ascii="Arial" w:cs="Arial" w:eastAsia="Arial" w:hAnsi="Arial"/>
                <w:sz w:val="16"/>
                <w:szCs w:val="16"/>
                <w:b w:val="1"/>
                <w:bCs w:val="1"/>
                <w:color w:val="auto"/>
              </w:rPr>
              <w:t>equity compensation plans (excluding</w:t>
            </w:r>
          </w:p>
        </w:tc>
        <w:tc>
          <w:tcPr>
            <w:tcW w:w="0" w:type="dxa"/>
            <w:vAlign w:val="bottom"/>
          </w:tcPr>
          <w:p>
            <w:pPr>
              <w:spacing w:after="0"/>
              <w:rPr>
                <w:sz w:val="1"/>
                <w:szCs w:val="1"/>
                <w:color w:val="auto"/>
              </w:rPr>
            </w:pPr>
          </w:p>
        </w:tc>
      </w:tr>
      <w:tr>
        <w:trPr>
          <w:trHeight w:val="81"/>
        </w:trPr>
        <w:tc>
          <w:tcPr>
            <w:tcW w:w="400" w:type="dxa"/>
            <w:vAlign w:val="bottom"/>
            <w:shd w:val="clear" w:color="auto" w:fill="E8F7F7"/>
          </w:tcPr>
          <w:p>
            <w:pPr>
              <w:spacing w:after="0"/>
              <w:rPr>
                <w:sz w:val="7"/>
                <w:szCs w:val="7"/>
                <w:color w:val="auto"/>
              </w:rPr>
            </w:pPr>
          </w:p>
        </w:tc>
        <w:tc>
          <w:tcPr>
            <w:tcW w:w="2840" w:type="dxa"/>
            <w:vAlign w:val="bottom"/>
            <w:shd w:val="clear" w:color="auto" w:fill="E8F7F7"/>
          </w:tcPr>
          <w:p>
            <w:pPr>
              <w:spacing w:after="0"/>
              <w:rPr>
                <w:sz w:val="7"/>
                <w:szCs w:val="7"/>
                <w:color w:val="auto"/>
              </w:rPr>
            </w:pPr>
          </w:p>
        </w:tc>
        <w:tc>
          <w:tcPr>
            <w:tcW w:w="2720" w:type="dxa"/>
            <w:vAlign w:val="bottom"/>
            <w:gridSpan w:val="2"/>
            <w:shd w:val="clear" w:color="auto" w:fill="E8F7F7"/>
          </w:tcPr>
          <w:p>
            <w:pPr>
              <w:jc w:val="center"/>
              <w:spacing w:after="0" w:line="81" w:lineRule="exact"/>
              <w:rPr>
                <w:sz w:val="20"/>
                <w:szCs w:val="20"/>
                <w:color w:val="auto"/>
              </w:rPr>
            </w:pPr>
            <w:r>
              <w:rPr>
                <w:rFonts w:ascii="Arial" w:cs="Arial" w:eastAsia="Arial" w:hAnsi="Arial"/>
                <w:sz w:val="9"/>
                <w:szCs w:val="9"/>
                <w:b w:val="1"/>
                <w:bCs w:val="1"/>
                <w:color w:val="auto"/>
              </w:rPr>
              <w:t>options, warrants and rights</w:t>
            </w:r>
          </w:p>
        </w:tc>
        <w:tc>
          <w:tcPr>
            <w:tcW w:w="1860" w:type="dxa"/>
            <w:vAlign w:val="bottom"/>
            <w:vMerge w:val="restart"/>
            <w:shd w:val="clear" w:color="auto" w:fill="E8F7F7"/>
          </w:tcPr>
          <w:p>
            <w:pPr>
              <w:jc w:val="center"/>
              <w:spacing w:after="0"/>
              <w:rPr>
                <w:sz w:val="20"/>
                <w:szCs w:val="20"/>
                <w:color w:val="auto"/>
              </w:rPr>
            </w:pPr>
            <w:r>
              <w:rPr>
                <w:rFonts w:ascii="Arial" w:cs="Arial" w:eastAsia="Arial" w:hAnsi="Arial"/>
                <w:sz w:val="16"/>
                <w:szCs w:val="16"/>
                <w:b w:val="1"/>
                <w:bCs w:val="1"/>
                <w:color w:val="auto"/>
              </w:rPr>
              <w:t>warrants and rights (1)</w:t>
            </w:r>
          </w:p>
        </w:tc>
        <w:tc>
          <w:tcPr>
            <w:tcW w:w="3040" w:type="dxa"/>
            <w:vAlign w:val="bottom"/>
            <w:shd w:val="clear" w:color="auto" w:fill="E8F7F7"/>
          </w:tcPr>
          <w:p>
            <w:pPr>
              <w:jc w:val="center"/>
              <w:spacing w:after="0" w:line="81" w:lineRule="exact"/>
              <w:rPr>
                <w:sz w:val="20"/>
                <w:szCs w:val="20"/>
                <w:color w:val="auto"/>
              </w:rPr>
            </w:pPr>
            <w:r>
              <w:rPr>
                <w:rFonts w:ascii="Arial" w:cs="Arial" w:eastAsia="Arial" w:hAnsi="Arial"/>
                <w:sz w:val="9"/>
                <w:szCs w:val="9"/>
                <w:b w:val="1"/>
                <w:bCs w:val="1"/>
                <w:color w:val="auto"/>
              </w:rPr>
              <w:t>securities in the first column of this</w:t>
            </w:r>
          </w:p>
        </w:tc>
        <w:tc>
          <w:tcPr>
            <w:tcW w:w="0" w:type="dxa"/>
            <w:vAlign w:val="bottom"/>
          </w:tcPr>
          <w:p>
            <w:pPr>
              <w:spacing w:after="0"/>
              <w:rPr>
                <w:sz w:val="1"/>
                <w:szCs w:val="1"/>
                <w:color w:val="auto"/>
              </w:rPr>
            </w:pPr>
          </w:p>
        </w:tc>
      </w:tr>
      <w:tr>
        <w:trPr>
          <w:trHeight w:val="142"/>
        </w:trPr>
        <w:tc>
          <w:tcPr>
            <w:tcW w:w="400" w:type="dxa"/>
            <w:vAlign w:val="bottom"/>
            <w:shd w:val="clear" w:color="auto" w:fill="E8F7F7"/>
          </w:tcPr>
          <w:p>
            <w:pPr>
              <w:spacing w:after="0"/>
              <w:rPr>
                <w:sz w:val="12"/>
                <w:szCs w:val="12"/>
                <w:color w:val="auto"/>
              </w:rPr>
            </w:pPr>
          </w:p>
        </w:tc>
        <w:tc>
          <w:tcPr>
            <w:tcW w:w="2840" w:type="dxa"/>
            <w:vAlign w:val="bottom"/>
            <w:shd w:val="clear" w:color="auto" w:fill="E8F7F7"/>
          </w:tcPr>
          <w:p>
            <w:pPr>
              <w:spacing w:after="0"/>
              <w:rPr>
                <w:sz w:val="12"/>
                <w:szCs w:val="12"/>
                <w:color w:val="auto"/>
              </w:rPr>
            </w:pPr>
          </w:p>
        </w:tc>
        <w:tc>
          <w:tcPr>
            <w:tcW w:w="2220" w:type="dxa"/>
            <w:vAlign w:val="bottom"/>
            <w:shd w:val="clear" w:color="auto" w:fill="E8F7F7"/>
          </w:tcPr>
          <w:p>
            <w:pPr>
              <w:spacing w:after="0"/>
              <w:rPr>
                <w:sz w:val="12"/>
                <w:szCs w:val="12"/>
                <w:color w:val="auto"/>
              </w:rPr>
            </w:pPr>
          </w:p>
        </w:tc>
        <w:tc>
          <w:tcPr>
            <w:tcW w:w="500" w:type="dxa"/>
            <w:vAlign w:val="bottom"/>
            <w:shd w:val="clear" w:color="auto" w:fill="E8F7F7"/>
          </w:tcPr>
          <w:p>
            <w:pPr>
              <w:spacing w:after="0"/>
              <w:rPr>
                <w:sz w:val="12"/>
                <w:szCs w:val="12"/>
                <w:color w:val="auto"/>
              </w:rPr>
            </w:pPr>
          </w:p>
        </w:tc>
        <w:tc>
          <w:tcPr>
            <w:tcW w:w="1860" w:type="dxa"/>
            <w:vAlign w:val="bottom"/>
            <w:vMerge w:val="continue"/>
            <w:shd w:val="clear" w:color="auto" w:fill="E8F7F7"/>
          </w:tcPr>
          <w:p>
            <w:pPr>
              <w:spacing w:after="0"/>
              <w:rPr>
                <w:sz w:val="12"/>
                <w:szCs w:val="12"/>
                <w:color w:val="auto"/>
              </w:rPr>
            </w:pPr>
          </w:p>
        </w:tc>
        <w:tc>
          <w:tcPr>
            <w:tcW w:w="3040" w:type="dxa"/>
            <w:vAlign w:val="bottom"/>
            <w:vMerge w:val="restart"/>
            <w:shd w:val="clear" w:color="auto" w:fill="E8F7F7"/>
          </w:tcPr>
          <w:p>
            <w:pPr>
              <w:jc w:val="center"/>
              <w:spacing w:after="0"/>
              <w:rPr>
                <w:sz w:val="20"/>
                <w:szCs w:val="20"/>
                <w:color w:val="auto"/>
              </w:rPr>
            </w:pPr>
            <w:r>
              <w:rPr>
                <w:rFonts w:ascii="Arial" w:cs="Arial" w:eastAsia="Arial" w:hAnsi="Arial"/>
                <w:sz w:val="16"/>
                <w:szCs w:val="16"/>
                <w:b w:val="1"/>
                <w:bCs w:val="1"/>
                <w:color w:val="auto"/>
              </w:rPr>
              <w:t>table)</w:t>
            </w:r>
          </w:p>
        </w:tc>
        <w:tc>
          <w:tcPr>
            <w:tcW w:w="0" w:type="dxa"/>
            <w:vAlign w:val="bottom"/>
          </w:tcPr>
          <w:p>
            <w:pPr>
              <w:spacing w:after="0"/>
              <w:rPr>
                <w:sz w:val="1"/>
                <w:szCs w:val="1"/>
                <w:color w:val="auto"/>
              </w:rPr>
            </w:pPr>
          </w:p>
        </w:tc>
      </w:tr>
      <w:tr>
        <w:trPr>
          <w:trHeight w:val="84"/>
        </w:trPr>
        <w:tc>
          <w:tcPr>
            <w:tcW w:w="400" w:type="dxa"/>
            <w:vAlign w:val="bottom"/>
            <w:tcBorders>
              <w:bottom w:val="single" w:sz="8" w:color="auto"/>
            </w:tcBorders>
            <w:shd w:val="clear" w:color="auto" w:fill="E8F7F7"/>
          </w:tcPr>
          <w:p>
            <w:pPr>
              <w:spacing w:after="0"/>
              <w:rPr>
                <w:sz w:val="7"/>
                <w:szCs w:val="7"/>
                <w:color w:val="auto"/>
              </w:rPr>
            </w:pPr>
          </w:p>
        </w:tc>
        <w:tc>
          <w:tcPr>
            <w:tcW w:w="2840" w:type="dxa"/>
            <w:vAlign w:val="bottom"/>
            <w:tcBorders>
              <w:bottom w:val="single" w:sz="8" w:color="auto"/>
            </w:tcBorders>
            <w:shd w:val="clear" w:color="auto" w:fill="E8F7F7"/>
          </w:tcPr>
          <w:p>
            <w:pPr>
              <w:spacing w:after="0"/>
              <w:rPr>
                <w:sz w:val="7"/>
                <w:szCs w:val="7"/>
                <w:color w:val="auto"/>
              </w:rPr>
            </w:pPr>
          </w:p>
        </w:tc>
        <w:tc>
          <w:tcPr>
            <w:tcW w:w="2220" w:type="dxa"/>
            <w:vAlign w:val="bottom"/>
            <w:tcBorders>
              <w:bottom w:val="single" w:sz="8" w:color="auto"/>
            </w:tcBorders>
            <w:shd w:val="clear" w:color="auto" w:fill="E8F7F7"/>
          </w:tcPr>
          <w:p>
            <w:pPr>
              <w:spacing w:after="0"/>
              <w:rPr>
                <w:sz w:val="7"/>
                <w:szCs w:val="7"/>
                <w:color w:val="auto"/>
              </w:rPr>
            </w:pPr>
          </w:p>
        </w:tc>
        <w:tc>
          <w:tcPr>
            <w:tcW w:w="500" w:type="dxa"/>
            <w:vAlign w:val="bottom"/>
            <w:tcBorders>
              <w:bottom w:val="single" w:sz="8" w:color="auto"/>
            </w:tcBorders>
            <w:shd w:val="clear" w:color="auto" w:fill="E8F7F7"/>
          </w:tcPr>
          <w:p>
            <w:pPr>
              <w:spacing w:after="0"/>
              <w:rPr>
                <w:sz w:val="7"/>
                <w:szCs w:val="7"/>
                <w:color w:val="auto"/>
              </w:rPr>
            </w:pPr>
          </w:p>
        </w:tc>
        <w:tc>
          <w:tcPr>
            <w:tcW w:w="1860" w:type="dxa"/>
            <w:vAlign w:val="bottom"/>
            <w:tcBorders>
              <w:bottom w:val="single" w:sz="8" w:color="auto"/>
            </w:tcBorders>
            <w:shd w:val="clear" w:color="auto" w:fill="E8F7F7"/>
          </w:tcPr>
          <w:p>
            <w:pPr>
              <w:spacing w:after="0"/>
              <w:rPr>
                <w:sz w:val="7"/>
                <w:szCs w:val="7"/>
                <w:color w:val="auto"/>
              </w:rPr>
            </w:pPr>
          </w:p>
        </w:tc>
        <w:tc>
          <w:tcPr>
            <w:tcW w:w="3040" w:type="dxa"/>
            <w:vAlign w:val="bottom"/>
            <w:tcBorders>
              <w:bottom w:val="single" w:sz="8" w:color="auto"/>
            </w:tcBorders>
            <w:vMerge w:val="continue"/>
            <w:shd w:val="clear" w:color="auto" w:fill="E8F7F7"/>
          </w:tcPr>
          <w:p>
            <w:pPr>
              <w:spacing w:after="0"/>
              <w:rPr>
                <w:sz w:val="7"/>
                <w:szCs w:val="7"/>
                <w:color w:val="auto"/>
              </w:rPr>
            </w:pPr>
          </w:p>
        </w:tc>
        <w:tc>
          <w:tcPr>
            <w:tcW w:w="0" w:type="dxa"/>
            <w:vAlign w:val="bottom"/>
          </w:tcPr>
          <w:p>
            <w:pPr>
              <w:spacing w:after="0"/>
              <w:rPr>
                <w:sz w:val="1"/>
                <w:szCs w:val="1"/>
                <w:color w:val="auto"/>
              </w:rPr>
            </w:pPr>
          </w:p>
        </w:tc>
      </w:tr>
      <w:tr>
        <w:trPr>
          <w:trHeight w:val="212"/>
        </w:trPr>
        <w:tc>
          <w:tcPr>
            <w:tcW w:w="400" w:type="dxa"/>
            <w:vAlign w:val="bottom"/>
          </w:tcPr>
          <w:p>
            <w:pPr>
              <w:ind w:left="20"/>
              <w:spacing w:after="0"/>
              <w:rPr>
                <w:sz w:val="20"/>
                <w:szCs w:val="20"/>
                <w:color w:val="auto"/>
              </w:rPr>
            </w:pPr>
            <w:r>
              <w:rPr>
                <w:rFonts w:ascii="Arial" w:cs="Arial" w:eastAsia="Arial" w:hAnsi="Arial"/>
                <w:sz w:val="16"/>
                <w:szCs w:val="16"/>
                <w:color w:val="auto"/>
              </w:rPr>
              <w:t>2005</w:t>
            </w:r>
          </w:p>
        </w:tc>
        <w:tc>
          <w:tcPr>
            <w:tcW w:w="2840" w:type="dxa"/>
            <w:vAlign w:val="bottom"/>
          </w:tcPr>
          <w:p>
            <w:pPr>
              <w:ind w:left="20"/>
              <w:spacing w:after="0"/>
              <w:rPr>
                <w:sz w:val="20"/>
                <w:szCs w:val="20"/>
                <w:color w:val="auto"/>
              </w:rPr>
            </w:pPr>
            <w:r>
              <w:rPr>
                <w:rFonts w:ascii="Arial" w:cs="Arial" w:eastAsia="Arial" w:hAnsi="Arial"/>
                <w:sz w:val="16"/>
                <w:szCs w:val="16"/>
                <w:color w:val="auto"/>
              </w:rPr>
              <w:t>Restricted Stock Plan</w:t>
            </w:r>
          </w:p>
        </w:tc>
        <w:tc>
          <w:tcPr>
            <w:tcW w:w="2220" w:type="dxa"/>
            <w:vAlign w:val="bottom"/>
          </w:tcPr>
          <w:p>
            <w:pPr>
              <w:jc w:val="right"/>
              <w:ind w:right="85"/>
              <w:spacing w:after="0"/>
              <w:rPr>
                <w:sz w:val="20"/>
                <w:szCs w:val="20"/>
                <w:color w:val="auto"/>
              </w:rPr>
            </w:pPr>
            <w:r>
              <w:rPr>
                <w:rFonts w:ascii="Arial" w:cs="Arial" w:eastAsia="Arial" w:hAnsi="Arial"/>
                <w:sz w:val="16"/>
                <w:szCs w:val="16"/>
                <w:color w:val="auto"/>
              </w:rPr>
              <w:t>4,586</w:t>
            </w:r>
          </w:p>
        </w:tc>
        <w:tc>
          <w:tcPr>
            <w:tcW w:w="500" w:type="dxa"/>
            <w:vAlign w:val="bottom"/>
          </w:tcPr>
          <w:p>
            <w:pPr>
              <w:jc w:val="right"/>
              <w:ind w:right="79"/>
              <w:spacing w:after="0"/>
              <w:rPr>
                <w:sz w:val="20"/>
                <w:szCs w:val="20"/>
                <w:color w:val="auto"/>
              </w:rPr>
            </w:pPr>
            <w:r>
              <w:rPr>
                <w:rFonts w:ascii="Arial" w:cs="Arial" w:eastAsia="Arial" w:hAnsi="Arial"/>
                <w:sz w:val="16"/>
                <w:szCs w:val="16"/>
                <w:color w:val="auto"/>
              </w:rPr>
              <w:t>(2)</w:t>
            </w:r>
          </w:p>
        </w:tc>
        <w:tc>
          <w:tcPr>
            <w:tcW w:w="1860" w:type="dxa"/>
            <w:vAlign w:val="bottom"/>
          </w:tcPr>
          <w:p>
            <w:pPr>
              <w:ind w:left="900"/>
              <w:spacing w:after="0"/>
              <w:rPr>
                <w:sz w:val="20"/>
                <w:szCs w:val="20"/>
                <w:color w:val="auto"/>
              </w:rPr>
            </w:pPr>
            <w:r>
              <w:rPr>
                <w:rFonts w:ascii="Arial" w:cs="Arial" w:eastAsia="Arial" w:hAnsi="Arial"/>
                <w:sz w:val="16"/>
                <w:szCs w:val="16"/>
                <w:color w:val="auto"/>
              </w:rPr>
              <w:t>—</w:t>
            </w:r>
          </w:p>
        </w:tc>
        <w:tc>
          <w:tcPr>
            <w:tcW w:w="3040" w:type="dxa"/>
            <w:vAlign w:val="bottom"/>
          </w:tcPr>
          <w:p>
            <w:pPr>
              <w:jc w:val="right"/>
              <w:ind w:right="1303"/>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8"/>
        </w:trPr>
        <w:tc>
          <w:tcPr>
            <w:tcW w:w="400" w:type="dxa"/>
            <w:vAlign w:val="bottom"/>
            <w:tcBorders>
              <w:bottom w:val="single" w:sz="8" w:color="DBDBDB"/>
            </w:tcBorders>
          </w:tcPr>
          <w:p>
            <w:pPr>
              <w:spacing w:after="0"/>
              <w:rPr>
                <w:sz w:val="2"/>
                <w:szCs w:val="2"/>
                <w:color w:val="auto"/>
              </w:rPr>
            </w:pPr>
          </w:p>
        </w:tc>
        <w:tc>
          <w:tcPr>
            <w:tcW w:w="2840" w:type="dxa"/>
            <w:vAlign w:val="bottom"/>
            <w:tcBorders>
              <w:bottom w:val="single" w:sz="8" w:color="DBDBDB"/>
            </w:tcBorders>
          </w:tcPr>
          <w:p>
            <w:pPr>
              <w:spacing w:after="0"/>
              <w:rPr>
                <w:sz w:val="2"/>
                <w:szCs w:val="2"/>
                <w:color w:val="auto"/>
              </w:rPr>
            </w:pPr>
          </w:p>
        </w:tc>
        <w:tc>
          <w:tcPr>
            <w:tcW w:w="2220" w:type="dxa"/>
            <w:vAlign w:val="bottom"/>
            <w:tcBorders>
              <w:bottom w:val="single" w:sz="8" w:color="DBDBDB"/>
            </w:tcBorders>
          </w:tcPr>
          <w:p>
            <w:pPr>
              <w:spacing w:after="0"/>
              <w:rPr>
                <w:sz w:val="2"/>
                <w:szCs w:val="2"/>
                <w:color w:val="auto"/>
              </w:rPr>
            </w:pPr>
          </w:p>
        </w:tc>
        <w:tc>
          <w:tcPr>
            <w:tcW w:w="500" w:type="dxa"/>
            <w:vAlign w:val="bottom"/>
            <w:tcBorders>
              <w:bottom w:val="single" w:sz="8" w:color="DBDBDB"/>
            </w:tcBorders>
          </w:tcPr>
          <w:p>
            <w:pPr>
              <w:spacing w:after="0"/>
              <w:rPr>
                <w:sz w:val="2"/>
                <w:szCs w:val="2"/>
                <w:color w:val="auto"/>
              </w:rPr>
            </w:pPr>
          </w:p>
        </w:tc>
        <w:tc>
          <w:tcPr>
            <w:tcW w:w="1860" w:type="dxa"/>
            <w:vAlign w:val="bottom"/>
            <w:tcBorders>
              <w:bottom w:val="single" w:sz="8" w:color="DBDBDB"/>
            </w:tcBorders>
          </w:tcPr>
          <w:p>
            <w:pPr>
              <w:spacing w:after="0"/>
              <w:rPr>
                <w:sz w:val="2"/>
                <w:szCs w:val="2"/>
                <w:color w:val="auto"/>
              </w:rPr>
            </w:pPr>
          </w:p>
        </w:tc>
        <w:tc>
          <w:tcPr>
            <w:tcW w:w="3040" w:type="dxa"/>
            <w:vAlign w:val="bottom"/>
            <w:tcBorders>
              <w:bottom w:val="single" w:sz="8" w:color="DBDBDB"/>
            </w:tcBorders>
          </w:tcPr>
          <w:p>
            <w:pPr>
              <w:spacing w:after="0"/>
              <w:rPr>
                <w:sz w:val="2"/>
                <w:szCs w:val="2"/>
                <w:color w:val="auto"/>
              </w:rPr>
            </w:pPr>
          </w:p>
        </w:tc>
        <w:tc>
          <w:tcPr>
            <w:tcW w:w="0" w:type="dxa"/>
            <w:vAlign w:val="bottom"/>
          </w:tcPr>
          <w:p>
            <w:pPr>
              <w:spacing w:after="0"/>
              <w:rPr>
                <w:sz w:val="1"/>
                <w:szCs w:val="1"/>
                <w:color w:val="auto"/>
              </w:rPr>
            </w:pPr>
          </w:p>
        </w:tc>
      </w:tr>
      <w:tr>
        <w:trPr>
          <w:trHeight w:val="241"/>
        </w:trPr>
        <w:tc>
          <w:tcPr>
            <w:tcW w:w="400" w:type="dxa"/>
            <w:vAlign w:val="bottom"/>
            <w:tcBorders>
              <w:bottom w:val="single" w:sz="8" w:color="E7ECF0"/>
            </w:tcBorders>
            <w:shd w:val="clear" w:color="auto" w:fill="E7ECF0"/>
          </w:tcPr>
          <w:p>
            <w:pPr>
              <w:ind w:left="20"/>
              <w:spacing w:after="0"/>
              <w:rPr>
                <w:sz w:val="20"/>
                <w:szCs w:val="20"/>
                <w:color w:val="auto"/>
              </w:rPr>
            </w:pPr>
            <w:r>
              <w:rPr>
                <w:rFonts w:ascii="Arial" w:cs="Arial" w:eastAsia="Arial" w:hAnsi="Arial"/>
                <w:sz w:val="16"/>
                <w:szCs w:val="16"/>
                <w:color w:val="auto"/>
              </w:rPr>
              <w:t>2015</w:t>
            </w:r>
          </w:p>
        </w:tc>
        <w:tc>
          <w:tcPr>
            <w:tcW w:w="2840" w:type="dxa"/>
            <w:vAlign w:val="bottom"/>
            <w:tcBorders>
              <w:bottom w:val="single" w:sz="8" w:color="E7ECF0"/>
            </w:tcBorders>
            <w:shd w:val="clear" w:color="auto" w:fill="E7ECF0"/>
          </w:tcPr>
          <w:p>
            <w:pPr>
              <w:ind w:left="20"/>
              <w:spacing w:after="0"/>
              <w:rPr>
                <w:sz w:val="20"/>
                <w:szCs w:val="20"/>
                <w:color w:val="auto"/>
              </w:rPr>
            </w:pPr>
            <w:r>
              <w:rPr>
                <w:rFonts w:ascii="Arial" w:cs="Arial" w:eastAsia="Arial" w:hAnsi="Arial"/>
                <w:sz w:val="16"/>
                <w:szCs w:val="16"/>
                <w:color w:val="auto"/>
              </w:rPr>
              <w:t>Equity Incentive Plan</w:t>
            </w:r>
          </w:p>
        </w:tc>
        <w:tc>
          <w:tcPr>
            <w:tcW w:w="2220" w:type="dxa"/>
            <w:vAlign w:val="bottom"/>
            <w:tcBorders>
              <w:bottom w:val="single" w:sz="8" w:color="E7ECF0"/>
            </w:tcBorders>
            <w:shd w:val="clear" w:color="auto" w:fill="E7ECF0"/>
          </w:tcPr>
          <w:p>
            <w:pPr>
              <w:jc w:val="right"/>
              <w:ind w:right="85"/>
              <w:spacing w:after="0"/>
              <w:rPr>
                <w:sz w:val="20"/>
                <w:szCs w:val="20"/>
                <w:color w:val="auto"/>
              </w:rPr>
            </w:pPr>
            <w:r>
              <w:rPr>
                <w:rFonts w:ascii="Arial" w:cs="Arial" w:eastAsia="Arial" w:hAnsi="Arial"/>
                <w:sz w:val="16"/>
                <w:szCs w:val="16"/>
                <w:color w:val="auto"/>
              </w:rPr>
              <w:t>482,861</w:t>
            </w:r>
          </w:p>
        </w:tc>
        <w:tc>
          <w:tcPr>
            <w:tcW w:w="500" w:type="dxa"/>
            <w:vAlign w:val="bottom"/>
            <w:tcBorders>
              <w:bottom w:val="single" w:sz="8" w:color="E7ECF0"/>
            </w:tcBorders>
            <w:shd w:val="clear" w:color="auto" w:fill="E7ECF0"/>
          </w:tcPr>
          <w:p>
            <w:pPr>
              <w:jc w:val="right"/>
              <w:ind w:right="79"/>
              <w:spacing w:after="0"/>
              <w:rPr>
                <w:sz w:val="20"/>
                <w:szCs w:val="20"/>
                <w:color w:val="auto"/>
              </w:rPr>
            </w:pPr>
            <w:r>
              <w:rPr>
                <w:rFonts w:ascii="Arial" w:cs="Arial" w:eastAsia="Arial" w:hAnsi="Arial"/>
                <w:sz w:val="16"/>
                <w:szCs w:val="16"/>
                <w:color w:val="auto"/>
              </w:rPr>
              <w:t>(3)</w:t>
            </w:r>
          </w:p>
        </w:tc>
        <w:tc>
          <w:tcPr>
            <w:tcW w:w="1860" w:type="dxa"/>
            <w:vAlign w:val="bottom"/>
            <w:tcBorders>
              <w:bottom w:val="single" w:sz="8" w:color="E7ECF0"/>
            </w:tcBorders>
            <w:shd w:val="clear" w:color="auto" w:fill="E7ECF0"/>
          </w:tcPr>
          <w:p>
            <w:pPr>
              <w:jc w:val="center"/>
              <w:spacing w:after="0"/>
              <w:rPr>
                <w:sz w:val="20"/>
                <w:szCs w:val="20"/>
                <w:color w:val="auto"/>
              </w:rPr>
            </w:pPr>
            <w:r>
              <w:rPr>
                <w:rFonts w:ascii="Arial" w:cs="Arial" w:eastAsia="Arial" w:hAnsi="Arial"/>
                <w:sz w:val="16"/>
                <w:szCs w:val="16"/>
                <w:color w:val="auto"/>
              </w:rPr>
              <w:t>$87.27</w:t>
            </w:r>
          </w:p>
        </w:tc>
        <w:tc>
          <w:tcPr>
            <w:tcW w:w="3040" w:type="dxa"/>
            <w:vAlign w:val="bottom"/>
            <w:tcBorders>
              <w:bottom w:val="single" w:sz="8" w:color="E7ECF0"/>
            </w:tcBorders>
            <w:shd w:val="clear" w:color="auto" w:fill="E7ECF0"/>
          </w:tcPr>
          <w:p>
            <w:pPr>
              <w:jc w:val="right"/>
              <w:ind w:right="3"/>
              <w:spacing w:after="0"/>
              <w:rPr>
                <w:sz w:val="20"/>
                <w:szCs w:val="20"/>
                <w:color w:val="auto"/>
              </w:rPr>
            </w:pPr>
            <w:r>
              <w:rPr>
                <w:rFonts w:ascii="Arial" w:cs="Arial" w:eastAsia="Arial" w:hAnsi="Arial"/>
                <w:sz w:val="16"/>
                <w:szCs w:val="16"/>
                <w:color w:val="auto"/>
              </w:rPr>
              <w:t>2,117,517</w:t>
            </w:r>
          </w:p>
        </w:tc>
        <w:tc>
          <w:tcPr>
            <w:tcW w:w="0" w:type="dxa"/>
            <w:vAlign w:val="bottom"/>
          </w:tcPr>
          <w:p>
            <w:pPr>
              <w:spacing w:after="0"/>
              <w:rPr>
                <w:sz w:val="1"/>
                <w:szCs w:val="1"/>
                <w:color w:val="auto"/>
              </w:rPr>
            </w:pPr>
          </w:p>
        </w:tc>
      </w:tr>
      <w:tr>
        <w:trPr>
          <w:trHeight w:val="208"/>
        </w:trPr>
        <w:tc>
          <w:tcPr>
            <w:tcW w:w="400" w:type="dxa"/>
            <w:vAlign w:val="bottom"/>
            <w:tcBorders>
              <w:top w:val="single" w:sz="8" w:color="DBDBDB"/>
            </w:tcBorders>
          </w:tcPr>
          <w:p>
            <w:pPr>
              <w:ind w:left="20"/>
              <w:spacing w:after="0"/>
              <w:rPr>
                <w:sz w:val="20"/>
                <w:szCs w:val="20"/>
                <w:color w:val="auto"/>
              </w:rPr>
            </w:pPr>
            <w:r>
              <w:rPr>
                <w:rFonts w:ascii="Arial" w:cs="Arial" w:eastAsia="Arial" w:hAnsi="Arial"/>
                <w:sz w:val="16"/>
                <w:szCs w:val="16"/>
                <w:color w:val="auto"/>
              </w:rPr>
              <w:t>2006</w:t>
            </w:r>
          </w:p>
        </w:tc>
        <w:tc>
          <w:tcPr>
            <w:tcW w:w="2840" w:type="dxa"/>
            <w:vAlign w:val="bottom"/>
            <w:tcBorders>
              <w:top w:val="single" w:sz="8" w:color="DBDBDB"/>
            </w:tcBorders>
          </w:tcPr>
          <w:p>
            <w:pPr>
              <w:ind w:left="20"/>
              <w:spacing w:after="0"/>
              <w:rPr>
                <w:sz w:val="20"/>
                <w:szCs w:val="20"/>
                <w:color w:val="auto"/>
              </w:rPr>
            </w:pPr>
            <w:r>
              <w:rPr>
                <w:rFonts w:ascii="Arial" w:cs="Arial" w:eastAsia="Arial" w:hAnsi="Arial"/>
                <w:sz w:val="16"/>
                <w:szCs w:val="16"/>
                <w:color w:val="auto"/>
              </w:rPr>
              <w:t>Employee Stock Purchase Plan</w:t>
            </w:r>
          </w:p>
        </w:tc>
        <w:tc>
          <w:tcPr>
            <w:tcW w:w="2220" w:type="dxa"/>
            <w:vAlign w:val="bottom"/>
            <w:tcBorders>
              <w:top w:val="single" w:sz="8" w:color="DBDBDB"/>
            </w:tcBorders>
          </w:tcPr>
          <w:p>
            <w:pPr>
              <w:jc w:val="right"/>
              <w:ind w:right="945"/>
              <w:spacing w:after="0"/>
              <w:rPr>
                <w:sz w:val="20"/>
                <w:szCs w:val="20"/>
                <w:color w:val="auto"/>
              </w:rPr>
            </w:pPr>
            <w:r>
              <w:rPr>
                <w:rFonts w:ascii="Arial" w:cs="Arial" w:eastAsia="Arial" w:hAnsi="Arial"/>
                <w:sz w:val="16"/>
                <w:szCs w:val="16"/>
                <w:color w:val="auto"/>
              </w:rPr>
              <w:t>—</w:t>
            </w:r>
          </w:p>
        </w:tc>
        <w:tc>
          <w:tcPr>
            <w:tcW w:w="500" w:type="dxa"/>
            <w:vAlign w:val="bottom"/>
            <w:tcBorders>
              <w:top w:val="single" w:sz="8" w:color="DBDBDB"/>
            </w:tcBorders>
          </w:tcPr>
          <w:p>
            <w:pPr>
              <w:jc w:val="right"/>
              <w:ind w:right="79"/>
              <w:spacing w:after="0"/>
              <w:rPr>
                <w:sz w:val="20"/>
                <w:szCs w:val="20"/>
                <w:color w:val="auto"/>
              </w:rPr>
            </w:pPr>
            <w:r>
              <w:rPr>
                <w:rFonts w:ascii="Arial" w:cs="Arial" w:eastAsia="Arial" w:hAnsi="Arial"/>
                <w:sz w:val="16"/>
                <w:szCs w:val="16"/>
                <w:color w:val="auto"/>
              </w:rPr>
              <w:t>(4)</w:t>
            </w:r>
          </w:p>
        </w:tc>
        <w:tc>
          <w:tcPr>
            <w:tcW w:w="1860" w:type="dxa"/>
            <w:vAlign w:val="bottom"/>
            <w:tcBorders>
              <w:top w:val="single" w:sz="8" w:color="DBDBDB"/>
            </w:tcBorders>
          </w:tcPr>
          <w:p>
            <w:pPr>
              <w:ind w:left="900"/>
              <w:spacing w:after="0"/>
              <w:rPr>
                <w:sz w:val="20"/>
                <w:szCs w:val="20"/>
                <w:color w:val="auto"/>
              </w:rPr>
            </w:pPr>
            <w:r>
              <w:rPr>
                <w:rFonts w:ascii="Arial" w:cs="Arial" w:eastAsia="Arial" w:hAnsi="Arial"/>
                <w:sz w:val="16"/>
                <w:szCs w:val="16"/>
                <w:color w:val="auto"/>
              </w:rPr>
              <w:t>—</w:t>
            </w:r>
          </w:p>
        </w:tc>
        <w:tc>
          <w:tcPr>
            <w:tcW w:w="3040" w:type="dxa"/>
            <w:vAlign w:val="bottom"/>
            <w:tcBorders>
              <w:top w:val="single" w:sz="8" w:color="DBDBDB"/>
            </w:tcBorders>
          </w:tcPr>
          <w:p>
            <w:pPr>
              <w:jc w:val="right"/>
              <w:ind w:right="3"/>
              <w:spacing w:after="0"/>
              <w:rPr>
                <w:sz w:val="20"/>
                <w:szCs w:val="20"/>
                <w:color w:val="auto"/>
              </w:rPr>
            </w:pPr>
            <w:r>
              <w:rPr>
                <w:rFonts w:ascii="Arial" w:cs="Arial" w:eastAsia="Arial" w:hAnsi="Arial"/>
                <w:sz w:val="16"/>
                <w:szCs w:val="16"/>
                <w:color w:val="auto"/>
              </w:rPr>
              <w:t>895,579</w:t>
            </w:r>
          </w:p>
        </w:tc>
        <w:tc>
          <w:tcPr>
            <w:tcW w:w="0" w:type="dxa"/>
            <w:vAlign w:val="bottom"/>
          </w:tcPr>
          <w:p>
            <w:pPr>
              <w:spacing w:after="0"/>
              <w:rPr>
                <w:sz w:val="1"/>
                <w:szCs w:val="1"/>
                <w:color w:val="auto"/>
              </w:rPr>
            </w:pPr>
          </w:p>
        </w:tc>
      </w:tr>
      <w:tr>
        <w:trPr>
          <w:trHeight w:val="28"/>
        </w:trPr>
        <w:tc>
          <w:tcPr>
            <w:tcW w:w="400" w:type="dxa"/>
            <w:vAlign w:val="bottom"/>
            <w:tcBorders>
              <w:bottom w:val="single" w:sz="8" w:color="DBDBDB"/>
            </w:tcBorders>
          </w:tcPr>
          <w:p>
            <w:pPr>
              <w:spacing w:after="0"/>
              <w:rPr>
                <w:sz w:val="2"/>
                <w:szCs w:val="2"/>
                <w:color w:val="auto"/>
              </w:rPr>
            </w:pPr>
          </w:p>
        </w:tc>
        <w:tc>
          <w:tcPr>
            <w:tcW w:w="2840" w:type="dxa"/>
            <w:vAlign w:val="bottom"/>
            <w:tcBorders>
              <w:bottom w:val="single" w:sz="8" w:color="DBDBDB"/>
            </w:tcBorders>
          </w:tcPr>
          <w:p>
            <w:pPr>
              <w:spacing w:after="0"/>
              <w:rPr>
                <w:sz w:val="2"/>
                <w:szCs w:val="2"/>
                <w:color w:val="auto"/>
              </w:rPr>
            </w:pPr>
          </w:p>
        </w:tc>
        <w:tc>
          <w:tcPr>
            <w:tcW w:w="2220" w:type="dxa"/>
            <w:vAlign w:val="bottom"/>
            <w:tcBorders>
              <w:bottom w:val="single" w:sz="8" w:color="DBDBDB"/>
            </w:tcBorders>
          </w:tcPr>
          <w:p>
            <w:pPr>
              <w:spacing w:after="0"/>
              <w:rPr>
                <w:sz w:val="2"/>
                <w:szCs w:val="2"/>
                <w:color w:val="auto"/>
              </w:rPr>
            </w:pPr>
          </w:p>
        </w:tc>
        <w:tc>
          <w:tcPr>
            <w:tcW w:w="500" w:type="dxa"/>
            <w:vAlign w:val="bottom"/>
            <w:tcBorders>
              <w:bottom w:val="single" w:sz="8" w:color="DBDBDB"/>
            </w:tcBorders>
          </w:tcPr>
          <w:p>
            <w:pPr>
              <w:spacing w:after="0"/>
              <w:rPr>
                <w:sz w:val="2"/>
                <w:szCs w:val="2"/>
                <w:color w:val="auto"/>
              </w:rPr>
            </w:pPr>
          </w:p>
        </w:tc>
        <w:tc>
          <w:tcPr>
            <w:tcW w:w="1860" w:type="dxa"/>
            <w:vAlign w:val="bottom"/>
            <w:tcBorders>
              <w:bottom w:val="single" w:sz="8" w:color="DBDBDB"/>
            </w:tcBorders>
          </w:tcPr>
          <w:p>
            <w:pPr>
              <w:spacing w:after="0"/>
              <w:rPr>
                <w:sz w:val="2"/>
                <w:szCs w:val="2"/>
                <w:color w:val="auto"/>
              </w:rPr>
            </w:pPr>
          </w:p>
        </w:tc>
        <w:tc>
          <w:tcPr>
            <w:tcW w:w="3040" w:type="dxa"/>
            <w:vAlign w:val="bottom"/>
            <w:tcBorders>
              <w:bottom w:val="single" w:sz="8" w:color="DBDBDB"/>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84" w:lineRule="exact"/>
        <w:rPr>
          <w:sz w:val="20"/>
          <w:szCs w:val="20"/>
          <w:color w:val="auto"/>
        </w:rPr>
      </w:pPr>
    </w:p>
    <w:p>
      <w:pPr>
        <w:jc w:val="both"/>
        <w:ind w:left="960" w:hanging="324"/>
        <w:spacing w:after="0" w:line="276" w:lineRule="auto"/>
        <w:tabs>
          <w:tab w:leader="none" w:pos="977"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weighted average exercise price does not take into account deferred shares that have been allocated to participants’ bookkeeping accounts under the 2005 Restricted Stock Plan or the 2015 Equity Incentive Plan or the shares issuable upon vesting of outstanding awards of restricted stock units or performance shares, which have no exercise price.</w:t>
      </w:r>
    </w:p>
    <w:p>
      <w:pPr>
        <w:spacing w:after="0" w:line="68" w:lineRule="exact"/>
        <w:rPr>
          <w:rFonts w:ascii="Arial" w:cs="Arial" w:eastAsia="Arial" w:hAnsi="Arial"/>
          <w:sz w:val="18"/>
          <w:szCs w:val="18"/>
          <w:color w:val="auto"/>
        </w:rPr>
      </w:pPr>
    </w:p>
    <w:p>
      <w:pPr>
        <w:jc w:val="both"/>
        <w:ind w:left="960" w:hanging="324"/>
        <w:spacing w:after="0" w:line="267" w:lineRule="auto"/>
        <w:tabs>
          <w:tab w:leader="none" w:pos="937"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This number includes the following: 2,239 shares related to time-vested restricted stock unit awards that are deferred and have been allocated to participants’ bookkeeping accounts under the 2005 Restricted Stock Plan. Also included are 2,347 shares related to performance-vested unit awards that are deferred and have been allocated to participants’ bookkeeping accounts under the 2005 Restricted Stock Plan. The share number for time-vested restricted stock units and performance-vested unit awards represents the maximum amount of shares that may be awarded if the Company meets its best case performance targets. All awards were granted under the 2005 Restricted Stock Plan.</w:t>
      </w:r>
    </w:p>
    <w:p>
      <w:pPr>
        <w:spacing w:after="0" w:line="76" w:lineRule="exact"/>
        <w:rPr>
          <w:rFonts w:ascii="Arial" w:cs="Arial" w:eastAsia="Arial" w:hAnsi="Arial"/>
          <w:sz w:val="18"/>
          <w:szCs w:val="18"/>
          <w:color w:val="auto"/>
        </w:rPr>
      </w:pPr>
    </w:p>
    <w:p>
      <w:pPr>
        <w:jc w:val="both"/>
        <w:ind w:left="960" w:hanging="324"/>
        <w:spacing w:after="0" w:line="267" w:lineRule="auto"/>
        <w:tabs>
          <w:tab w:leader="none" w:pos="923"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This number includes the following: 11,685 outstanding stock options, 170,079 outstanding time-vested restricted stock unit awards that include 8,808 vested and deferred shares that have been allocated to participants’ bookkeeping accounts under the 2015 Equity Incentive Plan, and 301,097 outstanding performance-vested unit awards that include 3,882 vested and deferred shares that have been allocated to participants’ bookkeeping accounts under the 2015 Equity Incentive Plan. The share number for outstanding time-vested restricted stock units and outstanding performance-vested unit awards represents the maximum number of shares that may be awarded if the Company meets its best-case performance targets. All awards were granted under the 2015 Equity Incentive Plan.</w:t>
      </w:r>
    </w:p>
    <w:p>
      <w:pPr>
        <w:spacing w:after="0" w:line="62" w:lineRule="exact"/>
        <w:rPr>
          <w:rFonts w:ascii="Arial" w:cs="Arial" w:eastAsia="Arial" w:hAnsi="Arial"/>
          <w:sz w:val="18"/>
          <w:szCs w:val="18"/>
          <w:color w:val="auto"/>
        </w:rPr>
      </w:pPr>
    </w:p>
    <w:p>
      <w:pPr>
        <w:jc w:val="both"/>
        <w:ind w:left="960" w:hanging="324"/>
        <w:spacing w:after="0" w:line="273" w:lineRule="auto"/>
        <w:tabs>
          <w:tab w:leader="none" w:pos="923"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maximum number of shares subject to purchase rights under the 2006 Employee Stock Purchase Plan (“ESPP”) is a function of stock price and total employee contributions. As such, we cannot reasonably determine the number of shares subject to purchase rights as of June 30, 2024, and so this number does not include shares issuable pursuant to rights outstanding under the ESPP.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185420</wp:posOffset>
            </wp:positionV>
            <wp:extent cx="7132320" cy="3511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32320" cy="351155"/>
                    </a:xfrm>
                    <a:prstGeom prst="rect">
                      <a:avLst/>
                    </a:prstGeom>
                    <a:noFill/>
                  </pic:spPr>
                </pic:pic>
              </a:graphicData>
            </a:graphic>
          </wp:anchor>
        </w:drawing>
      </w:r>
    </w:p>
    <w:p>
      <w:pPr>
        <w:spacing w:after="0" w:line="200" w:lineRule="exact"/>
        <w:rPr>
          <w:sz w:val="20"/>
          <w:szCs w:val="20"/>
          <w:color w:val="auto"/>
        </w:rPr>
      </w:pPr>
    </w:p>
    <w:p>
      <w:pPr>
        <w:spacing w:after="0" w:line="283" w:lineRule="exact"/>
        <w:rPr>
          <w:sz w:val="20"/>
          <w:szCs w:val="20"/>
          <w:color w:val="auto"/>
        </w:rPr>
      </w:pPr>
    </w:p>
    <w:p>
      <w:pPr>
        <w:spacing w:after="0"/>
        <w:tabs>
          <w:tab w:leader="none" w:pos="420" w:val="left"/>
        </w:tabs>
        <w:rPr>
          <w:sz w:val="20"/>
          <w:szCs w:val="20"/>
          <w:color w:val="auto"/>
        </w:rPr>
      </w:pPr>
      <w:r>
        <w:rPr>
          <w:rFonts w:ascii="Arial" w:cs="Arial" w:eastAsia="Arial" w:hAnsi="Arial"/>
          <w:sz w:val="18"/>
          <w:szCs w:val="18"/>
          <w:color w:val="auto"/>
        </w:rPr>
        <w:t>62</w:t>
        <w:tab/>
        <w:t>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262255</wp:posOffset>
            </wp:positionV>
            <wp:extent cx="7157720" cy="425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40" w:top="914" w:right="339" w:bottom="1440" w:gutter="0" w:footer="0" w:header="0"/>
        </w:sectPr>
      </w:pPr>
    </w:p>
    <w:bookmarkStart w:id="65" w:name="page66"/>
    <w:bookmarkEnd w:id="65"/>
    <w:p>
      <w:pPr>
        <w:jc w:val="center"/>
        <w:spacing w:after="0"/>
        <w:rPr>
          <w:sz w:val="20"/>
          <w:szCs w:val="20"/>
          <w:color w:val="auto"/>
        </w:rPr>
      </w:pPr>
      <w:r>
        <w:rPr>
          <w:rFonts w:ascii="Arial" w:cs="Arial" w:eastAsia="Arial" w:hAnsi="Arial"/>
          <w:sz w:val="22"/>
          <w:szCs w:val="22"/>
          <w:b w:val="1"/>
          <w:bCs w:val="1"/>
          <w:color w:val="auto"/>
        </w:rPr>
        <w:t>PAY RATIO DISCLOSURE</w:t>
      </w:r>
    </w:p>
    <w:p>
      <w:pPr>
        <w:spacing w:after="0" w:line="253" w:lineRule="exact"/>
        <w:rPr>
          <w:sz w:val="20"/>
          <w:szCs w:val="20"/>
          <w:color w:val="auto"/>
        </w:rPr>
      </w:pPr>
    </w:p>
    <w:p>
      <w:pPr>
        <w:jc w:val="both"/>
        <w:spacing w:after="0" w:line="265" w:lineRule="auto"/>
        <w:rPr>
          <w:sz w:val="20"/>
          <w:szCs w:val="20"/>
          <w:color w:val="auto"/>
        </w:rPr>
      </w:pPr>
      <w:r>
        <w:rPr>
          <w:rFonts w:ascii="Arial" w:cs="Arial" w:eastAsia="Arial" w:hAnsi="Arial"/>
          <w:sz w:val="20"/>
          <w:szCs w:val="20"/>
          <w:color w:val="auto"/>
        </w:rPr>
        <w:t>Our compensation and benefits philosophy and benefit programs are broadly similar across the organization to encourage and reward all employees who contribute to our success. Compensation rates are benchmarked based on job level and responsibilities and are set to be market-competitive in the location in which the jobs are performed. Our ongoing commitment to pay equity is critical to our success in supporting a diverse workforce with opportunities for all employees to grow, develop, and contribute. We employ approximately 7,200 people in the U.S. at 19 Company locations with a majority of our employees working from remote locations.</w:t>
      </w:r>
    </w:p>
    <w:p>
      <w:pPr>
        <w:spacing w:after="0" w:line="204" w:lineRule="exact"/>
        <w:rPr>
          <w:sz w:val="20"/>
          <w:szCs w:val="20"/>
          <w:color w:val="auto"/>
        </w:rPr>
      </w:pPr>
    </w:p>
    <w:p>
      <w:pPr>
        <w:jc w:val="both"/>
        <w:spacing w:after="0" w:line="297" w:lineRule="auto"/>
        <w:rPr>
          <w:sz w:val="20"/>
          <w:szCs w:val="20"/>
          <w:color w:val="auto"/>
        </w:rPr>
      </w:pPr>
      <w:r>
        <w:rPr>
          <w:rFonts w:ascii="Arial" w:cs="Arial" w:eastAsia="Arial" w:hAnsi="Arial"/>
          <w:sz w:val="19"/>
          <w:szCs w:val="19"/>
          <w:color w:val="auto"/>
        </w:rPr>
        <w:t>Under rules adopted pursuant to the Dodd-Frank Act of 2010, Jack Henry is required to calculate and disclose the total compensation paid to its median paid employee, as well as the ratio of the total compensation paid to the median employee as compared to the total compensation paid to David Foss, our Chief Executive Officer, during the fiscal year ended June 30, 2024.</w:t>
      </w:r>
    </w:p>
    <w:p>
      <w:pPr>
        <w:spacing w:after="0" w:line="174"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To determine the median employee, we identified our employee population as of June 30, 2024. This population consisted of 7,182 employees. We are required to identify the median employee using a “consistently applied compensation measure” (“CACM”). We chose a CACM of calculating the actual base salary earnings (or base wages for hourly employees, which is exclusive of overtime wages) and annual bonus during the fiscal year across the employee population, excluding our Chief Executive Officer. We believe actual base salary earnings (or base wages for hourly employees, which is exclusive of overtime wages) and annual bonus is a reasonable basis on which to identify the median employee because those employees who receive commissions, equity awards, or overtime pay represent a relatively small portion of our employee population.</w:t>
      </w:r>
    </w:p>
    <w:p>
      <w:pPr>
        <w:spacing w:after="0" w:line="2" w:lineRule="exact"/>
        <w:rPr>
          <w:sz w:val="20"/>
          <w:szCs w:val="20"/>
          <w:color w:val="auto"/>
        </w:rPr>
      </w:pPr>
    </w:p>
    <w:p>
      <w:pPr>
        <w:jc w:val="both"/>
        <w:spacing w:after="0" w:line="264" w:lineRule="auto"/>
        <w:rPr>
          <w:sz w:val="20"/>
          <w:szCs w:val="20"/>
          <w:color w:val="auto"/>
        </w:rPr>
      </w:pPr>
      <w:r>
        <w:rPr>
          <w:rFonts w:ascii="Arial" w:cs="Arial" w:eastAsia="Arial" w:hAnsi="Arial"/>
          <w:sz w:val="20"/>
          <w:szCs w:val="20"/>
          <w:color w:val="auto"/>
        </w:rPr>
        <w:t>After identifying our median employee based on actual base salary earnings and annual bonus, we then calculated the annual total compensation for this employee using the same methodology we use for our Named Executives as set forth in the fiscal 2024 Summary Compensation Table included in this Proxy Statement. Based on this calculation, this median employee’s annual total compensation for fiscal 2024 was $ 86,594. The annual total compensation of the Chief Executive Officer for fiscal 2024 (as set forth in the Summary Compensation Table on page 52) was $10,963,138 resulting in a pay ratio of 127 to one.</w:t>
      </w:r>
    </w:p>
    <w:p>
      <w:pPr>
        <w:spacing w:after="0" w:line="29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PAY VERSUS PERFORMANCE</w:t>
      </w:r>
    </w:p>
    <w:p>
      <w:pPr>
        <w:spacing w:after="0" w:line="267" w:lineRule="exact"/>
        <w:rPr>
          <w:sz w:val="20"/>
          <w:szCs w:val="20"/>
          <w:color w:val="auto"/>
        </w:rPr>
      </w:pPr>
    </w:p>
    <w:p>
      <w:pPr>
        <w:jc w:val="both"/>
        <w:spacing w:after="0" w:line="265" w:lineRule="auto"/>
        <w:rPr>
          <w:sz w:val="20"/>
          <w:szCs w:val="20"/>
          <w:color w:val="auto"/>
        </w:rPr>
      </w:pPr>
      <w:r>
        <w:rPr>
          <w:rFonts w:ascii="Arial" w:cs="Arial" w:eastAsia="Arial" w:hAnsi="Arial"/>
          <w:sz w:val="20"/>
          <w:szCs w:val="20"/>
          <w:color w:val="auto"/>
        </w:rPr>
        <w:t>The below disclosure provides information regarding the Company’s performance and the “compensation actually paid” (“CAP”) to our principle executive officer (“PEO”) and our other non-PEO Named Executives (collectively, the “Other NEOs”) in accordance with the SEC’s pay versus performance rules in Item 402(v) of Regulation S-K. For a discussion of the Company’s philosophy and objectives for executive compensation, please review the Compensation Discussion and Analysis beginning on page 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339090</wp:posOffset>
            </wp:positionV>
            <wp:extent cx="7132320" cy="3511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32320" cy="3511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9000"/>
        <w:spacing w:after="0"/>
        <w:tabs>
          <w:tab w:leader="none" w:pos="11000" w:val="left"/>
        </w:tabs>
        <w:rPr>
          <w:sz w:val="20"/>
          <w:szCs w:val="20"/>
          <w:color w:val="auto"/>
        </w:rPr>
      </w:pPr>
      <w:r>
        <w:rPr>
          <w:rFonts w:ascii="Arial" w:cs="Arial" w:eastAsia="Arial" w:hAnsi="Arial"/>
          <w:sz w:val="18"/>
          <w:szCs w:val="18"/>
          <w:color w:val="auto"/>
        </w:rPr>
        <w:t>2024 Proxy Statement</w:t>
      </w:r>
      <w:r>
        <w:rPr>
          <w:sz w:val="20"/>
          <w:szCs w:val="20"/>
          <w:color w:val="auto"/>
        </w:rPr>
        <w:tab/>
      </w:r>
      <w:r>
        <w:rPr>
          <w:rFonts w:ascii="Arial" w:cs="Arial" w:eastAsia="Arial" w:hAnsi="Arial"/>
          <w:sz w:val="17"/>
          <w:szCs w:val="17"/>
          <w:color w:val="1E3767"/>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253365</wp:posOffset>
            </wp:positionV>
            <wp:extent cx="7157720" cy="425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40" w:right="339" w:bottom="1440" w:gutter="0" w:footer="0" w:header="0"/>
        </w:sectPr>
      </w:pPr>
    </w:p>
    <w:bookmarkStart w:id="66" w:name="page67"/>
    <w:bookmarkEnd w:id="66"/>
    <w:tbl>
      <w:tblPr>
        <w:tblLayout w:type="fixed"/>
        <w:tblInd w:w="0" w:type="dxa"/>
        <w:tblCellMar>
          <w:top w:w="0" w:type="dxa"/>
          <w:left w:w="0" w:type="dxa"/>
          <w:bottom w:w="0" w:type="dxa"/>
          <w:right w:w="0" w:type="dxa"/>
        </w:tblCellMar>
      </w:tblPr>
      <w:tr>
        <w:trPr>
          <w:trHeight w:val="517"/>
        </w:trPr>
        <w:tc>
          <w:tcPr>
            <w:tcW w:w="580" w:type="dxa"/>
            <w:vAlign w:val="bottom"/>
            <w:shd w:val="clear" w:color="auto" w:fill="E8F7F7"/>
          </w:tcPr>
          <w:p>
            <w:pPr>
              <w:spacing w:after="0"/>
              <w:rPr>
                <w:sz w:val="24"/>
                <w:szCs w:val="24"/>
                <w:color w:val="auto"/>
              </w:rPr>
            </w:pPr>
          </w:p>
        </w:tc>
        <w:tc>
          <w:tcPr>
            <w:tcW w:w="1480" w:type="dxa"/>
            <w:vAlign w:val="bottom"/>
            <w:shd w:val="clear" w:color="auto" w:fill="E8F7F7"/>
          </w:tcPr>
          <w:p>
            <w:pPr>
              <w:spacing w:after="0"/>
              <w:rPr>
                <w:sz w:val="24"/>
                <w:szCs w:val="24"/>
                <w:color w:val="auto"/>
              </w:rPr>
            </w:pPr>
          </w:p>
        </w:tc>
        <w:tc>
          <w:tcPr>
            <w:tcW w:w="1260" w:type="dxa"/>
            <w:vAlign w:val="bottom"/>
            <w:shd w:val="clear" w:color="auto" w:fill="E8F7F7"/>
          </w:tcPr>
          <w:p>
            <w:pPr>
              <w:spacing w:after="0"/>
              <w:rPr>
                <w:sz w:val="24"/>
                <w:szCs w:val="24"/>
                <w:color w:val="auto"/>
              </w:rPr>
            </w:pPr>
          </w:p>
        </w:tc>
        <w:tc>
          <w:tcPr>
            <w:tcW w:w="1320" w:type="dxa"/>
            <w:vAlign w:val="bottom"/>
            <w:shd w:val="clear" w:color="auto" w:fill="E8F7F7"/>
          </w:tcPr>
          <w:p>
            <w:pPr>
              <w:spacing w:after="0"/>
              <w:rPr>
                <w:sz w:val="24"/>
                <w:szCs w:val="24"/>
                <w:color w:val="auto"/>
              </w:rPr>
            </w:pPr>
          </w:p>
        </w:tc>
        <w:tc>
          <w:tcPr>
            <w:tcW w:w="1300" w:type="dxa"/>
            <w:vAlign w:val="bottom"/>
            <w:shd w:val="clear" w:color="auto" w:fill="E8F7F7"/>
          </w:tcPr>
          <w:p>
            <w:pPr>
              <w:spacing w:after="0"/>
              <w:rPr>
                <w:sz w:val="24"/>
                <w:szCs w:val="24"/>
                <w:color w:val="auto"/>
              </w:rPr>
            </w:pPr>
          </w:p>
        </w:tc>
        <w:tc>
          <w:tcPr>
            <w:tcW w:w="2660" w:type="dxa"/>
            <w:vAlign w:val="bottom"/>
            <w:gridSpan w:val="2"/>
            <w:shd w:val="clear" w:color="auto" w:fill="E8F7F7"/>
          </w:tcPr>
          <w:p>
            <w:pPr>
              <w:jc w:val="right"/>
              <w:spacing w:after="0"/>
              <w:rPr>
                <w:sz w:val="20"/>
                <w:szCs w:val="20"/>
                <w:color w:val="auto"/>
              </w:rPr>
            </w:pPr>
            <w:r>
              <w:rPr>
                <w:rFonts w:ascii="Arial" w:cs="Arial" w:eastAsia="Arial" w:hAnsi="Arial"/>
                <w:sz w:val="14"/>
                <w:szCs w:val="14"/>
                <w:color w:val="auto"/>
              </w:rPr>
              <w:t>Value of Initial Fixed $100 Investment on</w:t>
            </w:r>
          </w:p>
        </w:tc>
        <w:tc>
          <w:tcPr>
            <w:tcW w:w="1340" w:type="dxa"/>
            <w:vAlign w:val="bottom"/>
            <w:shd w:val="clear" w:color="auto" w:fill="E8F7F7"/>
          </w:tcPr>
          <w:p>
            <w:pPr>
              <w:spacing w:after="0"/>
              <w:rPr>
                <w:sz w:val="24"/>
                <w:szCs w:val="24"/>
                <w:color w:val="auto"/>
              </w:rPr>
            </w:pPr>
          </w:p>
        </w:tc>
        <w:tc>
          <w:tcPr>
            <w:tcW w:w="1300" w:type="dxa"/>
            <w:vAlign w:val="bottom"/>
            <w:shd w:val="clear" w:color="auto" w:fill="E8F7F7"/>
          </w:tcPr>
          <w:p>
            <w:pPr>
              <w:spacing w:after="0"/>
              <w:rPr>
                <w:sz w:val="24"/>
                <w:szCs w:val="24"/>
                <w:color w:val="auto"/>
              </w:rPr>
            </w:pPr>
          </w:p>
        </w:tc>
        <w:tc>
          <w:tcPr>
            <w:tcW w:w="0" w:type="dxa"/>
            <w:vAlign w:val="bottom"/>
          </w:tcPr>
          <w:p>
            <w:pPr>
              <w:spacing w:after="0"/>
              <w:rPr>
                <w:sz w:val="1"/>
                <w:szCs w:val="1"/>
                <w:color w:val="auto"/>
              </w:rPr>
            </w:pPr>
          </w:p>
        </w:tc>
      </w:tr>
      <w:tr>
        <w:trPr>
          <w:trHeight w:val="185"/>
        </w:trPr>
        <w:tc>
          <w:tcPr>
            <w:tcW w:w="580" w:type="dxa"/>
            <w:vAlign w:val="bottom"/>
            <w:tcBorders>
              <w:bottom w:val="single" w:sz="8" w:color="E8F7F7"/>
            </w:tcBorders>
            <w:shd w:val="clear" w:color="auto" w:fill="E8F7F7"/>
          </w:tcPr>
          <w:p>
            <w:pPr>
              <w:spacing w:after="0"/>
              <w:rPr>
                <w:sz w:val="16"/>
                <w:szCs w:val="16"/>
                <w:color w:val="auto"/>
              </w:rPr>
            </w:pPr>
          </w:p>
        </w:tc>
        <w:tc>
          <w:tcPr>
            <w:tcW w:w="1480" w:type="dxa"/>
            <w:vAlign w:val="bottom"/>
            <w:tcBorders>
              <w:bottom w:val="single" w:sz="8" w:color="E8F7F7"/>
            </w:tcBorders>
            <w:shd w:val="clear" w:color="auto" w:fill="E8F7F7"/>
          </w:tcPr>
          <w:p>
            <w:pPr>
              <w:spacing w:after="0"/>
              <w:rPr>
                <w:sz w:val="16"/>
                <w:szCs w:val="16"/>
                <w:color w:val="auto"/>
              </w:rPr>
            </w:pPr>
          </w:p>
        </w:tc>
        <w:tc>
          <w:tcPr>
            <w:tcW w:w="1260" w:type="dxa"/>
            <w:vAlign w:val="bottom"/>
            <w:tcBorders>
              <w:bottom w:val="single" w:sz="8" w:color="E8F7F7"/>
            </w:tcBorders>
            <w:shd w:val="clear" w:color="auto" w:fill="E8F7F7"/>
          </w:tcPr>
          <w:p>
            <w:pPr>
              <w:spacing w:after="0"/>
              <w:rPr>
                <w:sz w:val="16"/>
                <w:szCs w:val="16"/>
                <w:color w:val="auto"/>
              </w:rPr>
            </w:pPr>
          </w:p>
        </w:tc>
        <w:tc>
          <w:tcPr>
            <w:tcW w:w="1320" w:type="dxa"/>
            <w:vAlign w:val="bottom"/>
            <w:tcBorders>
              <w:bottom w:val="single" w:sz="8" w:color="E8F7F7"/>
            </w:tcBorders>
            <w:shd w:val="clear" w:color="auto" w:fill="E8F7F7"/>
          </w:tcPr>
          <w:p>
            <w:pPr>
              <w:spacing w:after="0"/>
              <w:rPr>
                <w:sz w:val="16"/>
                <w:szCs w:val="16"/>
                <w:color w:val="auto"/>
              </w:rPr>
            </w:pPr>
          </w:p>
        </w:tc>
        <w:tc>
          <w:tcPr>
            <w:tcW w:w="1300" w:type="dxa"/>
            <w:vAlign w:val="bottom"/>
            <w:tcBorders>
              <w:bottom w:val="single" w:sz="8" w:color="E8F7F7"/>
            </w:tcBorders>
            <w:shd w:val="clear" w:color="auto" w:fill="E8F7F7"/>
          </w:tcPr>
          <w:p>
            <w:pPr>
              <w:spacing w:after="0"/>
              <w:rPr>
                <w:sz w:val="16"/>
                <w:szCs w:val="16"/>
                <w:color w:val="auto"/>
              </w:rPr>
            </w:pPr>
          </w:p>
        </w:tc>
        <w:tc>
          <w:tcPr>
            <w:tcW w:w="2660" w:type="dxa"/>
            <w:vAlign w:val="bottom"/>
            <w:tcBorders>
              <w:bottom w:val="single" w:sz="8" w:color="auto"/>
            </w:tcBorders>
            <w:gridSpan w:val="2"/>
            <w:shd w:val="clear" w:color="auto" w:fill="E8F7F7"/>
          </w:tcPr>
          <w:p>
            <w:pPr>
              <w:jc w:val="right"/>
              <w:ind w:right="468"/>
              <w:spacing w:after="0"/>
              <w:rPr>
                <w:sz w:val="20"/>
                <w:szCs w:val="20"/>
                <w:color w:val="auto"/>
              </w:rPr>
            </w:pPr>
            <w:r>
              <w:rPr>
                <w:rFonts w:ascii="Arial" w:cs="Arial" w:eastAsia="Arial" w:hAnsi="Arial"/>
                <w:sz w:val="14"/>
                <w:szCs w:val="14"/>
                <w:color w:val="auto"/>
              </w:rPr>
              <w:t>June 30, 2020 Based on</w:t>
            </w:r>
          </w:p>
        </w:tc>
        <w:tc>
          <w:tcPr>
            <w:tcW w:w="1340" w:type="dxa"/>
            <w:vAlign w:val="bottom"/>
            <w:tcBorders>
              <w:bottom w:val="single" w:sz="8" w:color="E8F7F7"/>
            </w:tcBorders>
            <w:shd w:val="clear" w:color="auto" w:fill="E8F7F7"/>
          </w:tcPr>
          <w:p>
            <w:pPr>
              <w:spacing w:after="0"/>
              <w:rPr>
                <w:sz w:val="16"/>
                <w:szCs w:val="16"/>
                <w:color w:val="auto"/>
              </w:rPr>
            </w:pPr>
          </w:p>
        </w:tc>
        <w:tc>
          <w:tcPr>
            <w:tcW w:w="1300" w:type="dxa"/>
            <w:vAlign w:val="bottom"/>
            <w:tcBorders>
              <w:bottom w:val="single" w:sz="8" w:color="E8F7F7"/>
            </w:tcBorders>
            <w:shd w:val="clear" w:color="auto" w:fill="E8F7F7"/>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580" w:type="dxa"/>
            <w:vAlign w:val="bottom"/>
            <w:shd w:val="clear" w:color="auto" w:fill="E8F7F7"/>
          </w:tcPr>
          <w:p>
            <w:pPr>
              <w:spacing w:after="0"/>
              <w:rPr>
                <w:sz w:val="16"/>
                <w:szCs w:val="16"/>
                <w:color w:val="auto"/>
              </w:rPr>
            </w:pPr>
          </w:p>
        </w:tc>
        <w:tc>
          <w:tcPr>
            <w:tcW w:w="1480" w:type="dxa"/>
            <w:vAlign w:val="bottom"/>
            <w:shd w:val="clear" w:color="auto" w:fill="E8F7F7"/>
          </w:tcPr>
          <w:p>
            <w:pPr>
              <w:spacing w:after="0"/>
              <w:rPr>
                <w:sz w:val="16"/>
                <w:szCs w:val="16"/>
                <w:color w:val="auto"/>
              </w:rPr>
            </w:pPr>
          </w:p>
        </w:tc>
        <w:tc>
          <w:tcPr>
            <w:tcW w:w="1260" w:type="dxa"/>
            <w:vAlign w:val="bottom"/>
            <w:shd w:val="clear" w:color="auto" w:fill="E8F7F7"/>
          </w:tcPr>
          <w:p>
            <w:pPr>
              <w:spacing w:after="0"/>
              <w:rPr>
                <w:sz w:val="16"/>
                <w:szCs w:val="16"/>
                <w:color w:val="auto"/>
              </w:rPr>
            </w:pPr>
          </w:p>
        </w:tc>
        <w:tc>
          <w:tcPr>
            <w:tcW w:w="1320" w:type="dxa"/>
            <w:vAlign w:val="bottom"/>
            <w:shd w:val="clear" w:color="auto" w:fill="E8F7F7"/>
          </w:tcPr>
          <w:p>
            <w:pPr>
              <w:jc w:val="center"/>
              <w:spacing w:after="0"/>
              <w:rPr>
                <w:sz w:val="20"/>
                <w:szCs w:val="20"/>
                <w:color w:val="auto"/>
              </w:rPr>
            </w:pPr>
            <w:r>
              <w:rPr>
                <w:rFonts w:ascii="Arial" w:cs="Arial" w:eastAsia="Arial" w:hAnsi="Arial"/>
                <w:sz w:val="14"/>
                <w:szCs w:val="14"/>
                <w:color w:val="auto"/>
              </w:rPr>
              <w:t>Average Summary</w:t>
            </w:r>
          </w:p>
        </w:tc>
        <w:tc>
          <w:tcPr>
            <w:tcW w:w="1300" w:type="dxa"/>
            <w:vAlign w:val="bottom"/>
            <w:shd w:val="clear" w:color="auto" w:fill="E8F7F7"/>
          </w:tcPr>
          <w:p>
            <w:pPr>
              <w:jc w:val="center"/>
              <w:spacing w:after="0"/>
              <w:rPr>
                <w:sz w:val="20"/>
                <w:szCs w:val="20"/>
                <w:color w:val="auto"/>
              </w:rPr>
            </w:pPr>
            <w:r>
              <w:rPr>
                <w:rFonts w:ascii="Arial" w:cs="Arial" w:eastAsia="Arial" w:hAnsi="Arial"/>
                <w:sz w:val="14"/>
                <w:szCs w:val="14"/>
                <w:color w:val="auto"/>
              </w:rPr>
              <w:t>Average</w:t>
            </w:r>
          </w:p>
        </w:tc>
        <w:tc>
          <w:tcPr>
            <w:tcW w:w="1340" w:type="dxa"/>
            <w:vAlign w:val="bottom"/>
            <w:shd w:val="clear" w:color="auto" w:fill="E8F7F7"/>
          </w:tcPr>
          <w:p>
            <w:pPr>
              <w:spacing w:after="0"/>
              <w:rPr>
                <w:sz w:val="16"/>
                <w:szCs w:val="16"/>
                <w:color w:val="auto"/>
              </w:rPr>
            </w:pPr>
          </w:p>
        </w:tc>
        <w:tc>
          <w:tcPr>
            <w:tcW w:w="1320" w:type="dxa"/>
            <w:vAlign w:val="bottom"/>
            <w:shd w:val="clear" w:color="auto" w:fill="E8F7F7"/>
          </w:tcPr>
          <w:p>
            <w:pPr>
              <w:spacing w:after="0"/>
              <w:rPr>
                <w:sz w:val="16"/>
                <w:szCs w:val="16"/>
                <w:color w:val="auto"/>
              </w:rPr>
            </w:pPr>
          </w:p>
        </w:tc>
        <w:tc>
          <w:tcPr>
            <w:tcW w:w="1340" w:type="dxa"/>
            <w:vAlign w:val="bottom"/>
            <w:shd w:val="clear" w:color="auto" w:fill="E8F7F7"/>
          </w:tcPr>
          <w:p>
            <w:pPr>
              <w:spacing w:after="0"/>
              <w:rPr>
                <w:sz w:val="16"/>
                <w:szCs w:val="16"/>
                <w:color w:val="auto"/>
              </w:rPr>
            </w:pPr>
          </w:p>
        </w:tc>
        <w:tc>
          <w:tcPr>
            <w:tcW w:w="1300" w:type="dxa"/>
            <w:vAlign w:val="bottom"/>
            <w:vMerge w:val="restart"/>
            <w:shd w:val="clear" w:color="auto" w:fill="E8F7F7"/>
          </w:tcPr>
          <w:p>
            <w:pPr>
              <w:jc w:val="center"/>
              <w:spacing w:after="0"/>
              <w:rPr>
                <w:sz w:val="20"/>
                <w:szCs w:val="20"/>
                <w:color w:val="auto"/>
              </w:rPr>
            </w:pPr>
            <w:r>
              <w:rPr>
                <w:rFonts w:ascii="Arial" w:cs="Arial" w:eastAsia="Arial" w:hAnsi="Arial"/>
                <w:sz w:val="14"/>
                <w:szCs w:val="14"/>
                <w:color w:val="auto"/>
              </w:rPr>
              <w:t>Non-GAAP</w:t>
            </w:r>
          </w:p>
        </w:tc>
        <w:tc>
          <w:tcPr>
            <w:tcW w:w="0" w:type="dxa"/>
            <w:vAlign w:val="bottom"/>
          </w:tcPr>
          <w:p>
            <w:pPr>
              <w:spacing w:after="0"/>
              <w:rPr>
                <w:sz w:val="1"/>
                <w:szCs w:val="1"/>
                <w:color w:val="auto"/>
              </w:rPr>
            </w:pPr>
          </w:p>
        </w:tc>
      </w:tr>
      <w:tr>
        <w:trPr>
          <w:trHeight w:val="144"/>
        </w:trPr>
        <w:tc>
          <w:tcPr>
            <w:tcW w:w="580" w:type="dxa"/>
            <w:vAlign w:val="bottom"/>
            <w:shd w:val="clear" w:color="auto" w:fill="E8F7F7"/>
          </w:tcPr>
          <w:p>
            <w:pPr>
              <w:spacing w:after="0"/>
              <w:rPr>
                <w:sz w:val="12"/>
                <w:szCs w:val="12"/>
                <w:color w:val="auto"/>
              </w:rPr>
            </w:pPr>
          </w:p>
        </w:tc>
        <w:tc>
          <w:tcPr>
            <w:tcW w:w="1480" w:type="dxa"/>
            <w:vAlign w:val="bottom"/>
            <w:vMerge w:val="restart"/>
            <w:shd w:val="clear" w:color="auto" w:fill="E8F7F7"/>
          </w:tcPr>
          <w:p>
            <w:pPr>
              <w:jc w:val="center"/>
              <w:spacing w:after="0"/>
              <w:rPr>
                <w:sz w:val="20"/>
                <w:szCs w:val="20"/>
                <w:color w:val="auto"/>
              </w:rPr>
            </w:pPr>
            <w:r>
              <w:rPr>
                <w:rFonts w:ascii="Arial" w:cs="Arial" w:eastAsia="Arial" w:hAnsi="Arial"/>
                <w:sz w:val="14"/>
                <w:szCs w:val="14"/>
                <w:color w:val="auto"/>
              </w:rPr>
              <w:t>Summary</w:t>
            </w:r>
          </w:p>
        </w:tc>
        <w:tc>
          <w:tcPr>
            <w:tcW w:w="1260" w:type="dxa"/>
            <w:vAlign w:val="bottom"/>
            <w:vMerge w:val="restart"/>
            <w:shd w:val="clear" w:color="auto" w:fill="E8F7F7"/>
          </w:tcPr>
          <w:p>
            <w:pPr>
              <w:jc w:val="center"/>
              <w:ind w:right="28"/>
              <w:spacing w:after="0"/>
              <w:rPr>
                <w:sz w:val="20"/>
                <w:szCs w:val="20"/>
                <w:color w:val="auto"/>
              </w:rPr>
            </w:pPr>
            <w:r>
              <w:rPr>
                <w:rFonts w:ascii="Arial" w:cs="Arial" w:eastAsia="Arial" w:hAnsi="Arial"/>
                <w:sz w:val="14"/>
                <w:szCs w:val="14"/>
                <w:color w:val="auto"/>
              </w:rPr>
              <w:t>Compensation</w:t>
            </w:r>
          </w:p>
        </w:tc>
        <w:tc>
          <w:tcPr>
            <w:tcW w:w="1320" w:type="dxa"/>
            <w:vAlign w:val="bottom"/>
            <w:shd w:val="clear" w:color="auto" w:fill="E8F7F7"/>
          </w:tcPr>
          <w:p>
            <w:pPr>
              <w:jc w:val="center"/>
              <w:spacing w:after="0" w:line="145" w:lineRule="exact"/>
              <w:rPr>
                <w:sz w:val="20"/>
                <w:szCs w:val="20"/>
                <w:color w:val="auto"/>
              </w:rPr>
            </w:pPr>
            <w:r>
              <w:rPr>
                <w:rFonts w:ascii="Arial" w:cs="Arial" w:eastAsia="Arial" w:hAnsi="Arial"/>
                <w:sz w:val="14"/>
                <w:szCs w:val="14"/>
                <w:color w:val="auto"/>
              </w:rPr>
              <w:t>Compensation</w:t>
            </w:r>
          </w:p>
        </w:tc>
        <w:tc>
          <w:tcPr>
            <w:tcW w:w="1300" w:type="dxa"/>
            <w:vAlign w:val="bottom"/>
            <w:shd w:val="clear" w:color="auto" w:fill="E8F7F7"/>
          </w:tcPr>
          <w:p>
            <w:pPr>
              <w:jc w:val="center"/>
              <w:spacing w:after="0" w:line="145" w:lineRule="exact"/>
              <w:rPr>
                <w:sz w:val="20"/>
                <w:szCs w:val="20"/>
                <w:color w:val="auto"/>
              </w:rPr>
            </w:pPr>
            <w:r>
              <w:rPr>
                <w:rFonts w:ascii="Arial" w:cs="Arial" w:eastAsia="Arial" w:hAnsi="Arial"/>
                <w:sz w:val="14"/>
                <w:szCs w:val="14"/>
                <w:color w:val="auto"/>
              </w:rPr>
              <w:t>Compensation</w:t>
            </w:r>
          </w:p>
        </w:tc>
        <w:tc>
          <w:tcPr>
            <w:tcW w:w="1340" w:type="dxa"/>
            <w:vAlign w:val="bottom"/>
            <w:shd w:val="clear" w:color="auto" w:fill="E8F7F7"/>
          </w:tcPr>
          <w:p>
            <w:pPr>
              <w:spacing w:after="0"/>
              <w:rPr>
                <w:sz w:val="12"/>
                <w:szCs w:val="12"/>
                <w:color w:val="auto"/>
              </w:rPr>
            </w:pPr>
          </w:p>
        </w:tc>
        <w:tc>
          <w:tcPr>
            <w:tcW w:w="1320" w:type="dxa"/>
            <w:vAlign w:val="bottom"/>
            <w:shd w:val="clear" w:color="auto" w:fill="E8F7F7"/>
          </w:tcPr>
          <w:p>
            <w:pPr>
              <w:spacing w:after="0"/>
              <w:rPr>
                <w:sz w:val="12"/>
                <w:szCs w:val="12"/>
                <w:color w:val="auto"/>
              </w:rPr>
            </w:pPr>
          </w:p>
        </w:tc>
        <w:tc>
          <w:tcPr>
            <w:tcW w:w="1340" w:type="dxa"/>
            <w:vAlign w:val="bottom"/>
            <w:shd w:val="clear" w:color="auto" w:fill="E8F7F7"/>
          </w:tcPr>
          <w:p>
            <w:pPr>
              <w:spacing w:after="0"/>
              <w:rPr>
                <w:sz w:val="12"/>
                <w:szCs w:val="12"/>
                <w:color w:val="auto"/>
              </w:rPr>
            </w:pPr>
          </w:p>
        </w:tc>
        <w:tc>
          <w:tcPr>
            <w:tcW w:w="1300" w:type="dxa"/>
            <w:vAlign w:val="bottom"/>
            <w:vMerge w:val="continue"/>
            <w:shd w:val="clear" w:color="auto" w:fill="E8F7F7"/>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80" w:type="dxa"/>
            <w:vAlign w:val="bottom"/>
            <w:shd w:val="clear" w:color="auto" w:fill="E8F7F7"/>
          </w:tcPr>
          <w:p>
            <w:pPr>
              <w:spacing w:after="0"/>
              <w:rPr>
                <w:sz w:val="12"/>
                <w:szCs w:val="12"/>
                <w:color w:val="auto"/>
              </w:rPr>
            </w:pPr>
          </w:p>
        </w:tc>
        <w:tc>
          <w:tcPr>
            <w:tcW w:w="1480" w:type="dxa"/>
            <w:vAlign w:val="bottom"/>
            <w:vMerge w:val="continue"/>
            <w:shd w:val="clear" w:color="auto" w:fill="E8F7F7"/>
          </w:tcPr>
          <w:p>
            <w:pPr>
              <w:spacing w:after="0"/>
              <w:rPr>
                <w:sz w:val="12"/>
                <w:szCs w:val="12"/>
                <w:color w:val="auto"/>
              </w:rPr>
            </w:pPr>
          </w:p>
        </w:tc>
        <w:tc>
          <w:tcPr>
            <w:tcW w:w="1260" w:type="dxa"/>
            <w:vAlign w:val="bottom"/>
            <w:vMerge w:val="continue"/>
            <w:shd w:val="clear" w:color="auto" w:fill="E8F7F7"/>
          </w:tcPr>
          <w:p>
            <w:pPr>
              <w:spacing w:after="0"/>
              <w:rPr>
                <w:sz w:val="12"/>
                <w:szCs w:val="12"/>
                <w:color w:val="auto"/>
              </w:rPr>
            </w:pPr>
          </w:p>
        </w:tc>
        <w:tc>
          <w:tcPr>
            <w:tcW w:w="1320" w:type="dxa"/>
            <w:vAlign w:val="bottom"/>
            <w:shd w:val="clear" w:color="auto" w:fill="E8F7F7"/>
          </w:tcPr>
          <w:p>
            <w:pPr>
              <w:jc w:val="center"/>
              <w:spacing w:after="0" w:line="149" w:lineRule="exact"/>
              <w:rPr>
                <w:sz w:val="20"/>
                <w:szCs w:val="20"/>
                <w:color w:val="auto"/>
              </w:rPr>
            </w:pPr>
            <w:r>
              <w:rPr>
                <w:rFonts w:ascii="Arial" w:cs="Arial" w:eastAsia="Arial" w:hAnsi="Arial"/>
                <w:sz w:val="14"/>
                <w:szCs w:val="14"/>
                <w:color w:val="auto"/>
                <w:w w:val="99"/>
              </w:rPr>
              <w:t>Table Total for Non-</w:t>
            </w:r>
          </w:p>
        </w:tc>
        <w:tc>
          <w:tcPr>
            <w:tcW w:w="1300" w:type="dxa"/>
            <w:vAlign w:val="bottom"/>
            <w:shd w:val="clear" w:color="auto" w:fill="E8F7F7"/>
          </w:tcPr>
          <w:p>
            <w:pPr>
              <w:jc w:val="center"/>
              <w:spacing w:after="0" w:line="149" w:lineRule="exact"/>
              <w:rPr>
                <w:sz w:val="20"/>
                <w:szCs w:val="20"/>
                <w:color w:val="auto"/>
              </w:rPr>
            </w:pPr>
            <w:r>
              <w:rPr>
                <w:rFonts w:ascii="Arial" w:cs="Arial" w:eastAsia="Arial" w:hAnsi="Arial"/>
                <w:sz w:val="14"/>
                <w:szCs w:val="14"/>
                <w:color w:val="auto"/>
              </w:rPr>
              <w:t>Actually Paid to</w:t>
            </w:r>
          </w:p>
        </w:tc>
        <w:tc>
          <w:tcPr>
            <w:tcW w:w="1340" w:type="dxa"/>
            <w:vAlign w:val="bottom"/>
            <w:vMerge w:val="restart"/>
            <w:shd w:val="clear" w:color="auto" w:fill="E8F7F7"/>
          </w:tcPr>
          <w:p>
            <w:pPr>
              <w:jc w:val="center"/>
              <w:spacing w:after="0"/>
              <w:rPr>
                <w:sz w:val="20"/>
                <w:szCs w:val="20"/>
                <w:color w:val="auto"/>
              </w:rPr>
            </w:pPr>
            <w:r>
              <w:rPr>
                <w:rFonts w:ascii="Arial" w:cs="Arial" w:eastAsia="Arial" w:hAnsi="Arial"/>
                <w:sz w:val="14"/>
                <w:szCs w:val="14"/>
                <w:color w:val="auto"/>
              </w:rPr>
              <w:t>Total Shareholder</w:t>
            </w:r>
          </w:p>
        </w:tc>
        <w:tc>
          <w:tcPr>
            <w:tcW w:w="1320" w:type="dxa"/>
            <w:vAlign w:val="bottom"/>
            <w:vMerge w:val="restart"/>
            <w:shd w:val="clear" w:color="auto" w:fill="E8F7F7"/>
          </w:tcPr>
          <w:p>
            <w:pPr>
              <w:jc w:val="center"/>
              <w:spacing w:after="0"/>
              <w:rPr>
                <w:sz w:val="20"/>
                <w:szCs w:val="20"/>
                <w:color w:val="auto"/>
              </w:rPr>
            </w:pPr>
            <w:r>
              <w:rPr>
                <w:rFonts w:ascii="Arial" w:cs="Arial" w:eastAsia="Arial" w:hAnsi="Arial"/>
                <w:sz w:val="14"/>
                <w:szCs w:val="14"/>
                <w:color w:val="auto"/>
              </w:rPr>
              <w:t>Peer Group Total</w:t>
            </w:r>
          </w:p>
        </w:tc>
        <w:tc>
          <w:tcPr>
            <w:tcW w:w="1340" w:type="dxa"/>
            <w:vAlign w:val="bottom"/>
            <w:vMerge w:val="restart"/>
            <w:shd w:val="clear" w:color="auto" w:fill="E8F7F7"/>
          </w:tcPr>
          <w:p>
            <w:pPr>
              <w:jc w:val="center"/>
              <w:spacing w:after="0"/>
              <w:rPr>
                <w:sz w:val="20"/>
                <w:szCs w:val="20"/>
                <w:color w:val="auto"/>
              </w:rPr>
            </w:pPr>
            <w:r>
              <w:rPr>
                <w:rFonts w:ascii="Arial" w:cs="Arial" w:eastAsia="Arial" w:hAnsi="Arial"/>
                <w:sz w:val="14"/>
                <w:szCs w:val="14"/>
                <w:color w:val="auto"/>
              </w:rPr>
              <w:t>Net Income</w:t>
            </w:r>
          </w:p>
        </w:tc>
        <w:tc>
          <w:tcPr>
            <w:tcW w:w="1300" w:type="dxa"/>
            <w:vAlign w:val="bottom"/>
            <w:shd w:val="clear" w:color="auto" w:fill="E8F7F7"/>
          </w:tcPr>
          <w:p>
            <w:pPr>
              <w:jc w:val="center"/>
              <w:spacing w:after="0" w:line="149" w:lineRule="exact"/>
              <w:rPr>
                <w:sz w:val="20"/>
                <w:szCs w:val="20"/>
                <w:color w:val="auto"/>
              </w:rPr>
            </w:pPr>
            <w:r>
              <w:rPr>
                <w:rFonts w:ascii="Arial" w:cs="Arial" w:eastAsia="Arial" w:hAnsi="Arial"/>
                <w:sz w:val="14"/>
                <w:szCs w:val="14"/>
                <w:color w:val="auto"/>
              </w:rPr>
              <w:t>Adjusted Operating</w:t>
            </w:r>
          </w:p>
        </w:tc>
        <w:tc>
          <w:tcPr>
            <w:tcW w:w="0" w:type="dxa"/>
            <w:vAlign w:val="bottom"/>
          </w:tcPr>
          <w:p>
            <w:pPr>
              <w:spacing w:after="0"/>
              <w:rPr>
                <w:sz w:val="1"/>
                <w:szCs w:val="1"/>
                <w:color w:val="auto"/>
              </w:rPr>
            </w:pPr>
          </w:p>
        </w:tc>
      </w:tr>
      <w:tr>
        <w:trPr>
          <w:trHeight w:val="135"/>
        </w:trPr>
        <w:tc>
          <w:tcPr>
            <w:tcW w:w="580" w:type="dxa"/>
            <w:vAlign w:val="bottom"/>
            <w:shd w:val="clear" w:color="auto" w:fill="E8F7F7"/>
          </w:tcPr>
          <w:p>
            <w:pPr>
              <w:spacing w:after="0"/>
              <w:rPr>
                <w:sz w:val="11"/>
                <w:szCs w:val="11"/>
                <w:color w:val="auto"/>
              </w:rPr>
            </w:pPr>
          </w:p>
        </w:tc>
        <w:tc>
          <w:tcPr>
            <w:tcW w:w="1480" w:type="dxa"/>
            <w:vAlign w:val="bottom"/>
            <w:shd w:val="clear" w:color="auto" w:fill="E8F7F7"/>
          </w:tcPr>
          <w:p>
            <w:pPr>
              <w:jc w:val="center"/>
              <w:spacing w:after="0" w:line="135" w:lineRule="exact"/>
              <w:rPr>
                <w:sz w:val="20"/>
                <w:szCs w:val="20"/>
                <w:color w:val="auto"/>
              </w:rPr>
            </w:pPr>
            <w:r>
              <w:rPr>
                <w:rFonts w:ascii="Arial" w:cs="Arial" w:eastAsia="Arial" w:hAnsi="Arial"/>
                <w:sz w:val="14"/>
                <w:szCs w:val="14"/>
                <w:color w:val="auto"/>
              </w:rPr>
              <w:t>Compensation</w:t>
            </w:r>
          </w:p>
        </w:tc>
        <w:tc>
          <w:tcPr>
            <w:tcW w:w="1260" w:type="dxa"/>
            <w:vAlign w:val="bottom"/>
            <w:shd w:val="clear" w:color="auto" w:fill="E8F7F7"/>
          </w:tcPr>
          <w:p>
            <w:pPr>
              <w:jc w:val="center"/>
              <w:ind w:right="28"/>
              <w:spacing w:after="0" w:line="135" w:lineRule="exact"/>
              <w:rPr>
                <w:sz w:val="20"/>
                <w:szCs w:val="20"/>
                <w:color w:val="auto"/>
              </w:rPr>
            </w:pPr>
            <w:r>
              <w:rPr>
                <w:rFonts w:ascii="Arial" w:cs="Arial" w:eastAsia="Arial" w:hAnsi="Arial"/>
                <w:sz w:val="14"/>
                <w:szCs w:val="14"/>
                <w:color w:val="auto"/>
              </w:rPr>
              <w:t>Actually Paid to</w:t>
            </w:r>
          </w:p>
        </w:tc>
        <w:tc>
          <w:tcPr>
            <w:tcW w:w="1320" w:type="dxa"/>
            <w:vAlign w:val="bottom"/>
            <w:shd w:val="clear" w:color="auto" w:fill="E8F7F7"/>
          </w:tcPr>
          <w:p>
            <w:pPr>
              <w:jc w:val="center"/>
              <w:spacing w:after="0" w:line="135" w:lineRule="exact"/>
              <w:rPr>
                <w:sz w:val="20"/>
                <w:szCs w:val="20"/>
                <w:color w:val="auto"/>
              </w:rPr>
            </w:pPr>
            <w:r>
              <w:rPr>
                <w:rFonts w:ascii="Arial" w:cs="Arial" w:eastAsia="Arial" w:hAnsi="Arial"/>
                <w:sz w:val="14"/>
                <w:szCs w:val="14"/>
                <w:color w:val="auto"/>
              </w:rPr>
              <w:t>PEO Named</w:t>
            </w:r>
          </w:p>
        </w:tc>
        <w:tc>
          <w:tcPr>
            <w:tcW w:w="1300" w:type="dxa"/>
            <w:vAlign w:val="bottom"/>
            <w:shd w:val="clear" w:color="auto" w:fill="E8F7F7"/>
          </w:tcPr>
          <w:p>
            <w:pPr>
              <w:jc w:val="center"/>
              <w:spacing w:after="0" w:line="135" w:lineRule="exact"/>
              <w:rPr>
                <w:sz w:val="20"/>
                <w:szCs w:val="20"/>
                <w:color w:val="auto"/>
              </w:rPr>
            </w:pPr>
            <w:r>
              <w:rPr>
                <w:rFonts w:ascii="Arial" w:cs="Arial" w:eastAsia="Arial" w:hAnsi="Arial"/>
                <w:sz w:val="14"/>
                <w:szCs w:val="14"/>
                <w:color w:val="auto"/>
              </w:rPr>
              <w:t>Non-PEO Named</w:t>
            </w:r>
          </w:p>
        </w:tc>
        <w:tc>
          <w:tcPr>
            <w:tcW w:w="1340" w:type="dxa"/>
            <w:vAlign w:val="bottom"/>
            <w:vMerge w:val="continue"/>
            <w:shd w:val="clear" w:color="auto" w:fill="E8F7F7"/>
          </w:tcPr>
          <w:p>
            <w:pPr>
              <w:spacing w:after="0"/>
              <w:rPr>
                <w:sz w:val="11"/>
                <w:szCs w:val="11"/>
                <w:color w:val="auto"/>
              </w:rPr>
            </w:pPr>
          </w:p>
        </w:tc>
        <w:tc>
          <w:tcPr>
            <w:tcW w:w="1320" w:type="dxa"/>
            <w:vAlign w:val="bottom"/>
            <w:vMerge w:val="continue"/>
            <w:shd w:val="clear" w:color="auto" w:fill="E8F7F7"/>
          </w:tcPr>
          <w:p>
            <w:pPr>
              <w:spacing w:after="0"/>
              <w:rPr>
                <w:sz w:val="11"/>
                <w:szCs w:val="11"/>
                <w:color w:val="auto"/>
              </w:rPr>
            </w:pPr>
          </w:p>
        </w:tc>
        <w:tc>
          <w:tcPr>
            <w:tcW w:w="1340" w:type="dxa"/>
            <w:vAlign w:val="bottom"/>
            <w:vMerge w:val="continue"/>
            <w:shd w:val="clear" w:color="auto" w:fill="E8F7F7"/>
          </w:tcPr>
          <w:p>
            <w:pPr>
              <w:spacing w:after="0"/>
              <w:rPr>
                <w:sz w:val="11"/>
                <w:szCs w:val="11"/>
                <w:color w:val="auto"/>
              </w:rPr>
            </w:pPr>
          </w:p>
        </w:tc>
        <w:tc>
          <w:tcPr>
            <w:tcW w:w="1300" w:type="dxa"/>
            <w:vAlign w:val="bottom"/>
            <w:shd w:val="clear" w:color="auto" w:fill="E8F7F7"/>
          </w:tcPr>
          <w:p>
            <w:pPr>
              <w:jc w:val="center"/>
              <w:spacing w:after="0" w:line="135" w:lineRule="exact"/>
              <w:rPr>
                <w:sz w:val="20"/>
                <w:szCs w:val="20"/>
                <w:color w:val="auto"/>
              </w:rPr>
            </w:pPr>
            <w:r>
              <w:rPr>
                <w:rFonts w:ascii="Arial" w:cs="Arial" w:eastAsia="Arial" w:hAnsi="Arial"/>
                <w:sz w:val="14"/>
                <w:szCs w:val="14"/>
                <w:color w:val="auto"/>
              </w:rPr>
              <w:t>Income</w:t>
            </w:r>
          </w:p>
        </w:tc>
        <w:tc>
          <w:tcPr>
            <w:tcW w:w="0" w:type="dxa"/>
            <w:vAlign w:val="bottom"/>
          </w:tcPr>
          <w:p>
            <w:pPr>
              <w:spacing w:after="0"/>
              <w:rPr>
                <w:sz w:val="1"/>
                <w:szCs w:val="1"/>
                <w:color w:val="auto"/>
              </w:rPr>
            </w:pPr>
          </w:p>
        </w:tc>
      </w:tr>
      <w:tr>
        <w:trPr>
          <w:trHeight w:val="149"/>
        </w:trPr>
        <w:tc>
          <w:tcPr>
            <w:tcW w:w="580" w:type="dxa"/>
            <w:vAlign w:val="bottom"/>
            <w:vMerge w:val="restart"/>
            <w:shd w:val="clear" w:color="auto" w:fill="E8F7F7"/>
          </w:tcPr>
          <w:p>
            <w:pPr>
              <w:jc w:val="right"/>
              <w:ind w:right="28"/>
              <w:spacing w:after="0"/>
              <w:rPr>
                <w:sz w:val="20"/>
                <w:szCs w:val="20"/>
                <w:color w:val="auto"/>
              </w:rPr>
            </w:pPr>
            <w:r>
              <w:rPr>
                <w:rFonts w:ascii="Arial" w:cs="Arial" w:eastAsia="Arial" w:hAnsi="Arial"/>
                <w:sz w:val="14"/>
                <w:szCs w:val="14"/>
                <w:color w:val="auto"/>
              </w:rPr>
              <w:t>Year</w:t>
            </w:r>
          </w:p>
        </w:tc>
        <w:tc>
          <w:tcPr>
            <w:tcW w:w="1480" w:type="dxa"/>
            <w:vAlign w:val="bottom"/>
            <w:shd w:val="clear" w:color="auto" w:fill="E8F7F7"/>
          </w:tcPr>
          <w:p>
            <w:pPr>
              <w:jc w:val="center"/>
              <w:spacing w:after="0" w:line="149" w:lineRule="exact"/>
              <w:rPr>
                <w:sz w:val="20"/>
                <w:szCs w:val="20"/>
                <w:color w:val="auto"/>
              </w:rPr>
            </w:pPr>
            <w:r>
              <w:rPr>
                <w:rFonts w:ascii="Arial" w:cs="Arial" w:eastAsia="Arial" w:hAnsi="Arial"/>
                <w:sz w:val="14"/>
                <w:szCs w:val="14"/>
                <w:color w:val="auto"/>
              </w:rPr>
              <w:t>Table Total for PEO</w:t>
            </w:r>
          </w:p>
        </w:tc>
        <w:tc>
          <w:tcPr>
            <w:tcW w:w="1260" w:type="dxa"/>
            <w:vAlign w:val="bottom"/>
            <w:shd w:val="clear" w:color="auto" w:fill="E8F7F7"/>
          </w:tcPr>
          <w:p>
            <w:pPr>
              <w:jc w:val="center"/>
              <w:ind w:right="28"/>
              <w:spacing w:after="0" w:line="149" w:lineRule="exact"/>
              <w:rPr>
                <w:sz w:val="20"/>
                <w:szCs w:val="20"/>
                <w:color w:val="auto"/>
              </w:rPr>
            </w:pPr>
            <w:r>
              <w:rPr>
                <w:rFonts w:ascii="Arial" w:cs="Arial" w:eastAsia="Arial" w:hAnsi="Arial"/>
                <w:sz w:val="14"/>
                <w:szCs w:val="14"/>
                <w:color w:val="auto"/>
              </w:rPr>
              <w:t>PEO</w:t>
            </w:r>
          </w:p>
        </w:tc>
        <w:tc>
          <w:tcPr>
            <w:tcW w:w="1320" w:type="dxa"/>
            <w:vAlign w:val="bottom"/>
            <w:shd w:val="clear" w:color="auto" w:fill="E8F7F7"/>
          </w:tcPr>
          <w:p>
            <w:pPr>
              <w:jc w:val="center"/>
              <w:spacing w:after="0" w:line="149" w:lineRule="exact"/>
              <w:rPr>
                <w:sz w:val="20"/>
                <w:szCs w:val="20"/>
                <w:color w:val="auto"/>
              </w:rPr>
            </w:pPr>
            <w:r>
              <w:rPr>
                <w:rFonts w:ascii="Arial" w:cs="Arial" w:eastAsia="Arial" w:hAnsi="Arial"/>
                <w:sz w:val="14"/>
                <w:szCs w:val="14"/>
                <w:color w:val="auto"/>
              </w:rPr>
              <w:t>Executives Officers</w:t>
            </w:r>
          </w:p>
        </w:tc>
        <w:tc>
          <w:tcPr>
            <w:tcW w:w="1300" w:type="dxa"/>
            <w:vAlign w:val="bottom"/>
            <w:shd w:val="clear" w:color="auto" w:fill="E8F7F7"/>
          </w:tcPr>
          <w:p>
            <w:pPr>
              <w:jc w:val="center"/>
              <w:spacing w:after="0" w:line="149" w:lineRule="exact"/>
              <w:rPr>
                <w:sz w:val="20"/>
                <w:szCs w:val="20"/>
                <w:color w:val="auto"/>
              </w:rPr>
            </w:pPr>
            <w:r>
              <w:rPr>
                <w:rFonts w:ascii="Arial" w:cs="Arial" w:eastAsia="Arial" w:hAnsi="Arial"/>
                <w:sz w:val="14"/>
                <w:szCs w:val="14"/>
                <w:color w:val="auto"/>
              </w:rPr>
              <w:t>Executives Officers</w:t>
            </w:r>
          </w:p>
        </w:tc>
        <w:tc>
          <w:tcPr>
            <w:tcW w:w="1340" w:type="dxa"/>
            <w:vAlign w:val="bottom"/>
            <w:shd w:val="clear" w:color="auto" w:fill="E8F7F7"/>
          </w:tcPr>
          <w:p>
            <w:pPr>
              <w:jc w:val="center"/>
              <w:spacing w:after="0" w:line="149" w:lineRule="exact"/>
              <w:rPr>
                <w:sz w:val="20"/>
                <w:szCs w:val="20"/>
                <w:color w:val="auto"/>
              </w:rPr>
            </w:pPr>
            <w:r>
              <w:rPr>
                <w:rFonts w:ascii="Arial" w:cs="Arial" w:eastAsia="Arial" w:hAnsi="Arial"/>
                <w:sz w:val="14"/>
                <w:szCs w:val="14"/>
                <w:color w:val="auto"/>
                <w:w w:val="99"/>
              </w:rPr>
              <w:t>Return</w:t>
            </w:r>
          </w:p>
        </w:tc>
        <w:tc>
          <w:tcPr>
            <w:tcW w:w="1320" w:type="dxa"/>
            <w:vAlign w:val="bottom"/>
            <w:shd w:val="clear" w:color="auto" w:fill="E8F7F7"/>
          </w:tcPr>
          <w:p>
            <w:pPr>
              <w:jc w:val="center"/>
              <w:spacing w:after="0" w:line="149" w:lineRule="exact"/>
              <w:rPr>
                <w:sz w:val="20"/>
                <w:szCs w:val="20"/>
                <w:color w:val="auto"/>
              </w:rPr>
            </w:pPr>
            <w:r>
              <w:rPr>
                <w:rFonts w:ascii="Arial" w:cs="Arial" w:eastAsia="Arial" w:hAnsi="Arial"/>
                <w:sz w:val="14"/>
                <w:szCs w:val="14"/>
                <w:color w:val="auto"/>
              </w:rPr>
              <w:t>Shareholder Return</w:t>
            </w:r>
          </w:p>
        </w:tc>
        <w:tc>
          <w:tcPr>
            <w:tcW w:w="1340" w:type="dxa"/>
            <w:vAlign w:val="bottom"/>
            <w:shd w:val="clear" w:color="auto" w:fill="E8F7F7"/>
          </w:tcPr>
          <w:p>
            <w:pPr>
              <w:jc w:val="center"/>
              <w:spacing w:after="0" w:line="149" w:lineRule="exact"/>
              <w:rPr>
                <w:sz w:val="20"/>
                <w:szCs w:val="20"/>
                <w:color w:val="auto"/>
              </w:rPr>
            </w:pPr>
            <w:r>
              <w:rPr>
                <w:rFonts w:ascii="Arial" w:cs="Arial" w:eastAsia="Arial" w:hAnsi="Arial"/>
                <w:sz w:val="14"/>
                <w:szCs w:val="14"/>
                <w:color w:val="auto"/>
              </w:rPr>
              <w:t>(in thousands)</w:t>
            </w:r>
          </w:p>
        </w:tc>
        <w:tc>
          <w:tcPr>
            <w:tcW w:w="1300" w:type="dxa"/>
            <w:vAlign w:val="bottom"/>
            <w:shd w:val="clear" w:color="auto" w:fill="E8F7F7"/>
          </w:tcPr>
          <w:p>
            <w:pPr>
              <w:jc w:val="center"/>
              <w:spacing w:after="0" w:line="149" w:lineRule="exact"/>
              <w:rPr>
                <w:sz w:val="20"/>
                <w:szCs w:val="20"/>
                <w:color w:val="auto"/>
              </w:rPr>
            </w:pPr>
            <w:r>
              <w:rPr>
                <w:rFonts w:ascii="Arial" w:cs="Arial" w:eastAsia="Arial" w:hAnsi="Arial"/>
                <w:sz w:val="14"/>
                <w:szCs w:val="14"/>
                <w:color w:val="auto"/>
              </w:rPr>
              <w:t>(in thousands)</w:t>
            </w:r>
          </w:p>
        </w:tc>
        <w:tc>
          <w:tcPr>
            <w:tcW w:w="0" w:type="dxa"/>
            <w:vAlign w:val="bottom"/>
          </w:tcPr>
          <w:p>
            <w:pPr>
              <w:spacing w:after="0"/>
              <w:rPr>
                <w:sz w:val="1"/>
                <w:szCs w:val="1"/>
                <w:color w:val="auto"/>
              </w:rPr>
            </w:pPr>
          </w:p>
        </w:tc>
      </w:tr>
      <w:tr>
        <w:trPr>
          <w:trHeight w:val="189"/>
        </w:trPr>
        <w:tc>
          <w:tcPr>
            <w:tcW w:w="580" w:type="dxa"/>
            <w:vAlign w:val="bottom"/>
            <w:tcBorders>
              <w:bottom w:val="single" w:sz="8" w:color="DBDBDB"/>
            </w:tcBorders>
            <w:vMerge w:val="continue"/>
            <w:shd w:val="clear" w:color="auto" w:fill="E8F7F7"/>
          </w:tcPr>
          <w:p>
            <w:pPr>
              <w:spacing w:after="0"/>
              <w:rPr>
                <w:sz w:val="16"/>
                <w:szCs w:val="16"/>
                <w:color w:val="auto"/>
              </w:rPr>
            </w:pPr>
          </w:p>
        </w:tc>
        <w:tc>
          <w:tcPr>
            <w:tcW w:w="1480" w:type="dxa"/>
            <w:vAlign w:val="bottom"/>
            <w:tcBorders>
              <w:bottom w:val="single" w:sz="8" w:color="DBDBDB"/>
            </w:tcBorders>
            <w:shd w:val="clear" w:color="auto" w:fill="E8F7F7"/>
          </w:tcPr>
          <w:p>
            <w:pPr>
              <w:jc w:val="center"/>
              <w:spacing w:after="0"/>
              <w:rPr>
                <w:sz w:val="20"/>
                <w:szCs w:val="20"/>
                <w:color w:val="auto"/>
              </w:rPr>
            </w:pPr>
            <w:r>
              <w:rPr>
                <w:rFonts w:ascii="Arial" w:cs="Arial" w:eastAsia="Arial" w:hAnsi="Arial"/>
                <w:sz w:val="14"/>
                <w:szCs w:val="14"/>
                <w:color w:val="auto"/>
              </w:rPr>
              <w:t>($) (1)</w:t>
            </w:r>
          </w:p>
        </w:tc>
        <w:tc>
          <w:tcPr>
            <w:tcW w:w="1260" w:type="dxa"/>
            <w:vAlign w:val="bottom"/>
            <w:tcBorders>
              <w:bottom w:val="single" w:sz="8" w:color="DBDBDB"/>
            </w:tcBorders>
            <w:shd w:val="clear" w:color="auto" w:fill="E8F7F7"/>
          </w:tcPr>
          <w:p>
            <w:pPr>
              <w:jc w:val="center"/>
              <w:ind w:right="28"/>
              <w:spacing w:after="0"/>
              <w:rPr>
                <w:sz w:val="20"/>
                <w:szCs w:val="20"/>
                <w:color w:val="auto"/>
              </w:rPr>
            </w:pPr>
            <w:r>
              <w:rPr>
                <w:rFonts w:ascii="Arial" w:cs="Arial" w:eastAsia="Arial" w:hAnsi="Arial"/>
                <w:sz w:val="14"/>
                <w:szCs w:val="14"/>
                <w:color w:val="auto"/>
              </w:rPr>
              <w:t>($) (2)</w:t>
            </w:r>
          </w:p>
        </w:tc>
        <w:tc>
          <w:tcPr>
            <w:tcW w:w="1320" w:type="dxa"/>
            <w:vAlign w:val="bottom"/>
            <w:tcBorders>
              <w:bottom w:val="single" w:sz="8" w:color="DBDBDB"/>
            </w:tcBorders>
            <w:shd w:val="clear" w:color="auto" w:fill="E8F7F7"/>
          </w:tcPr>
          <w:p>
            <w:pPr>
              <w:jc w:val="center"/>
              <w:spacing w:after="0"/>
              <w:rPr>
                <w:sz w:val="20"/>
                <w:szCs w:val="20"/>
                <w:color w:val="auto"/>
              </w:rPr>
            </w:pPr>
            <w:r>
              <w:rPr>
                <w:rFonts w:ascii="Arial" w:cs="Arial" w:eastAsia="Arial" w:hAnsi="Arial"/>
                <w:sz w:val="14"/>
                <w:szCs w:val="14"/>
                <w:color w:val="auto"/>
              </w:rPr>
              <w:t>($) (3)</w:t>
            </w:r>
          </w:p>
        </w:tc>
        <w:tc>
          <w:tcPr>
            <w:tcW w:w="1300" w:type="dxa"/>
            <w:vAlign w:val="bottom"/>
            <w:tcBorders>
              <w:bottom w:val="single" w:sz="8" w:color="DBDBDB"/>
            </w:tcBorders>
            <w:shd w:val="clear" w:color="auto" w:fill="E8F7F7"/>
          </w:tcPr>
          <w:p>
            <w:pPr>
              <w:jc w:val="center"/>
              <w:spacing w:after="0"/>
              <w:rPr>
                <w:sz w:val="20"/>
                <w:szCs w:val="20"/>
                <w:color w:val="auto"/>
              </w:rPr>
            </w:pPr>
            <w:r>
              <w:rPr>
                <w:rFonts w:ascii="Arial" w:cs="Arial" w:eastAsia="Arial" w:hAnsi="Arial"/>
                <w:sz w:val="14"/>
                <w:szCs w:val="14"/>
                <w:color w:val="auto"/>
                <w:w w:val="99"/>
              </w:rPr>
              <w:t>($) (4)</w:t>
            </w:r>
          </w:p>
        </w:tc>
        <w:tc>
          <w:tcPr>
            <w:tcW w:w="1340" w:type="dxa"/>
            <w:vAlign w:val="bottom"/>
            <w:tcBorders>
              <w:bottom w:val="single" w:sz="8" w:color="DBDBDB"/>
            </w:tcBorders>
            <w:shd w:val="clear" w:color="auto" w:fill="E8F7F7"/>
          </w:tcPr>
          <w:p>
            <w:pPr>
              <w:jc w:val="center"/>
              <w:spacing w:after="0"/>
              <w:rPr>
                <w:sz w:val="20"/>
                <w:szCs w:val="20"/>
                <w:color w:val="auto"/>
              </w:rPr>
            </w:pPr>
            <w:r>
              <w:rPr>
                <w:rFonts w:ascii="Arial" w:cs="Arial" w:eastAsia="Arial" w:hAnsi="Arial"/>
                <w:sz w:val="14"/>
                <w:szCs w:val="14"/>
                <w:color w:val="auto"/>
                <w:w w:val="99"/>
              </w:rPr>
              <w:t>($) (5)</w:t>
            </w:r>
          </w:p>
        </w:tc>
        <w:tc>
          <w:tcPr>
            <w:tcW w:w="1320" w:type="dxa"/>
            <w:vAlign w:val="bottom"/>
            <w:tcBorders>
              <w:bottom w:val="single" w:sz="8" w:color="DBDBDB"/>
            </w:tcBorders>
            <w:shd w:val="clear" w:color="auto" w:fill="E8F7F7"/>
          </w:tcPr>
          <w:p>
            <w:pPr>
              <w:jc w:val="center"/>
              <w:spacing w:after="0"/>
              <w:rPr>
                <w:sz w:val="20"/>
                <w:szCs w:val="20"/>
                <w:color w:val="auto"/>
              </w:rPr>
            </w:pPr>
            <w:r>
              <w:rPr>
                <w:rFonts w:ascii="Arial" w:cs="Arial" w:eastAsia="Arial" w:hAnsi="Arial"/>
                <w:sz w:val="14"/>
                <w:szCs w:val="14"/>
                <w:color w:val="auto"/>
                <w:w w:val="99"/>
              </w:rPr>
              <w:t>($) (5)</w:t>
            </w:r>
          </w:p>
        </w:tc>
        <w:tc>
          <w:tcPr>
            <w:tcW w:w="1340" w:type="dxa"/>
            <w:vAlign w:val="bottom"/>
            <w:tcBorders>
              <w:bottom w:val="single" w:sz="8" w:color="DBDBDB"/>
            </w:tcBorders>
            <w:shd w:val="clear" w:color="auto" w:fill="E8F7F7"/>
          </w:tcPr>
          <w:p>
            <w:pPr>
              <w:jc w:val="center"/>
              <w:spacing w:after="0"/>
              <w:rPr>
                <w:sz w:val="20"/>
                <w:szCs w:val="20"/>
                <w:color w:val="auto"/>
              </w:rPr>
            </w:pPr>
            <w:r>
              <w:rPr>
                <w:rFonts w:ascii="Arial" w:cs="Arial" w:eastAsia="Arial" w:hAnsi="Arial"/>
                <w:sz w:val="14"/>
                <w:szCs w:val="14"/>
                <w:color w:val="auto"/>
              </w:rPr>
              <w:t>($)</w:t>
            </w:r>
          </w:p>
        </w:tc>
        <w:tc>
          <w:tcPr>
            <w:tcW w:w="1300" w:type="dxa"/>
            <w:vAlign w:val="bottom"/>
            <w:tcBorders>
              <w:bottom w:val="single" w:sz="8" w:color="DBDBDB"/>
            </w:tcBorders>
            <w:shd w:val="clear" w:color="auto" w:fill="E8F7F7"/>
          </w:tcPr>
          <w:p>
            <w:pPr>
              <w:jc w:val="center"/>
              <w:spacing w:after="0"/>
              <w:rPr>
                <w:sz w:val="20"/>
                <w:szCs w:val="20"/>
                <w:color w:val="auto"/>
              </w:rPr>
            </w:pPr>
            <w:r>
              <w:rPr>
                <w:rFonts w:ascii="Arial" w:cs="Arial" w:eastAsia="Arial" w:hAnsi="Arial"/>
                <w:sz w:val="14"/>
                <w:szCs w:val="14"/>
                <w:color w:val="auto"/>
              </w:rPr>
              <w:t>($) (6)</w:t>
            </w:r>
          </w:p>
        </w:tc>
        <w:tc>
          <w:tcPr>
            <w:tcW w:w="0" w:type="dxa"/>
            <w:vAlign w:val="bottom"/>
          </w:tcPr>
          <w:p>
            <w:pPr>
              <w:spacing w:after="0"/>
              <w:rPr>
                <w:sz w:val="1"/>
                <w:szCs w:val="1"/>
                <w:color w:val="auto"/>
              </w:rPr>
            </w:pPr>
          </w:p>
        </w:tc>
      </w:tr>
      <w:tr>
        <w:trPr>
          <w:trHeight w:val="192"/>
        </w:trPr>
        <w:tc>
          <w:tcPr>
            <w:tcW w:w="580" w:type="dxa"/>
            <w:vAlign w:val="bottom"/>
            <w:tcBorders>
              <w:bottom w:val="single" w:sz="8" w:color="DBDBDB"/>
            </w:tcBorders>
            <w:shd w:val="clear" w:color="auto" w:fill="E7ECF0"/>
          </w:tcPr>
          <w:p>
            <w:pPr>
              <w:jc w:val="right"/>
              <w:ind w:right="168"/>
              <w:spacing w:after="0"/>
              <w:rPr>
                <w:sz w:val="20"/>
                <w:szCs w:val="20"/>
                <w:color w:val="auto"/>
              </w:rPr>
            </w:pPr>
            <w:r>
              <w:rPr>
                <w:rFonts w:ascii="Arial" w:cs="Arial" w:eastAsia="Arial" w:hAnsi="Arial"/>
                <w:sz w:val="14"/>
                <w:szCs w:val="14"/>
                <w:color w:val="auto"/>
              </w:rPr>
              <w:t>2024</w:t>
            </w:r>
          </w:p>
        </w:tc>
        <w:tc>
          <w:tcPr>
            <w:tcW w:w="1480" w:type="dxa"/>
            <w:vAlign w:val="bottom"/>
            <w:tcBorders>
              <w:bottom w:val="single" w:sz="8" w:color="DBDBDB"/>
            </w:tcBorders>
            <w:shd w:val="clear" w:color="auto" w:fill="E7ECF0"/>
          </w:tcPr>
          <w:p>
            <w:pPr>
              <w:jc w:val="right"/>
              <w:ind w:right="28"/>
              <w:spacing w:after="0"/>
              <w:rPr>
                <w:sz w:val="20"/>
                <w:szCs w:val="20"/>
                <w:color w:val="auto"/>
              </w:rPr>
            </w:pPr>
            <w:r>
              <w:rPr>
                <w:rFonts w:ascii="Arial" w:cs="Arial" w:eastAsia="Arial" w:hAnsi="Arial"/>
                <w:sz w:val="14"/>
                <w:szCs w:val="14"/>
                <w:color w:val="auto"/>
              </w:rPr>
              <w:t>10,963,138</w:t>
            </w:r>
          </w:p>
        </w:tc>
        <w:tc>
          <w:tcPr>
            <w:tcW w:w="1260" w:type="dxa"/>
            <w:vAlign w:val="bottom"/>
            <w:tcBorders>
              <w:bottom w:val="single" w:sz="8" w:color="DBDBDB"/>
            </w:tcBorders>
            <w:shd w:val="clear" w:color="auto" w:fill="E7ECF0"/>
          </w:tcPr>
          <w:p>
            <w:pPr>
              <w:jc w:val="right"/>
              <w:spacing w:after="0"/>
              <w:rPr>
                <w:sz w:val="20"/>
                <w:szCs w:val="20"/>
                <w:color w:val="auto"/>
              </w:rPr>
            </w:pPr>
            <w:r>
              <w:rPr>
                <w:rFonts w:ascii="Arial" w:cs="Arial" w:eastAsia="Arial" w:hAnsi="Arial"/>
                <w:sz w:val="14"/>
                <w:szCs w:val="14"/>
                <w:color w:val="auto"/>
              </w:rPr>
              <w:t>11,309,667</w:t>
            </w:r>
          </w:p>
        </w:tc>
        <w:tc>
          <w:tcPr>
            <w:tcW w:w="1320" w:type="dxa"/>
            <w:vAlign w:val="bottom"/>
            <w:tcBorders>
              <w:bottom w:val="single" w:sz="8" w:color="DBDBDB"/>
            </w:tcBorders>
            <w:shd w:val="clear" w:color="auto" w:fill="E7ECF0"/>
          </w:tcPr>
          <w:p>
            <w:pPr>
              <w:jc w:val="right"/>
              <w:spacing w:after="0"/>
              <w:rPr>
                <w:sz w:val="20"/>
                <w:szCs w:val="20"/>
                <w:color w:val="auto"/>
              </w:rPr>
            </w:pPr>
            <w:r>
              <w:rPr>
                <w:rFonts w:ascii="Arial" w:cs="Arial" w:eastAsia="Arial" w:hAnsi="Arial"/>
                <w:sz w:val="14"/>
                <w:szCs w:val="14"/>
                <w:color w:val="auto"/>
              </w:rPr>
              <w:t>2,204,660</w:t>
            </w:r>
          </w:p>
        </w:tc>
        <w:tc>
          <w:tcPr>
            <w:tcW w:w="1300" w:type="dxa"/>
            <w:vAlign w:val="bottom"/>
            <w:tcBorders>
              <w:bottom w:val="single" w:sz="8" w:color="DBDBDB"/>
            </w:tcBorders>
            <w:shd w:val="clear" w:color="auto" w:fill="E7ECF0"/>
          </w:tcPr>
          <w:p>
            <w:pPr>
              <w:jc w:val="right"/>
              <w:spacing w:after="0"/>
              <w:rPr>
                <w:sz w:val="20"/>
                <w:szCs w:val="20"/>
                <w:color w:val="auto"/>
              </w:rPr>
            </w:pPr>
            <w:r>
              <w:rPr>
                <w:rFonts w:ascii="Arial" w:cs="Arial" w:eastAsia="Arial" w:hAnsi="Arial"/>
                <w:sz w:val="14"/>
                <w:szCs w:val="14"/>
                <w:color w:val="auto"/>
              </w:rPr>
              <w:t>1,835,286</w:t>
            </w:r>
          </w:p>
        </w:tc>
        <w:tc>
          <w:tcPr>
            <w:tcW w:w="1340" w:type="dxa"/>
            <w:vAlign w:val="bottom"/>
            <w:tcBorders>
              <w:bottom w:val="single" w:sz="8" w:color="DBDBDB"/>
            </w:tcBorders>
            <w:shd w:val="clear" w:color="auto" w:fill="E7ECF0"/>
          </w:tcPr>
          <w:p>
            <w:pPr>
              <w:jc w:val="right"/>
              <w:spacing w:after="0"/>
              <w:rPr>
                <w:sz w:val="20"/>
                <w:szCs w:val="20"/>
                <w:color w:val="auto"/>
              </w:rPr>
            </w:pPr>
            <w:r>
              <w:rPr>
                <w:rFonts w:ascii="Arial" w:cs="Arial" w:eastAsia="Arial" w:hAnsi="Arial"/>
                <w:sz w:val="14"/>
                <w:szCs w:val="14"/>
                <w:color w:val="auto"/>
              </w:rPr>
              <w:t>94.57</w:t>
            </w:r>
          </w:p>
        </w:tc>
        <w:tc>
          <w:tcPr>
            <w:tcW w:w="1320" w:type="dxa"/>
            <w:vAlign w:val="bottom"/>
            <w:tcBorders>
              <w:bottom w:val="single" w:sz="8" w:color="DBDBDB"/>
            </w:tcBorders>
            <w:shd w:val="clear" w:color="auto" w:fill="E7ECF0"/>
          </w:tcPr>
          <w:p>
            <w:pPr>
              <w:jc w:val="right"/>
              <w:spacing w:after="0"/>
              <w:rPr>
                <w:sz w:val="20"/>
                <w:szCs w:val="20"/>
                <w:color w:val="auto"/>
              </w:rPr>
            </w:pPr>
            <w:r>
              <w:rPr>
                <w:rFonts w:ascii="Arial" w:cs="Arial" w:eastAsia="Arial" w:hAnsi="Arial"/>
                <w:sz w:val="14"/>
                <w:szCs w:val="14"/>
                <w:color w:val="auto"/>
              </w:rPr>
              <w:t>184.18</w:t>
            </w:r>
          </w:p>
        </w:tc>
        <w:tc>
          <w:tcPr>
            <w:tcW w:w="1340" w:type="dxa"/>
            <w:vAlign w:val="bottom"/>
            <w:tcBorders>
              <w:bottom w:val="single" w:sz="8" w:color="DBDBDB"/>
            </w:tcBorders>
            <w:shd w:val="clear" w:color="auto" w:fill="E7ECF0"/>
          </w:tcPr>
          <w:p>
            <w:pPr>
              <w:jc w:val="right"/>
              <w:spacing w:after="0"/>
              <w:rPr>
                <w:sz w:val="20"/>
                <w:szCs w:val="20"/>
                <w:color w:val="auto"/>
              </w:rPr>
            </w:pPr>
            <w:r>
              <w:rPr>
                <w:rFonts w:ascii="Arial" w:cs="Arial" w:eastAsia="Arial" w:hAnsi="Arial"/>
                <w:sz w:val="14"/>
                <w:szCs w:val="14"/>
                <w:color w:val="auto"/>
              </w:rPr>
              <w:t>381,816</w:t>
            </w:r>
          </w:p>
        </w:tc>
        <w:tc>
          <w:tcPr>
            <w:tcW w:w="1300" w:type="dxa"/>
            <w:vAlign w:val="bottom"/>
            <w:tcBorders>
              <w:bottom w:val="single" w:sz="8" w:color="DBDBDB"/>
            </w:tcBorders>
            <w:shd w:val="clear" w:color="auto" w:fill="E7ECF0"/>
          </w:tcPr>
          <w:p>
            <w:pPr>
              <w:jc w:val="right"/>
              <w:spacing w:after="0"/>
              <w:rPr>
                <w:sz w:val="20"/>
                <w:szCs w:val="20"/>
                <w:color w:val="auto"/>
              </w:rPr>
            </w:pPr>
            <w:r>
              <w:rPr>
                <w:rFonts w:ascii="Arial" w:cs="Arial" w:eastAsia="Arial" w:hAnsi="Arial"/>
                <w:sz w:val="14"/>
                <w:szCs w:val="14"/>
                <w:color w:val="auto"/>
              </w:rPr>
              <w:t>524,099</w:t>
            </w:r>
          </w:p>
        </w:tc>
        <w:tc>
          <w:tcPr>
            <w:tcW w:w="0" w:type="dxa"/>
            <w:vAlign w:val="bottom"/>
          </w:tcPr>
          <w:p>
            <w:pPr>
              <w:spacing w:after="0"/>
              <w:rPr>
                <w:sz w:val="1"/>
                <w:szCs w:val="1"/>
                <w:color w:val="auto"/>
              </w:rPr>
            </w:pPr>
          </w:p>
        </w:tc>
      </w:tr>
      <w:tr>
        <w:trPr>
          <w:trHeight w:val="196"/>
        </w:trPr>
        <w:tc>
          <w:tcPr>
            <w:tcW w:w="580" w:type="dxa"/>
            <w:vAlign w:val="bottom"/>
            <w:tcBorders>
              <w:bottom w:val="single" w:sz="8" w:color="DBDBDB"/>
            </w:tcBorders>
          </w:tcPr>
          <w:p>
            <w:pPr>
              <w:jc w:val="right"/>
              <w:ind w:right="168"/>
              <w:spacing w:after="0"/>
              <w:rPr>
                <w:sz w:val="20"/>
                <w:szCs w:val="20"/>
                <w:color w:val="auto"/>
              </w:rPr>
            </w:pPr>
            <w:r>
              <w:rPr>
                <w:rFonts w:ascii="Arial" w:cs="Arial" w:eastAsia="Arial" w:hAnsi="Arial"/>
                <w:sz w:val="14"/>
                <w:szCs w:val="14"/>
                <w:color w:val="auto"/>
              </w:rPr>
              <w:t>2023</w:t>
            </w:r>
          </w:p>
        </w:tc>
        <w:tc>
          <w:tcPr>
            <w:tcW w:w="1480" w:type="dxa"/>
            <w:vAlign w:val="bottom"/>
            <w:tcBorders>
              <w:bottom w:val="single" w:sz="8" w:color="DBDBDB"/>
            </w:tcBorders>
          </w:tcPr>
          <w:p>
            <w:pPr>
              <w:jc w:val="right"/>
              <w:ind w:right="28"/>
              <w:spacing w:after="0"/>
              <w:rPr>
                <w:sz w:val="20"/>
                <w:szCs w:val="20"/>
                <w:color w:val="auto"/>
              </w:rPr>
            </w:pPr>
            <w:r>
              <w:rPr>
                <w:rFonts w:ascii="Arial" w:cs="Arial" w:eastAsia="Arial" w:hAnsi="Arial"/>
                <w:sz w:val="14"/>
                <w:szCs w:val="14"/>
                <w:color w:val="auto"/>
              </w:rPr>
              <w:t>10,439,026</w:t>
            </w:r>
          </w:p>
        </w:tc>
        <w:tc>
          <w:tcPr>
            <w:tcW w:w="126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4,308,412</w:t>
            </w:r>
          </w:p>
        </w:tc>
        <w:tc>
          <w:tcPr>
            <w:tcW w:w="132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1,535,887</w:t>
            </w:r>
          </w:p>
        </w:tc>
        <w:tc>
          <w:tcPr>
            <w:tcW w:w="130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553,341</w:t>
            </w:r>
          </w:p>
        </w:tc>
        <w:tc>
          <w:tcPr>
            <w:tcW w:w="134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94.07</w:t>
            </w:r>
          </w:p>
        </w:tc>
        <w:tc>
          <w:tcPr>
            <w:tcW w:w="132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144.74</w:t>
            </w:r>
          </w:p>
        </w:tc>
        <w:tc>
          <w:tcPr>
            <w:tcW w:w="134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366,646</w:t>
            </w:r>
          </w:p>
        </w:tc>
        <w:tc>
          <w:tcPr>
            <w:tcW w:w="130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472,936</w:t>
            </w:r>
          </w:p>
        </w:tc>
        <w:tc>
          <w:tcPr>
            <w:tcW w:w="0" w:type="dxa"/>
            <w:vAlign w:val="bottom"/>
          </w:tcPr>
          <w:p>
            <w:pPr>
              <w:spacing w:after="0"/>
              <w:rPr>
                <w:sz w:val="1"/>
                <w:szCs w:val="1"/>
                <w:color w:val="auto"/>
              </w:rPr>
            </w:pPr>
          </w:p>
        </w:tc>
      </w:tr>
      <w:tr>
        <w:trPr>
          <w:trHeight w:val="196"/>
        </w:trPr>
        <w:tc>
          <w:tcPr>
            <w:tcW w:w="580" w:type="dxa"/>
            <w:vAlign w:val="bottom"/>
            <w:tcBorders>
              <w:bottom w:val="single" w:sz="8" w:color="DBDBDB"/>
            </w:tcBorders>
            <w:shd w:val="clear" w:color="auto" w:fill="E7ECF0"/>
          </w:tcPr>
          <w:p>
            <w:pPr>
              <w:jc w:val="right"/>
              <w:ind w:right="168"/>
              <w:spacing w:after="0"/>
              <w:rPr>
                <w:sz w:val="20"/>
                <w:szCs w:val="20"/>
                <w:color w:val="auto"/>
              </w:rPr>
            </w:pPr>
            <w:r>
              <w:rPr>
                <w:rFonts w:ascii="Arial" w:cs="Arial" w:eastAsia="Arial" w:hAnsi="Arial"/>
                <w:sz w:val="14"/>
                <w:szCs w:val="14"/>
                <w:color w:val="auto"/>
              </w:rPr>
              <w:t>2022</w:t>
            </w:r>
          </w:p>
        </w:tc>
        <w:tc>
          <w:tcPr>
            <w:tcW w:w="1480" w:type="dxa"/>
            <w:vAlign w:val="bottom"/>
            <w:tcBorders>
              <w:bottom w:val="single" w:sz="8" w:color="DBDBDB"/>
            </w:tcBorders>
            <w:shd w:val="clear" w:color="auto" w:fill="E7ECF0"/>
          </w:tcPr>
          <w:p>
            <w:pPr>
              <w:jc w:val="right"/>
              <w:ind w:right="28"/>
              <w:spacing w:after="0"/>
              <w:rPr>
                <w:sz w:val="20"/>
                <w:szCs w:val="20"/>
                <w:color w:val="auto"/>
              </w:rPr>
            </w:pPr>
            <w:r>
              <w:rPr>
                <w:rFonts w:ascii="Arial" w:cs="Arial" w:eastAsia="Arial" w:hAnsi="Arial"/>
                <w:sz w:val="14"/>
                <w:szCs w:val="14"/>
                <w:color w:val="auto"/>
              </w:rPr>
              <w:t>9,758,392</w:t>
            </w:r>
          </w:p>
        </w:tc>
        <w:tc>
          <w:tcPr>
            <w:tcW w:w="1260" w:type="dxa"/>
            <w:vAlign w:val="bottom"/>
            <w:tcBorders>
              <w:bottom w:val="single" w:sz="8" w:color="DBDBDB"/>
            </w:tcBorders>
            <w:shd w:val="clear" w:color="auto" w:fill="E7ECF0"/>
          </w:tcPr>
          <w:p>
            <w:pPr>
              <w:jc w:val="right"/>
              <w:spacing w:after="0"/>
              <w:rPr>
                <w:sz w:val="20"/>
                <w:szCs w:val="20"/>
                <w:color w:val="auto"/>
              </w:rPr>
            </w:pPr>
            <w:r>
              <w:rPr>
                <w:rFonts w:ascii="Arial" w:cs="Arial" w:eastAsia="Arial" w:hAnsi="Arial"/>
                <w:sz w:val="14"/>
                <w:szCs w:val="14"/>
                <w:color w:val="auto"/>
              </w:rPr>
              <w:t>15,054,940</w:t>
            </w:r>
          </w:p>
        </w:tc>
        <w:tc>
          <w:tcPr>
            <w:tcW w:w="1320" w:type="dxa"/>
            <w:vAlign w:val="bottom"/>
            <w:tcBorders>
              <w:bottom w:val="single" w:sz="8" w:color="DBDBDB"/>
            </w:tcBorders>
            <w:shd w:val="clear" w:color="auto" w:fill="E7ECF0"/>
          </w:tcPr>
          <w:p>
            <w:pPr>
              <w:jc w:val="right"/>
              <w:spacing w:after="0"/>
              <w:rPr>
                <w:sz w:val="20"/>
                <w:szCs w:val="20"/>
                <w:color w:val="auto"/>
              </w:rPr>
            </w:pPr>
            <w:r>
              <w:rPr>
                <w:rFonts w:ascii="Arial" w:cs="Arial" w:eastAsia="Arial" w:hAnsi="Arial"/>
                <w:sz w:val="14"/>
                <w:szCs w:val="14"/>
                <w:color w:val="auto"/>
              </w:rPr>
              <w:t>1,679,606</w:t>
            </w:r>
          </w:p>
        </w:tc>
        <w:tc>
          <w:tcPr>
            <w:tcW w:w="1300" w:type="dxa"/>
            <w:vAlign w:val="bottom"/>
            <w:tcBorders>
              <w:bottom w:val="single" w:sz="8" w:color="DBDBDB"/>
            </w:tcBorders>
            <w:shd w:val="clear" w:color="auto" w:fill="E7ECF0"/>
          </w:tcPr>
          <w:p>
            <w:pPr>
              <w:jc w:val="right"/>
              <w:spacing w:after="0"/>
              <w:rPr>
                <w:sz w:val="20"/>
                <w:szCs w:val="20"/>
                <w:color w:val="auto"/>
              </w:rPr>
            </w:pPr>
            <w:r>
              <w:rPr>
                <w:rFonts w:ascii="Arial" w:cs="Arial" w:eastAsia="Arial" w:hAnsi="Arial"/>
                <w:sz w:val="14"/>
                <w:szCs w:val="14"/>
                <w:color w:val="auto"/>
              </w:rPr>
              <w:t>2,269,083</w:t>
            </w:r>
          </w:p>
        </w:tc>
        <w:tc>
          <w:tcPr>
            <w:tcW w:w="1340" w:type="dxa"/>
            <w:vAlign w:val="bottom"/>
            <w:tcBorders>
              <w:bottom w:val="single" w:sz="8" w:color="DBDBDB"/>
            </w:tcBorders>
            <w:shd w:val="clear" w:color="auto" w:fill="E7ECF0"/>
          </w:tcPr>
          <w:p>
            <w:pPr>
              <w:jc w:val="right"/>
              <w:spacing w:after="0"/>
              <w:rPr>
                <w:sz w:val="20"/>
                <w:szCs w:val="20"/>
                <w:color w:val="auto"/>
              </w:rPr>
            </w:pPr>
            <w:r>
              <w:rPr>
                <w:rFonts w:ascii="Arial" w:cs="Arial" w:eastAsia="Arial" w:hAnsi="Arial"/>
                <w:sz w:val="14"/>
                <w:szCs w:val="14"/>
                <w:color w:val="auto"/>
              </w:rPr>
              <w:t>100.03</w:t>
            </w:r>
          </w:p>
        </w:tc>
        <w:tc>
          <w:tcPr>
            <w:tcW w:w="1320" w:type="dxa"/>
            <w:vAlign w:val="bottom"/>
            <w:tcBorders>
              <w:bottom w:val="single" w:sz="8" w:color="DBDBDB"/>
            </w:tcBorders>
            <w:shd w:val="clear" w:color="auto" w:fill="E7ECF0"/>
          </w:tcPr>
          <w:p>
            <w:pPr>
              <w:jc w:val="right"/>
              <w:spacing w:after="0"/>
              <w:rPr>
                <w:sz w:val="20"/>
                <w:szCs w:val="20"/>
                <w:color w:val="auto"/>
              </w:rPr>
            </w:pPr>
            <w:r>
              <w:rPr>
                <w:rFonts w:ascii="Arial" w:cs="Arial" w:eastAsia="Arial" w:hAnsi="Arial"/>
                <w:sz w:val="14"/>
                <w:szCs w:val="14"/>
                <w:color w:val="auto"/>
              </w:rPr>
              <w:t>111.53</w:t>
            </w:r>
          </w:p>
        </w:tc>
        <w:tc>
          <w:tcPr>
            <w:tcW w:w="1340" w:type="dxa"/>
            <w:vAlign w:val="bottom"/>
            <w:tcBorders>
              <w:bottom w:val="single" w:sz="8" w:color="DBDBDB"/>
            </w:tcBorders>
            <w:shd w:val="clear" w:color="auto" w:fill="E7ECF0"/>
          </w:tcPr>
          <w:p>
            <w:pPr>
              <w:jc w:val="right"/>
              <w:spacing w:after="0"/>
              <w:rPr>
                <w:sz w:val="20"/>
                <w:szCs w:val="20"/>
                <w:color w:val="auto"/>
              </w:rPr>
            </w:pPr>
            <w:r>
              <w:rPr>
                <w:rFonts w:ascii="Arial" w:cs="Arial" w:eastAsia="Arial" w:hAnsi="Arial"/>
                <w:sz w:val="14"/>
                <w:szCs w:val="14"/>
                <w:color w:val="auto"/>
              </w:rPr>
              <w:t>362,916</w:t>
            </w:r>
          </w:p>
        </w:tc>
        <w:tc>
          <w:tcPr>
            <w:tcW w:w="1300" w:type="dxa"/>
            <w:vAlign w:val="bottom"/>
            <w:tcBorders>
              <w:bottom w:val="single" w:sz="8" w:color="DBDBDB"/>
            </w:tcBorders>
            <w:shd w:val="clear" w:color="auto" w:fill="E7ECF0"/>
          </w:tcPr>
          <w:p>
            <w:pPr>
              <w:jc w:val="right"/>
              <w:spacing w:after="0"/>
              <w:rPr>
                <w:sz w:val="20"/>
                <w:szCs w:val="20"/>
                <w:color w:val="auto"/>
              </w:rPr>
            </w:pPr>
            <w:r>
              <w:rPr>
                <w:rFonts w:ascii="Arial" w:cs="Arial" w:eastAsia="Arial" w:hAnsi="Arial"/>
                <w:sz w:val="14"/>
                <w:szCs w:val="14"/>
                <w:color w:val="auto"/>
              </w:rPr>
              <w:t>454,482</w:t>
            </w:r>
          </w:p>
        </w:tc>
        <w:tc>
          <w:tcPr>
            <w:tcW w:w="0" w:type="dxa"/>
            <w:vAlign w:val="bottom"/>
          </w:tcPr>
          <w:p>
            <w:pPr>
              <w:spacing w:after="0"/>
              <w:rPr>
                <w:sz w:val="1"/>
                <w:szCs w:val="1"/>
                <w:color w:val="auto"/>
              </w:rPr>
            </w:pPr>
          </w:p>
        </w:tc>
      </w:tr>
      <w:tr>
        <w:trPr>
          <w:trHeight w:val="196"/>
        </w:trPr>
        <w:tc>
          <w:tcPr>
            <w:tcW w:w="580" w:type="dxa"/>
            <w:vAlign w:val="bottom"/>
            <w:tcBorders>
              <w:bottom w:val="single" w:sz="8" w:color="DBDBDB"/>
            </w:tcBorders>
          </w:tcPr>
          <w:p>
            <w:pPr>
              <w:jc w:val="right"/>
              <w:ind w:right="168"/>
              <w:spacing w:after="0"/>
              <w:rPr>
                <w:sz w:val="20"/>
                <w:szCs w:val="20"/>
                <w:color w:val="auto"/>
              </w:rPr>
            </w:pPr>
            <w:r>
              <w:rPr>
                <w:rFonts w:ascii="Arial" w:cs="Arial" w:eastAsia="Arial" w:hAnsi="Arial"/>
                <w:sz w:val="14"/>
                <w:szCs w:val="14"/>
                <w:color w:val="auto"/>
              </w:rPr>
              <w:t>2021</w:t>
            </w:r>
          </w:p>
        </w:tc>
        <w:tc>
          <w:tcPr>
            <w:tcW w:w="1480" w:type="dxa"/>
            <w:vAlign w:val="bottom"/>
            <w:tcBorders>
              <w:bottom w:val="single" w:sz="8" w:color="DBDBDB"/>
            </w:tcBorders>
          </w:tcPr>
          <w:p>
            <w:pPr>
              <w:jc w:val="right"/>
              <w:ind w:right="28"/>
              <w:spacing w:after="0"/>
              <w:rPr>
                <w:sz w:val="20"/>
                <w:szCs w:val="20"/>
                <w:color w:val="auto"/>
              </w:rPr>
            </w:pPr>
            <w:r>
              <w:rPr>
                <w:rFonts w:ascii="Arial" w:cs="Arial" w:eastAsia="Arial" w:hAnsi="Arial"/>
                <w:sz w:val="14"/>
                <w:szCs w:val="14"/>
                <w:color w:val="auto"/>
              </w:rPr>
              <w:t>8,692,656</w:t>
            </w:r>
          </w:p>
        </w:tc>
        <w:tc>
          <w:tcPr>
            <w:tcW w:w="126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(392,735)</w:t>
            </w:r>
          </w:p>
        </w:tc>
        <w:tc>
          <w:tcPr>
            <w:tcW w:w="132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1,595,708</w:t>
            </w:r>
          </w:p>
        </w:tc>
        <w:tc>
          <w:tcPr>
            <w:tcW w:w="130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342,431</w:t>
            </w:r>
          </w:p>
        </w:tc>
        <w:tc>
          <w:tcPr>
            <w:tcW w:w="134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89.86</w:t>
            </w:r>
          </w:p>
        </w:tc>
        <w:tc>
          <w:tcPr>
            <w:tcW w:w="132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133.46</w:t>
            </w:r>
          </w:p>
        </w:tc>
        <w:tc>
          <w:tcPr>
            <w:tcW w:w="134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311,469</w:t>
            </w:r>
          </w:p>
        </w:tc>
        <w:tc>
          <w:tcPr>
            <w:tcW w:w="130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405,500</w:t>
            </w:r>
          </w:p>
        </w:tc>
        <w:tc>
          <w:tcPr>
            <w:tcW w:w="0" w:type="dxa"/>
            <w:vAlign w:val="bottom"/>
          </w:tcPr>
          <w:p>
            <w:pPr>
              <w:spacing w:after="0"/>
              <w:rPr>
                <w:sz w:val="1"/>
                <w:szCs w:val="1"/>
                <w:color w:val="auto"/>
              </w:rPr>
            </w:pPr>
          </w:p>
        </w:tc>
      </w:tr>
    </w:tbl>
    <w:p>
      <w:pPr>
        <w:spacing w:after="0" w:line="211" w:lineRule="exact"/>
        <w:rPr>
          <w:sz w:val="20"/>
          <w:szCs w:val="20"/>
          <w:color w:val="auto"/>
        </w:rPr>
      </w:pPr>
    </w:p>
    <w:p>
      <w:pPr>
        <w:ind w:left="1000" w:hanging="344"/>
        <w:spacing w:after="0"/>
        <w:tabs>
          <w:tab w:leader="none" w:pos="1000" w:val="left"/>
        </w:tabs>
        <w:numPr>
          <w:ilvl w:val="0"/>
          <w:numId w:val="26"/>
        </w:numPr>
        <w:rPr>
          <w:rFonts w:ascii="Arial" w:cs="Arial" w:eastAsia="Arial" w:hAnsi="Arial"/>
          <w:sz w:val="20"/>
          <w:szCs w:val="20"/>
          <w:color w:val="auto"/>
        </w:rPr>
      </w:pPr>
      <w:r>
        <w:rPr>
          <w:rFonts w:ascii="Arial" w:cs="Arial" w:eastAsia="Arial" w:hAnsi="Arial"/>
          <w:sz w:val="18"/>
          <w:szCs w:val="18"/>
          <w:color w:val="auto"/>
        </w:rPr>
        <w:t>Mr. Foss was the Company’s PEO for fiscal years 2021, 2022, 2023, and 2024.</w:t>
      </w:r>
    </w:p>
    <w:p>
      <w:pPr>
        <w:spacing w:after="0" w:line="94" w:lineRule="exact"/>
        <w:rPr>
          <w:rFonts w:ascii="Arial" w:cs="Arial" w:eastAsia="Arial" w:hAnsi="Arial"/>
          <w:sz w:val="20"/>
          <w:szCs w:val="20"/>
          <w:color w:val="auto"/>
        </w:rPr>
      </w:pPr>
    </w:p>
    <w:p>
      <w:pPr>
        <w:jc w:val="both"/>
        <w:ind w:left="980" w:hanging="324"/>
        <w:spacing w:after="0" w:line="273" w:lineRule="auto"/>
        <w:tabs>
          <w:tab w:leader="none" w:pos="957"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below table provides the adjustments required by SEC rules to calculate CAP amounts from the Summary Compensation Table (“SCT”) Total of our PEO. SCT Total and CAP amounts do not reflect the actual amount of compensation earned by or paid to our executives during the applicable years, but rather are amounts determined in accordance with Item 402(v) of Regulation S-K.</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Calculation of Compensation Actually Paid to PEO</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780" w:type="dxa"/>
            <w:vAlign w:val="bottom"/>
            <w:tcBorders>
              <w:bottom w:val="single" w:sz="8" w:color="auto"/>
            </w:tcBorders>
            <w:shd w:val="clear" w:color="auto" w:fill="E8F7F7"/>
          </w:tcPr>
          <w:p>
            <w:pPr>
              <w:spacing w:after="0"/>
              <w:rPr>
                <w:sz w:val="17"/>
                <w:szCs w:val="17"/>
                <w:color w:val="auto"/>
              </w:rPr>
            </w:pPr>
          </w:p>
        </w:tc>
        <w:tc>
          <w:tcPr>
            <w:tcW w:w="1640" w:type="dxa"/>
            <w:vAlign w:val="bottom"/>
            <w:tcBorders>
              <w:bottom w:val="single" w:sz="8" w:color="auto"/>
            </w:tcBorders>
            <w:shd w:val="clear" w:color="auto" w:fill="E8F7F7"/>
          </w:tcPr>
          <w:p>
            <w:pPr>
              <w:jc w:val="right"/>
              <w:ind w:right="208"/>
              <w:spacing w:after="0"/>
              <w:rPr>
                <w:sz w:val="20"/>
                <w:szCs w:val="20"/>
                <w:color w:val="auto"/>
              </w:rPr>
            </w:pPr>
            <w:r>
              <w:rPr>
                <w:rFonts w:ascii="Arial" w:cs="Arial" w:eastAsia="Arial" w:hAnsi="Arial"/>
                <w:sz w:val="14"/>
                <w:szCs w:val="14"/>
                <w:color w:val="auto"/>
              </w:rPr>
              <w:t>2024</w:t>
            </w:r>
          </w:p>
        </w:tc>
        <w:tc>
          <w:tcPr>
            <w:tcW w:w="1360" w:type="dxa"/>
            <w:vAlign w:val="bottom"/>
            <w:tcBorders>
              <w:bottom w:val="single" w:sz="8" w:color="auto"/>
            </w:tcBorders>
            <w:shd w:val="clear" w:color="auto" w:fill="E8F7F7"/>
          </w:tcPr>
          <w:p>
            <w:pPr>
              <w:jc w:val="right"/>
              <w:ind w:right="208"/>
              <w:spacing w:after="0"/>
              <w:rPr>
                <w:sz w:val="20"/>
                <w:szCs w:val="20"/>
                <w:color w:val="auto"/>
              </w:rPr>
            </w:pPr>
            <w:r>
              <w:rPr>
                <w:rFonts w:ascii="Arial" w:cs="Arial" w:eastAsia="Arial" w:hAnsi="Arial"/>
                <w:sz w:val="14"/>
                <w:szCs w:val="14"/>
                <w:color w:val="auto"/>
              </w:rPr>
              <w:t>2023</w:t>
            </w:r>
          </w:p>
        </w:tc>
        <w:tc>
          <w:tcPr>
            <w:tcW w:w="1400" w:type="dxa"/>
            <w:vAlign w:val="bottom"/>
            <w:tcBorders>
              <w:bottom w:val="single" w:sz="8" w:color="auto"/>
            </w:tcBorders>
            <w:shd w:val="clear" w:color="auto" w:fill="E8F7F7"/>
          </w:tcPr>
          <w:p>
            <w:pPr>
              <w:jc w:val="right"/>
              <w:ind w:right="248"/>
              <w:spacing w:after="0"/>
              <w:rPr>
                <w:sz w:val="20"/>
                <w:szCs w:val="20"/>
                <w:color w:val="auto"/>
              </w:rPr>
            </w:pPr>
            <w:r>
              <w:rPr>
                <w:rFonts w:ascii="Arial" w:cs="Arial" w:eastAsia="Arial" w:hAnsi="Arial"/>
                <w:sz w:val="14"/>
                <w:szCs w:val="14"/>
                <w:color w:val="auto"/>
              </w:rPr>
              <w:t>2022</w:t>
            </w:r>
          </w:p>
        </w:tc>
        <w:tc>
          <w:tcPr>
            <w:tcW w:w="1060" w:type="dxa"/>
            <w:vAlign w:val="bottom"/>
            <w:tcBorders>
              <w:bottom w:val="single" w:sz="8" w:color="auto"/>
            </w:tcBorders>
            <w:shd w:val="clear" w:color="auto" w:fill="E8F7F7"/>
          </w:tcPr>
          <w:p>
            <w:pPr>
              <w:jc w:val="right"/>
              <w:spacing w:after="0"/>
              <w:rPr>
                <w:sz w:val="20"/>
                <w:szCs w:val="20"/>
                <w:color w:val="auto"/>
              </w:rPr>
            </w:pPr>
            <w:r>
              <w:rPr>
                <w:rFonts w:ascii="Arial" w:cs="Arial" w:eastAsia="Arial" w:hAnsi="Arial"/>
                <w:sz w:val="14"/>
                <w:szCs w:val="14"/>
                <w:color w:val="auto"/>
              </w:rPr>
              <w:t>2021</w:t>
            </w:r>
          </w:p>
        </w:tc>
        <w:tc>
          <w:tcPr>
            <w:tcW w:w="0" w:type="dxa"/>
            <w:vAlign w:val="bottom"/>
          </w:tcPr>
          <w:p>
            <w:pPr>
              <w:spacing w:after="0"/>
              <w:rPr>
                <w:sz w:val="1"/>
                <w:szCs w:val="1"/>
                <w:color w:val="auto"/>
              </w:rPr>
            </w:pPr>
          </w:p>
        </w:tc>
      </w:tr>
      <w:tr>
        <w:trPr>
          <w:trHeight w:val="195"/>
        </w:trPr>
        <w:tc>
          <w:tcPr>
            <w:tcW w:w="5780" w:type="dxa"/>
            <w:vAlign w:val="bottom"/>
            <w:tcBorders>
              <w:bottom w:val="single" w:sz="8" w:color="DBDBDB"/>
            </w:tcBorders>
            <w:shd w:val="clear" w:color="auto" w:fill="E8F7F7"/>
          </w:tcPr>
          <w:p>
            <w:pPr>
              <w:ind w:left="20"/>
              <w:spacing w:after="0"/>
              <w:rPr>
                <w:sz w:val="20"/>
                <w:szCs w:val="20"/>
                <w:color w:val="auto"/>
              </w:rPr>
            </w:pPr>
            <w:r>
              <w:rPr>
                <w:rFonts w:ascii="Arial" w:cs="Arial" w:eastAsia="Arial" w:hAnsi="Arial"/>
                <w:sz w:val="14"/>
                <w:szCs w:val="14"/>
                <w:b w:val="1"/>
                <w:bCs w:val="1"/>
                <w:color w:val="auto"/>
              </w:rPr>
              <w:t>Summary Compensation Table Total</w:t>
            </w:r>
          </w:p>
        </w:tc>
        <w:tc>
          <w:tcPr>
            <w:tcW w:w="1640" w:type="dxa"/>
            <w:vAlign w:val="bottom"/>
            <w:tcBorders>
              <w:bottom w:val="single" w:sz="8" w:color="DBDBDB"/>
            </w:tcBorders>
            <w:shd w:val="clear" w:color="auto" w:fill="E8F7F7"/>
          </w:tcPr>
          <w:p>
            <w:pPr>
              <w:jc w:val="right"/>
              <w:ind w:right="208"/>
              <w:spacing w:after="0"/>
              <w:rPr>
                <w:sz w:val="20"/>
                <w:szCs w:val="20"/>
                <w:color w:val="auto"/>
              </w:rPr>
            </w:pPr>
            <w:r>
              <w:rPr>
                <w:rFonts w:ascii="Arial" w:cs="Arial" w:eastAsia="Arial" w:hAnsi="Arial"/>
                <w:sz w:val="14"/>
                <w:szCs w:val="14"/>
                <w:color w:val="auto"/>
              </w:rPr>
              <w:t>$10,963,138</w:t>
            </w:r>
          </w:p>
        </w:tc>
        <w:tc>
          <w:tcPr>
            <w:tcW w:w="1360" w:type="dxa"/>
            <w:vAlign w:val="bottom"/>
            <w:tcBorders>
              <w:bottom w:val="single" w:sz="8" w:color="DBDBDB"/>
            </w:tcBorders>
            <w:shd w:val="clear" w:color="auto" w:fill="E8F7F7"/>
          </w:tcPr>
          <w:p>
            <w:pPr>
              <w:jc w:val="right"/>
              <w:ind w:right="208"/>
              <w:spacing w:after="0"/>
              <w:rPr>
                <w:sz w:val="20"/>
                <w:szCs w:val="20"/>
                <w:color w:val="auto"/>
              </w:rPr>
            </w:pPr>
            <w:r>
              <w:rPr>
                <w:rFonts w:ascii="Arial" w:cs="Arial" w:eastAsia="Arial" w:hAnsi="Arial"/>
                <w:sz w:val="14"/>
                <w:szCs w:val="14"/>
                <w:color w:val="auto"/>
              </w:rPr>
              <w:t>$10,439,026</w:t>
            </w:r>
          </w:p>
        </w:tc>
        <w:tc>
          <w:tcPr>
            <w:tcW w:w="1400" w:type="dxa"/>
            <w:vAlign w:val="bottom"/>
            <w:tcBorders>
              <w:bottom w:val="single" w:sz="8" w:color="DBDBDB"/>
            </w:tcBorders>
            <w:shd w:val="clear" w:color="auto" w:fill="E8F7F7"/>
          </w:tcPr>
          <w:p>
            <w:pPr>
              <w:jc w:val="right"/>
              <w:ind w:right="248"/>
              <w:spacing w:after="0"/>
              <w:rPr>
                <w:sz w:val="20"/>
                <w:szCs w:val="20"/>
                <w:color w:val="auto"/>
              </w:rPr>
            </w:pPr>
            <w:r>
              <w:rPr>
                <w:rFonts w:ascii="Arial" w:cs="Arial" w:eastAsia="Arial" w:hAnsi="Arial"/>
                <w:sz w:val="14"/>
                <w:szCs w:val="14"/>
                <w:color w:val="auto"/>
              </w:rPr>
              <w:t>$9,758,392</w:t>
            </w:r>
          </w:p>
        </w:tc>
        <w:tc>
          <w:tcPr>
            <w:tcW w:w="1060" w:type="dxa"/>
            <w:vAlign w:val="bottom"/>
            <w:tcBorders>
              <w:bottom w:val="single" w:sz="8" w:color="DBDBDB"/>
            </w:tcBorders>
            <w:shd w:val="clear" w:color="auto" w:fill="E8F7F7"/>
          </w:tcPr>
          <w:p>
            <w:pPr>
              <w:jc w:val="right"/>
              <w:spacing w:after="0"/>
              <w:rPr>
                <w:sz w:val="20"/>
                <w:szCs w:val="20"/>
                <w:color w:val="auto"/>
              </w:rPr>
            </w:pPr>
            <w:r>
              <w:rPr>
                <w:rFonts w:ascii="Arial" w:cs="Arial" w:eastAsia="Arial" w:hAnsi="Arial"/>
                <w:sz w:val="14"/>
                <w:szCs w:val="14"/>
                <w:color w:val="auto"/>
              </w:rPr>
              <w:t>$8,692,656</w:t>
            </w:r>
          </w:p>
        </w:tc>
        <w:tc>
          <w:tcPr>
            <w:tcW w:w="0" w:type="dxa"/>
            <w:vAlign w:val="bottom"/>
          </w:tcPr>
          <w:p>
            <w:pPr>
              <w:spacing w:after="0"/>
              <w:rPr>
                <w:sz w:val="1"/>
                <w:szCs w:val="1"/>
                <w:color w:val="auto"/>
              </w:rPr>
            </w:pPr>
          </w:p>
        </w:tc>
      </w:tr>
      <w:tr>
        <w:trPr>
          <w:trHeight w:val="143"/>
        </w:trPr>
        <w:tc>
          <w:tcPr>
            <w:tcW w:w="5780" w:type="dxa"/>
            <w:vAlign w:val="bottom"/>
          </w:tcPr>
          <w:p>
            <w:pPr>
              <w:ind w:left="20"/>
              <w:spacing w:after="0" w:line="143" w:lineRule="exact"/>
              <w:rPr>
                <w:sz w:val="20"/>
                <w:szCs w:val="20"/>
                <w:color w:val="auto"/>
              </w:rPr>
            </w:pPr>
            <w:r>
              <w:rPr>
                <w:rFonts w:ascii="Arial" w:cs="Arial" w:eastAsia="Arial" w:hAnsi="Arial"/>
                <w:sz w:val="14"/>
                <w:szCs w:val="14"/>
                <w:color w:val="auto"/>
              </w:rPr>
              <w:t>(Deduct): Amount reported for stock and option awards in SCT Total for the covered fiscal</w:t>
            </w:r>
          </w:p>
        </w:tc>
        <w:tc>
          <w:tcPr>
            <w:tcW w:w="1640" w:type="dxa"/>
            <w:vAlign w:val="bottom"/>
            <w:vMerge w:val="restart"/>
          </w:tcPr>
          <w:p>
            <w:pPr>
              <w:jc w:val="right"/>
              <w:ind w:right="208"/>
              <w:spacing w:after="0"/>
              <w:rPr>
                <w:sz w:val="20"/>
                <w:szCs w:val="20"/>
                <w:color w:val="auto"/>
              </w:rPr>
            </w:pPr>
            <w:r>
              <w:rPr>
                <w:rFonts w:ascii="Arial" w:cs="Arial" w:eastAsia="Arial" w:hAnsi="Arial"/>
                <w:sz w:val="14"/>
                <w:szCs w:val="14"/>
                <w:color w:val="auto"/>
              </w:rPr>
              <w:t>(8,728,670)</w:t>
            </w:r>
          </w:p>
        </w:tc>
        <w:tc>
          <w:tcPr>
            <w:tcW w:w="1360" w:type="dxa"/>
            <w:vAlign w:val="bottom"/>
            <w:vMerge w:val="restart"/>
          </w:tcPr>
          <w:p>
            <w:pPr>
              <w:jc w:val="right"/>
              <w:ind w:right="208"/>
              <w:spacing w:after="0"/>
              <w:rPr>
                <w:sz w:val="20"/>
                <w:szCs w:val="20"/>
                <w:color w:val="auto"/>
              </w:rPr>
            </w:pPr>
            <w:r>
              <w:rPr>
                <w:rFonts w:ascii="Arial" w:cs="Arial" w:eastAsia="Arial" w:hAnsi="Arial"/>
                <w:sz w:val="14"/>
                <w:szCs w:val="14"/>
                <w:color w:val="auto"/>
              </w:rPr>
              <w:t>(8,571,735)</w:t>
            </w:r>
          </w:p>
        </w:tc>
        <w:tc>
          <w:tcPr>
            <w:tcW w:w="1400" w:type="dxa"/>
            <w:vAlign w:val="bottom"/>
            <w:vMerge w:val="restart"/>
          </w:tcPr>
          <w:p>
            <w:pPr>
              <w:jc w:val="right"/>
              <w:ind w:right="248"/>
              <w:spacing w:after="0"/>
              <w:rPr>
                <w:sz w:val="20"/>
                <w:szCs w:val="20"/>
                <w:color w:val="auto"/>
              </w:rPr>
            </w:pPr>
            <w:r>
              <w:rPr>
                <w:rFonts w:ascii="Arial" w:cs="Arial" w:eastAsia="Arial" w:hAnsi="Arial"/>
                <w:sz w:val="14"/>
                <w:szCs w:val="14"/>
                <w:color w:val="auto"/>
              </w:rPr>
              <w:t>(7,557,777)</w:t>
            </w:r>
          </w:p>
        </w:tc>
        <w:tc>
          <w:tcPr>
            <w:tcW w:w="1060" w:type="dxa"/>
            <w:vAlign w:val="bottom"/>
            <w:vMerge w:val="restart"/>
          </w:tcPr>
          <w:p>
            <w:pPr>
              <w:jc w:val="right"/>
              <w:spacing w:after="0"/>
              <w:rPr>
                <w:sz w:val="20"/>
                <w:szCs w:val="20"/>
                <w:color w:val="auto"/>
              </w:rPr>
            </w:pPr>
            <w:r>
              <w:rPr>
                <w:rFonts w:ascii="Arial" w:cs="Arial" w:eastAsia="Arial" w:hAnsi="Arial"/>
                <w:sz w:val="14"/>
                <w:szCs w:val="14"/>
                <w:color w:val="auto"/>
              </w:rPr>
              <w:t>(6,447,156)</w:t>
            </w:r>
          </w:p>
        </w:tc>
        <w:tc>
          <w:tcPr>
            <w:tcW w:w="0" w:type="dxa"/>
            <w:vAlign w:val="bottom"/>
          </w:tcPr>
          <w:p>
            <w:pPr>
              <w:spacing w:after="0"/>
              <w:rPr>
                <w:sz w:val="1"/>
                <w:szCs w:val="1"/>
                <w:color w:val="auto"/>
              </w:rPr>
            </w:pPr>
          </w:p>
        </w:tc>
      </w:tr>
      <w:tr>
        <w:trPr>
          <w:trHeight w:val="189"/>
        </w:trPr>
        <w:tc>
          <w:tcPr>
            <w:tcW w:w="5780" w:type="dxa"/>
            <w:vAlign w:val="bottom"/>
            <w:tcBorders>
              <w:bottom w:val="single" w:sz="8" w:color="DBDBDB"/>
            </w:tcBorders>
          </w:tcPr>
          <w:p>
            <w:pPr>
              <w:ind w:left="20"/>
              <w:spacing w:after="0"/>
              <w:rPr>
                <w:sz w:val="20"/>
                <w:szCs w:val="20"/>
                <w:color w:val="auto"/>
              </w:rPr>
            </w:pPr>
            <w:r>
              <w:rPr>
                <w:rFonts w:ascii="Arial" w:cs="Arial" w:eastAsia="Arial" w:hAnsi="Arial"/>
                <w:sz w:val="14"/>
                <w:szCs w:val="14"/>
                <w:color w:val="auto"/>
              </w:rPr>
              <w:t>year</w:t>
            </w:r>
          </w:p>
        </w:tc>
        <w:tc>
          <w:tcPr>
            <w:tcW w:w="1640" w:type="dxa"/>
            <w:vAlign w:val="bottom"/>
            <w:tcBorders>
              <w:bottom w:val="single" w:sz="8" w:color="DBDBDB"/>
            </w:tcBorders>
            <w:vMerge w:val="continue"/>
          </w:tcPr>
          <w:p>
            <w:pPr>
              <w:spacing w:after="0"/>
              <w:rPr>
                <w:sz w:val="16"/>
                <w:szCs w:val="16"/>
                <w:color w:val="auto"/>
              </w:rPr>
            </w:pPr>
          </w:p>
        </w:tc>
        <w:tc>
          <w:tcPr>
            <w:tcW w:w="1360" w:type="dxa"/>
            <w:vAlign w:val="bottom"/>
            <w:tcBorders>
              <w:bottom w:val="single" w:sz="8" w:color="DBDBDB"/>
            </w:tcBorders>
            <w:vMerge w:val="continue"/>
          </w:tcPr>
          <w:p>
            <w:pPr>
              <w:spacing w:after="0"/>
              <w:rPr>
                <w:sz w:val="16"/>
                <w:szCs w:val="16"/>
                <w:color w:val="auto"/>
              </w:rPr>
            </w:pPr>
          </w:p>
        </w:tc>
        <w:tc>
          <w:tcPr>
            <w:tcW w:w="1400" w:type="dxa"/>
            <w:vAlign w:val="bottom"/>
            <w:tcBorders>
              <w:bottom w:val="single" w:sz="8" w:color="DBDBDB"/>
            </w:tcBorders>
            <w:vMerge w:val="continue"/>
          </w:tcPr>
          <w:p>
            <w:pPr>
              <w:spacing w:after="0"/>
              <w:rPr>
                <w:sz w:val="16"/>
                <w:szCs w:val="16"/>
                <w:color w:val="auto"/>
              </w:rPr>
            </w:pPr>
          </w:p>
        </w:tc>
        <w:tc>
          <w:tcPr>
            <w:tcW w:w="1060" w:type="dxa"/>
            <w:vAlign w:val="bottom"/>
            <w:tcBorders>
              <w:bottom w:val="single" w:sz="8" w:color="DBDBDB"/>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5780" w:type="dxa"/>
            <w:vAlign w:val="bottom"/>
            <w:shd w:val="clear" w:color="auto" w:fill="E7ECF0"/>
          </w:tcPr>
          <w:p>
            <w:pPr>
              <w:ind w:left="20"/>
              <w:spacing w:after="0" w:line="142" w:lineRule="exact"/>
              <w:rPr>
                <w:sz w:val="20"/>
                <w:szCs w:val="20"/>
                <w:color w:val="auto"/>
              </w:rPr>
            </w:pPr>
            <w:r>
              <w:rPr>
                <w:rFonts w:ascii="Arial" w:cs="Arial" w:eastAsia="Arial" w:hAnsi="Arial"/>
                <w:sz w:val="14"/>
                <w:szCs w:val="14"/>
                <w:color w:val="auto"/>
              </w:rPr>
              <w:t>Add: Fair value at fiscal year end of awards granted during the covered fiscal year that</w:t>
            </w:r>
          </w:p>
        </w:tc>
        <w:tc>
          <w:tcPr>
            <w:tcW w:w="1640" w:type="dxa"/>
            <w:vAlign w:val="bottom"/>
            <w:vMerge w:val="restart"/>
            <w:shd w:val="clear" w:color="auto" w:fill="E7ECF0"/>
          </w:tcPr>
          <w:p>
            <w:pPr>
              <w:jc w:val="right"/>
              <w:ind w:right="208"/>
              <w:spacing w:after="0"/>
              <w:rPr>
                <w:sz w:val="20"/>
                <w:szCs w:val="20"/>
                <w:color w:val="auto"/>
              </w:rPr>
            </w:pPr>
            <w:r>
              <w:rPr>
                <w:rFonts w:ascii="Arial" w:cs="Arial" w:eastAsia="Arial" w:hAnsi="Arial"/>
                <w:sz w:val="14"/>
                <w:szCs w:val="14"/>
                <w:color w:val="auto"/>
              </w:rPr>
              <w:t>7,460,927</w:t>
            </w:r>
          </w:p>
        </w:tc>
        <w:tc>
          <w:tcPr>
            <w:tcW w:w="1360" w:type="dxa"/>
            <w:vAlign w:val="bottom"/>
            <w:vMerge w:val="restart"/>
            <w:shd w:val="clear" w:color="auto" w:fill="E7ECF0"/>
          </w:tcPr>
          <w:p>
            <w:pPr>
              <w:jc w:val="right"/>
              <w:ind w:right="208"/>
              <w:spacing w:after="0"/>
              <w:rPr>
                <w:sz w:val="20"/>
                <w:szCs w:val="20"/>
                <w:color w:val="auto"/>
              </w:rPr>
            </w:pPr>
            <w:r>
              <w:rPr>
                <w:rFonts w:ascii="Arial" w:cs="Arial" w:eastAsia="Arial" w:hAnsi="Arial"/>
                <w:sz w:val="14"/>
                <w:szCs w:val="14"/>
                <w:color w:val="auto"/>
              </w:rPr>
              <w:t>5,964,481</w:t>
            </w:r>
          </w:p>
        </w:tc>
        <w:tc>
          <w:tcPr>
            <w:tcW w:w="1400" w:type="dxa"/>
            <w:vAlign w:val="bottom"/>
            <w:vMerge w:val="restart"/>
            <w:shd w:val="clear" w:color="auto" w:fill="E7ECF0"/>
          </w:tcPr>
          <w:p>
            <w:pPr>
              <w:jc w:val="right"/>
              <w:ind w:right="248"/>
              <w:spacing w:after="0"/>
              <w:rPr>
                <w:sz w:val="20"/>
                <w:szCs w:val="20"/>
                <w:color w:val="auto"/>
              </w:rPr>
            </w:pPr>
            <w:r>
              <w:rPr>
                <w:rFonts w:ascii="Arial" w:cs="Arial" w:eastAsia="Arial" w:hAnsi="Arial"/>
                <w:sz w:val="14"/>
                <w:szCs w:val="14"/>
                <w:color w:val="auto"/>
              </w:rPr>
              <w:t>8,685,477</w:t>
            </w:r>
          </w:p>
        </w:tc>
        <w:tc>
          <w:tcPr>
            <w:tcW w:w="1060" w:type="dxa"/>
            <w:vAlign w:val="bottom"/>
            <w:vMerge w:val="restart"/>
            <w:shd w:val="clear" w:color="auto" w:fill="E7ECF0"/>
          </w:tcPr>
          <w:p>
            <w:pPr>
              <w:jc w:val="right"/>
              <w:spacing w:after="0"/>
              <w:rPr>
                <w:sz w:val="20"/>
                <w:szCs w:val="20"/>
                <w:color w:val="auto"/>
              </w:rPr>
            </w:pPr>
            <w:r>
              <w:rPr>
                <w:rFonts w:ascii="Arial" w:cs="Arial" w:eastAsia="Arial" w:hAnsi="Arial"/>
                <w:sz w:val="14"/>
                <w:szCs w:val="14"/>
                <w:color w:val="auto"/>
              </w:rPr>
              <w:t>4,389,636</w:t>
            </w:r>
          </w:p>
        </w:tc>
        <w:tc>
          <w:tcPr>
            <w:tcW w:w="0" w:type="dxa"/>
            <w:vAlign w:val="bottom"/>
          </w:tcPr>
          <w:p>
            <w:pPr>
              <w:spacing w:after="0"/>
              <w:rPr>
                <w:sz w:val="1"/>
                <w:szCs w:val="1"/>
                <w:color w:val="auto"/>
              </w:rPr>
            </w:pPr>
          </w:p>
        </w:tc>
      </w:tr>
      <w:tr>
        <w:trPr>
          <w:trHeight w:val="189"/>
        </w:trPr>
        <w:tc>
          <w:tcPr>
            <w:tcW w:w="5780" w:type="dxa"/>
            <w:vAlign w:val="bottom"/>
            <w:tcBorders>
              <w:bottom w:val="single" w:sz="8" w:color="DBDBDB"/>
            </w:tcBorders>
            <w:shd w:val="clear" w:color="auto" w:fill="E7ECF0"/>
          </w:tcPr>
          <w:p>
            <w:pPr>
              <w:ind w:left="20"/>
              <w:spacing w:after="0"/>
              <w:rPr>
                <w:sz w:val="20"/>
                <w:szCs w:val="20"/>
                <w:color w:val="auto"/>
              </w:rPr>
            </w:pPr>
            <w:r>
              <w:rPr>
                <w:rFonts w:ascii="Arial" w:cs="Arial" w:eastAsia="Arial" w:hAnsi="Arial"/>
                <w:sz w:val="14"/>
                <w:szCs w:val="14"/>
                <w:color w:val="auto"/>
              </w:rPr>
              <w:t>were outstanding and unvested at the covered fiscal year end</w:t>
            </w:r>
          </w:p>
        </w:tc>
        <w:tc>
          <w:tcPr>
            <w:tcW w:w="1640" w:type="dxa"/>
            <w:vAlign w:val="bottom"/>
            <w:tcBorders>
              <w:bottom w:val="single" w:sz="8" w:color="DBDBDB"/>
            </w:tcBorders>
            <w:vMerge w:val="continue"/>
            <w:shd w:val="clear" w:color="auto" w:fill="E7ECF0"/>
          </w:tcPr>
          <w:p>
            <w:pPr>
              <w:spacing w:after="0"/>
              <w:rPr>
                <w:sz w:val="16"/>
                <w:szCs w:val="16"/>
                <w:color w:val="auto"/>
              </w:rPr>
            </w:pPr>
          </w:p>
        </w:tc>
        <w:tc>
          <w:tcPr>
            <w:tcW w:w="1360" w:type="dxa"/>
            <w:vAlign w:val="bottom"/>
            <w:tcBorders>
              <w:bottom w:val="single" w:sz="8" w:color="DBDBDB"/>
            </w:tcBorders>
            <w:vMerge w:val="continue"/>
            <w:shd w:val="clear" w:color="auto" w:fill="E7ECF0"/>
          </w:tcPr>
          <w:p>
            <w:pPr>
              <w:spacing w:after="0"/>
              <w:rPr>
                <w:sz w:val="16"/>
                <w:szCs w:val="16"/>
                <w:color w:val="auto"/>
              </w:rPr>
            </w:pPr>
          </w:p>
        </w:tc>
        <w:tc>
          <w:tcPr>
            <w:tcW w:w="1400" w:type="dxa"/>
            <w:vAlign w:val="bottom"/>
            <w:tcBorders>
              <w:bottom w:val="single" w:sz="8" w:color="DBDBDB"/>
            </w:tcBorders>
            <w:vMerge w:val="continue"/>
            <w:shd w:val="clear" w:color="auto" w:fill="E7ECF0"/>
          </w:tcPr>
          <w:p>
            <w:pPr>
              <w:spacing w:after="0"/>
              <w:rPr>
                <w:sz w:val="16"/>
                <w:szCs w:val="16"/>
                <w:color w:val="auto"/>
              </w:rPr>
            </w:pPr>
          </w:p>
        </w:tc>
        <w:tc>
          <w:tcPr>
            <w:tcW w:w="1060" w:type="dxa"/>
            <w:vAlign w:val="bottom"/>
            <w:tcBorders>
              <w:bottom w:val="single" w:sz="8" w:color="DBDBDB"/>
            </w:tcBorders>
            <w:vMerge w:val="continue"/>
            <w:shd w:val="clear" w:color="auto" w:fill="E7ECF0"/>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5780" w:type="dxa"/>
            <w:vAlign w:val="bottom"/>
          </w:tcPr>
          <w:p>
            <w:pPr>
              <w:ind w:left="20"/>
              <w:spacing w:after="0" w:line="142" w:lineRule="exact"/>
              <w:rPr>
                <w:sz w:val="20"/>
                <w:szCs w:val="20"/>
                <w:color w:val="auto"/>
              </w:rPr>
            </w:pPr>
            <w:r>
              <w:rPr>
                <w:rFonts w:ascii="Arial" w:cs="Arial" w:eastAsia="Arial" w:hAnsi="Arial"/>
                <w:sz w:val="14"/>
                <w:szCs w:val="14"/>
                <w:color w:val="auto"/>
              </w:rPr>
              <w:t>Add (Deduct): Year-over-year change in fair value at covered fiscal year end of awards</w:t>
            </w:r>
          </w:p>
        </w:tc>
        <w:tc>
          <w:tcPr>
            <w:tcW w:w="164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5780" w:type="dxa"/>
            <w:vAlign w:val="bottom"/>
          </w:tcPr>
          <w:p>
            <w:pPr>
              <w:ind w:left="20"/>
              <w:spacing w:after="0" w:line="139" w:lineRule="exact"/>
              <w:rPr>
                <w:sz w:val="20"/>
                <w:szCs w:val="20"/>
                <w:color w:val="auto"/>
              </w:rPr>
            </w:pPr>
            <w:r>
              <w:rPr>
                <w:rFonts w:ascii="Arial" w:cs="Arial" w:eastAsia="Arial" w:hAnsi="Arial"/>
                <w:sz w:val="14"/>
                <w:szCs w:val="14"/>
                <w:color w:val="auto"/>
              </w:rPr>
              <w:t>granted in any prior fiscal year that were outstanding and unvested at the covered fiscal</w:t>
            </w:r>
          </w:p>
        </w:tc>
        <w:tc>
          <w:tcPr>
            <w:tcW w:w="1640" w:type="dxa"/>
            <w:vAlign w:val="bottom"/>
            <w:vMerge w:val="restart"/>
          </w:tcPr>
          <w:p>
            <w:pPr>
              <w:jc w:val="right"/>
              <w:ind w:right="208"/>
              <w:spacing w:after="0"/>
              <w:rPr>
                <w:sz w:val="20"/>
                <w:szCs w:val="20"/>
                <w:color w:val="auto"/>
              </w:rPr>
            </w:pPr>
            <w:r>
              <w:rPr>
                <w:rFonts w:ascii="Arial" w:cs="Arial" w:eastAsia="Arial" w:hAnsi="Arial"/>
                <w:sz w:val="14"/>
                <w:szCs w:val="14"/>
                <w:color w:val="auto"/>
              </w:rPr>
              <w:t>666,228</w:t>
            </w:r>
          </w:p>
        </w:tc>
        <w:tc>
          <w:tcPr>
            <w:tcW w:w="1360" w:type="dxa"/>
            <w:vAlign w:val="bottom"/>
            <w:vMerge w:val="restart"/>
          </w:tcPr>
          <w:p>
            <w:pPr>
              <w:jc w:val="right"/>
              <w:ind w:right="208"/>
              <w:spacing w:after="0"/>
              <w:rPr>
                <w:sz w:val="20"/>
                <w:szCs w:val="20"/>
                <w:color w:val="auto"/>
              </w:rPr>
            </w:pPr>
            <w:r>
              <w:rPr>
                <w:rFonts w:ascii="Arial" w:cs="Arial" w:eastAsia="Arial" w:hAnsi="Arial"/>
                <w:sz w:val="14"/>
                <w:szCs w:val="14"/>
                <w:color w:val="auto"/>
              </w:rPr>
              <w:t>(1,294,656)</w:t>
            </w:r>
          </w:p>
        </w:tc>
        <w:tc>
          <w:tcPr>
            <w:tcW w:w="1400" w:type="dxa"/>
            <w:vAlign w:val="bottom"/>
            <w:vMerge w:val="restart"/>
          </w:tcPr>
          <w:p>
            <w:pPr>
              <w:jc w:val="right"/>
              <w:ind w:right="248"/>
              <w:spacing w:after="0"/>
              <w:rPr>
                <w:sz w:val="20"/>
                <w:szCs w:val="20"/>
                <w:color w:val="auto"/>
              </w:rPr>
            </w:pPr>
            <w:r>
              <w:rPr>
                <w:rFonts w:ascii="Arial" w:cs="Arial" w:eastAsia="Arial" w:hAnsi="Arial"/>
                <w:sz w:val="14"/>
                <w:szCs w:val="14"/>
                <w:color w:val="auto"/>
              </w:rPr>
              <w:t>1,941,564</w:t>
            </w:r>
          </w:p>
        </w:tc>
        <w:tc>
          <w:tcPr>
            <w:tcW w:w="1060" w:type="dxa"/>
            <w:vAlign w:val="bottom"/>
            <w:vMerge w:val="restart"/>
          </w:tcPr>
          <w:p>
            <w:pPr>
              <w:jc w:val="right"/>
              <w:spacing w:after="0"/>
              <w:rPr>
                <w:sz w:val="20"/>
                <w:szCs w:val="20"/>
                <w:color w:val="auto"/>
              </w:rPr>
            </w:pPr>
            <w:r>
              <w:rPr>
                <w:rFonts w:ascii="Arial" w:cs="Arial" w:eastAsia="Arial" w:hAnsi="Arial"/>
                <w:sz w:val="14"/>
                <w:szCs w:val="14"/>
                <w:color w:val="auto"/>
              </w:rPr>
              <w:t>(3,169,451)</w:t>
            </w:r>
          </w:p>
        </w:tc>
        <w:tc>
          <w:tcPr>
            <w:tcW w:w="0" w:type="dxa"/>
            <w:vAlign w:val="bottom"/>
          </w:tcPr>
          <w:p>
            <w:pPr>
              <w:spacing w:after="0"/>
              <w:rPr>
                <w:sz w:val="1"/>
                <w:szCs w:val="1"/>
                <w:color w:val="auto"/>
              </w:rPr>
            </w:pPr>
          </w:p>
        </w:tc>
      </w:tr>
      <w:tr>
        <w:trPr>
          <w:trHeight w:val="194"/>
        </w:trPr>
        <w:tc>
          <w:tcPr>
            <w:tcW w:w="5780" w:type="dxa"/>
            <w:vAlign w:val="bottom"/>
            <w:tcBorders>
              <w:bottom w:val="single" w:sz="8" w:color="DBDBDB"/>
            </w:tcBorders>
          </w:tcPr>
          <w:p>
            <w:pPr>
              <w:ind w:left="20"/>
              <w:spacing w:after="0"/>
              <w:rPr>
                <w:sz w:val="20"/>
                <w:szCs w:val="20"/>
                <w:color w:val="auto"/>
              </w:rPr>
            </w:pPr>
            <w:r>
              <w:rPr>
                <w:rFonts w:ascii="Arial" w:cs="Arial" w:eastAsia="Arial" w:hAnsi="Arial"/>
                <w:sz w:val="14"/>
                <w:szCs w:val="14"/>
                <w:color w:val="auto"/>
              </w:rPr>
              <w:t>year end</w:t>
            </w:r>
          </w:p>
        </w:tc>
        <w:tc>
          <w:tcPr>
            <w:tcW w:w="1640" w:type="dxa"/>
            <w:vAlign w:val="bottom"/>
            <w:tcBorders>
              <w:bottom w:val="single" w:sz="8" w:color="DBDBDB"/>
            </w:tcBorders>
            <w:vMerge w:val="continue"/>
          </w:tcPr>
          <w:p>
            <w:pPr>
              <w:spacing w:after="0"/>
              <w:rPr>
                <w:sz w:val="16"/>
                <w:szCs w:val="16"/>
                <w:color w:val="auto"/>
              </w:rPr>
            </w:pPr>
          </w:p>
        </w:tc>
        <w:tc>
          <w:tcPr>
            <w:tcW w:w="1360" w:type="dxa"/>
            <w:vAlign w:val="bottom"/>
            <w:tcBorders>
              <w:bottom w:val="single" w:sz="8" w:color="DBDBDB"/>
            </w:tcBorders>
            <w:vMerge w:val="continue"/>
          </w:tcPr>
          <w:p>
            <w:pPr>
              <w:spacing w:after="0"/>
              <w:rPr>
                <w:sz w:val="16"/>
                <w:szCs w:val="16"/>
                <w:color w:val="auto"/>
              </w:rPr>
            </w:pPr>
          </w:p>
        </w:tc>
        <w:tc>
          <w:tcPr>
            <w:tcW w:w="1400" w:type="dxa"/>
            <w:vAlign w:val="bottom"/>
            <w:tcBorders>
              <w:bottom w:val="single" w:sz="8" w:color="DBDBDB"/>
            </w:tcBorders>
            <w:vMerge w:val="continue"/>
          </w:tcPr>
          <w:p>
            <w:pPr>
              <w:spacing w:after="0"/>
              <w:rPr>
                <w:sz w:val="16"/>
                <w:szCs w:val="16"/>
                <w:color w:val="auto"/>
              </w:rPr>
            </w:pPr>
          </w:p>
        </w:tc>
        <w:tc>
          <w:tcPr>
            <w:tcW w:w="1060" w:type="dxa"/>
            <w:vAlign w:val="bottom"/>
            <w:tcBorders>
              <w:bottom w:val="single" w:sz="8" w:color="DBDBDB"/>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6"/>
        </w:trPr>
        <w:tc>
          <w:tcPr>
            <w:tcW w:w="5780" w:type="dxa"/>
            <w:vAlign w:val="bottom"/>
            <w:shd w:val="clear" w:color="auto" w:fill="E7ECF0"/>
          </w:tcPr>
          <w:p>
            <w:pPr>
              <w:ind w:left="20"/>
              <w:spacing w:after="0" w:line="146" w:lineRule="exact"/>
              <w:rPr>
                <w:sz w:val="20"/>
                <w:szCs w:val="20"/>
                <w:color w:val="auto"/>
              </w:rPr>
            </w:pPr>
            <w:r>
              <w:rPr>
                <w:rFonts w:ascii="Arial" w:cs="Arial" w:eastAsia="Arial" w:hAnsi="Arial"/>
                <w:sz w:val="14"/>
                <w:szCs w:val="14"/>
                <w:color w:val="auto"/>
              </w:rPr>
              <w:t>Add (Deduct): Change as of the vesting date (from the end of the prior fiscal year) in fair</w:t>
            </w:r>
          </w:p>
        </w:tc>
        <w:tc>
          <w:tcPr>
            <w:tcW w:w="1640" w:type="dxa"/>
            <w:vAlign w:val="bottom"/>
            <w:shd w:val="clear" w:color="auto" w:fill="E7ECF0"/>
          </w:tcPr>
          <w:p>
            <w:pPr>
              <w:spacing w:after="0"/>
              <w:rPr>
                <w:sz w:val="12"/>
                <w:szCs w:val="12"/>
                <w:color w:val="auto"/>
              </w:rPr>
            </w:pPr>
          </w:p>
        </w:tc>
        <w:tc>
          <w:tcPr>
            <w:tcW w:w="1360" w:type="dxa"/>
            <w:vAlign w:val="bottom"/>
            <w:shd w:val="clear" w:color="auto" w:fill="E7ECF0"/>
          </w:tcPr>
          <w:p>
            <w:pPr>
              <w:spacing w:after="0"/>
              <w:rPr>
                <w:sz w:val="12"/>
                <w:szCs w:val="12"/>
                <w:color w:val="auto"/>
              </w:rPr>
            </w:pPr>
          </w:p>
        </w:tc>
        <w:tc>
          <w:tcPr>
            <w:tcW w:w="1400" w:type="dxa"/>
            <w:vAlign w:val="bottom"/>
            <w:shd w:val="clear" w:color="auto" w:fill="E7ECF0"/>
          </w:tcPr>
          <w:p>
            <w:pPr>
              <w:spacing w:after="0"/>
              <w:rPr>
                <w:sz w:val="12"/>
                <w:szCs w:val="12"/>
                <w:color w:val="auto"/>
              </w:rPr>
            </w:pPr>
          </w:p>
        </w:tc>
        <w:tc>
          <w:tcPr>
            <w:tcW w:w="1060" w:type="dxa"/>
            <w:vAlign w:val="bottom"/>
            <w:shd w:val="clear" w:color="auto" w:fill="E7ECF0"/>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5780" w:type="dxa"/>
            <w:vAlign w:val="bottom"/>
            <w:shd w:val="clear" w:color="auto" w:fill="E7ECF0"/>
          </w:tcPr>
          <w:p>
            <w:pPr>
              <w:ind w:left="20"/>
              <w:spacing w:after="0" w:line="139" w:lineRule="exact"/>
              <w:rPr>
                <w:sz w:val="20"/>
                <w:szCs w:val="20"/>
                <w:color w:val="auto"/>
              </w:rPr>
            </w:pPr>
            <w:r>
              <w:rPr>
                <w:rFonts w:ascii="Arial" w:cs="Arial" w:eastAsia="Arial" w:hAnsi="Arial"/>
                <w:sz w:val="14"/>
                <w:szCs w:val="14"/>
                <w:color w:val="auto"/>
              </w:rPr>
              <w:t>value of awards granted in any prior fiscal year for which vesting conditions were satisfied</w:t>
            </w:r>
          </w:p>
        </w:tc>
        <w:tc>
          <w:tcPr>
            <w:tcW w:w="1640" w:type="dxa"/>
            <w:vAlign w:val="bottom"/>
            <w:vMerge w:val="restart"/>
            <w:shd w:val="clear" w:color="auto" w:fill="E7ECF0"/>
          </w:tcPr>
          <w:p>
            <w:pPr>
              <w:jc w:val="right"/>
              <w:ind w:right="208"/>
              <w:spacing w:after="0"/>
              <w:rPr>
                <w:sz w:val="20"/>
                <w:szCs w:val="20"/>
                <w:color w:val="auto"/>
              </w:rPr>
            </w:pPr>
            <w:r>
              <w:rPr>
                <w:rFonts w:ascii="Arial" w:cs="Arial" w:eastAsia="Arial" w:hAnsi="Arial"/>
                <w:sz w:val="14"/>
                <w:szCs w:val="14"/>
                <w:color w:val="auto"/>
              </w:rPr>
              <w:t>948,044</w:t>
            </w:r>
          </w:p>
        </w:tc>
        <w:tc>
          <w:tcPr>
            <w:tcW w:w="1360" w:type="dxa"/>
            <w:vAlign w:val="bottom"/>
            <w:vMerge w:val="restart"/>
            <w:shd w:val="clear" w:color="auto" w:fill="E7ECF0"/>
          </w:tcPr>
          <w:p>
            <w:pPr>
              <w:jc w:val="right"/>
              <w:ind w:right="208"/>
              <w:spacing w:after="0"/>
              <w:rPr>
                <w:sz w:val="20"/>
                <w:szCs w:val="20"/>
                <w:color w:val="auto"/>
              </w:rPr>
            </w:pPr>
            <w:r>
              <w:rPr>
                <w:rFonts w:ascii="Arial" w:cs="Arial" w:eastAsia="Arial" w:hAnsi="Arial"/>
                <w:sz w:val="14"/>
                <w:szCs w:val="14"/>
                <w:color w:val="auto"/>
              </w:rPr>
              <w:t>(2,228,704)</w:t>
            </w:r>
          </w:p>
        </w:tc>
        <w:tc>
          <w:tcPr>
            <w:tcW w:w="1400" w:type="dxa"/>
            <w:vAlign w:val="bottom"/>
            <w:vMerge w:val="restart"/>
            <w:shd w:val="clear" w:color="auto" w:fill="E7ECF0"/>
          </w:tcPr>
          <w:p>
            <w:pPr>
              <w:jc w:val="right"/>
              <w:ind w:right="248"/>
              <w:spacing w:after="0"/>
              <w:rPr>
                <w:sz w:val="20"/>
                <w:szCs w:val="20"/>
                <w:color w:val="auto"/>
              </w:rPr>
            </w:pPr>
            <w:r>
              <w:rPr>
                <w:rFonts w:ascii="Arial" w:cs="Arial" w:eastAsia="Arial" w:hAnsi="Arial"/>
                <w:sz w:val="14"/>
                <w:szCs w:val="14"/>
                <w:color w:val="auto"/>
              </w:rPr>
              <w:t>2,227,284</w:t>
            </w:r>
          </w:p>
        </w:tc>
        <w:tc>
          <w:tcPr>
            <w:tcW w:w="1060" w:type="dxa"/>
            <w:vAlign w:val="bottom"/>
            <w:vMerge w:val="restart"/>
            <w:shd w:val="clear" w:color="auto" w:fill="E7ECF0"/>
          </w:tcPr>
          <w:p>
            <w:pPr>
              <w:jc w:val="right"/>
              <w:spacing w:after="0"/>
              <w:rPr>
                <w:sz w:val="20"/>
                <w:szCs w:val="20"/>
                <w:color w:val="auto"/>
              </w:rPr>
            </w:pPr>
            <w:r>
              <w:rPr>
                <w:rFonts w:ascii="Arial" w:cs="Arial" w:eastAsia="Arial" w:hAnsi="Arial"/>
                <w:sz w:val="14"/>
                <w:szCs w:val="14"/>
                <w:color w:val="auto"/>
              </w:rPr>
              <w:t>(3,858,419)</w:t>
            </w:r>
          </w:p>
        </w:tc>
        <w:tc>
          <w:tcPr>
            <w:tcW w:w="0" w:type="dxa"/>
            <w:vAlign w:val="bottom"/>
          </w:tcPr>
          <w:p>
            <w:pPr>
              <w:spacing w:after="0"/>
              <w:rPr>
                <w:sz w:val="1"/>
                <w:szCs w:val="1"/>
                <w:color w:val="auto"/>
              </w:rPr>
            </w:pPr>
          </w:p>
        </w:tc>
      </w:tr>
      <w:tr>
        <w:trPr>
          <w:trHeight w:val="194"/>
        </w:trPr>
        <w:tc>
          <w:tcPr>
            <w:tcW w:w="5780" w:type="dxa"/>
            <w:vAlign w:val="bottom"/>
            <w:tcBorders>
              <w:bottom w:val="single" w:sz="8" w:color="DBDBDB"/>
            </w:tcBorders>
            <w:shd w:val="clear" w:color="auto" w:fill="E7ECF0"/>
          </w:tcPr>
          <w:p>
            <w:pPr>
              <w:ind w:left="20"/>
              <w:spacing w:after="0"/>
              <w:rPr>
                <w:sz w:val="20"/>
                <w:szCs w:val="20"/>
                <w:color w:val="auto"/>
              </w:rPr>
            </w:pPr>
            <w:r>
              <w:rPr>
                <w:rFonts w:ascii="Arial" w:cs="Arial" w:eastAsia="Arial" w:hAnsi="Arial"/>
                <w:sz w:val="14"/>
                <w:szCs w:val="14"/>
                <w:color w:val="auto"/>
              </w:rPr>
              <w:t>during the covered fiscal year</w:t>
            </w:r>
          </w:p>
        </w:tc>
        <w:tc>
          <w:tcPr>
            <w:tcW w:w="1640" w:type="dxa"/>
            <w:vAlign w:val="bottom"/>
            <w:tcBorders>
              <w:bottom w:val="single" w:sz="8" w:color="DBDBDB"/>
            </w:tcBorders>
            <w:vMerge w:val="continue"/>
            <w:shd w:val="clear" w:color="auto" w:fill="E7ECF0"/>
          </w:tcPr>
          <w:p>
            <w:pPr>
              <w:spacing w:after="0"/>
              <w:rPr>
                <w:sz w:val="16"/>
                <w:szCs w:val="16"/>
                <w:color w:val="auto"/>
              </w:rPr>
            </w:pPr>
          </w:p>
        </w:tc>
        <w:tc>
          <w:tcPr>
            <w:tcW w:w="1360" w:type="dxa"/>
            <w:vAlign w:val="bottom"/>
            <w:tcBorders>
              <w:bottom w:val="single" w:sz="8" w:color="DBDBDB"/>
            </w:tcBorders>
            <w:vMerge w:val="continue"/>
            <w:shd w:val="clear" w:color="auto" w:fill="E7ECF0"/>
          </w:tcPr>
          <w:p>
            <w:pPr>
              <w:spacing w:after="0"/>
              <w:rPr>
                <w:sz w:val="16"/>
                <w:szCs w:val="16"/>
                <w:color w:val="auto"/>
              </w:rPr>
            </w:pPr>
          </w:p>
        </w:tc>
        <w:tc>
          <w:tcPr>
            <w:tcW w:w="1400" w:type="dxa"/>
            <w:vAlign w:val="bottom"/>
            <w:tcBorders>
              <w:bottom w:val="single" w:sz="8" w:color="DBDBDB"/>
            </w:tcBorders>
            <w:vMerge w:val="continue"/>
            <w:shd w:val="clear" w:color="auto" w:fill="E7ECF0"/>
          </w:tcPr>
          <w:p>
            <w:pPr>
              <w:spacing w:after="0"/>
              <w:rPr>
                <w:sz w:val="16"/>
                <w:szCs w:val="16"/>
                <w:color w:val="auto"/>
              </w:rPr>
            </w:pPr>
          </w:p>
        </w:tc>
        <w:tc>
          <w:tcPr>
            <w:tcW w:w="1060" w:type="dxa"/>
            <w:vAlign w:val="bottom"/>
            <w:tcBorders>
              <w:bottom w:val="single" w:sz="8" w:color="DBDBDB"/>
            </w:tcBorders>
            <w:vMerge w:val="continue"/>
            <w:shd w:val="clear" w:color="auto" w:fill="E7ECF0"/>
          </w:tcPr>
          <w:p>
            <w:pPr>
              <w:spacing w:after="0"/>
              <w:rPr>
                <w:sz w:val="16"/>
                <w:szCs w:val="16"/>
                <w:color w:val="auto"/>
              </w:rPr>
            </w:pPr>
          </w:p>
        </w:tc>
        <w:tc>
          <w:tcPr>
            <w:tcW w:w="0" w:type="dxa"/>
            <w:vAlign w:val="bottom"/>
          </w:tcPr>
          <w:p>
            <w:pPr>
              <w:spacing w:after="0"/>
              <w:rPr>
                <w:sz w:val="1"/>
                <w:szCs w:val="1"/>
                <w:color w:val="auto"/>
              </w:rPr>
            </w:pPr>
          </w:p>
        </w:tc>
      </w:tr>
      <w:tr>
        <w:trPr>
          <w:trHeight w:val="146"/>
        </w:trPr>
        <w:tc>
          <w:tcPr>
            <w:tcW w:w="5780" w:type="dxa"/>
            <w:vAlign w:val="bottom"/>
          </w:tcPr>
          <w:p>
            <w:pPr>
              <w:ind w:left="20"/>
              <w:spacing w:after="0" w:line="146" w:lineRule="exact"/>
              <w:rPr>
                <w:sz w:val="20"/>
                <w:szCs w:val="20"/>
                <w:color w:val="auto"/>
              </w:rPr>
            </w:pPr>
            <w:r>
              <w:rPr>
                <w:rFonts w:ascii="Arial" w:cs="Arial" w:eastAsia="Arial" w:hAnsi="Arial"/>
                <w:sz w:val="14"/>
                <w:szCs w:val="14"/>
                <w:color w:val="auto"/>
              </w:rPr>
              <w:t>(Deduct): Fair value at end of prior fiscal year of awards granted in any prior fiscal year</w:t>
            </w:r>
          </w:p>
        </w:tc>
        <w:tc>
          <w:tcPr>
            <w:tcW w:w="1640" w:type="dxa"/>
            <w:vAlign w:val="bottom"/>
            <w:vMerge w:val="restart"/>
          </w:tcPr>
          <w:p>
            <w:pPr>
              <w:jc w:val="right"/>
              <w:ind w:right="808"/>
              <w:spacing w:after="0"/>
              <w:rPr>
                <w:sz w:val="20"/>
                <w:szCs w:val="20"/>
                <w:color w:val="auto"/>
              </w:rPr>
            </w:pPr>
            <w:r>
              <w:rPr>
                <w:rFonts w:ascii="Arial" w:cs="Arial" w:eastAsia="Arial" w:hAnsi="Arial"/>
                <w:sz w:val="14"/>
                <w:szCs w:val="14"/>
                <w:color w:val="auto"/>
              </w:rPr>
              <w:t>—</w:t>
            </w:r>
          </w:p>
        </w:tc>
        <w:tc>
          <w:tcPr>
            <w:tcW w:w="1360" w:type="dxa"/>
            <w:vAlign w:val="bottom"/>
            <w:vMerge w:val="restart"/>
          </w:tcPr>
          <w:p>
            <w:pPr>
              <w:jc w:val="right"/>
              <w:ind w:right="808"/>
              <w:spacing w:after="0"/>
              <w:rPr>
                <w:sz w:val="20"/>
                <w:szCs w:val="20"/>
                <w:color w:val="auto"/>
              </w:rPr>
            </w:pPr>
            <w:r>
              <w:rPr>
                <w:rFonts w:ascii="Arial" w:cs="Arial" w:eastAsia="Arial" w:hAnsi="Arial"/>
                <w:sz w:val="14"/>
                <w:szCs w:val="14"/>
                <w:color w:val="auto"/>
              </w:rPr>
              <w:t>—</w:t>
            </w:r>
          </w:p>
        </w:tc>
        <w:tc>
          <w:tcPr>
            <w:tcW w:w="1400" w:type="dxa"/>
            <w:vAlign w:val="bottom"/>
            <w:vMerge w:val="restart"/>
          </w:tcPr>
          <w:p>
            <w:pPr>
              <w:jc w:val="right"/>
              <w:ind w:right="848"/>
              <w:spacing w:after="0"/>
              <w:rPr>
                <w:sz w:val="20"/>
                <w:szCs w:val="20"/>
                <w:color w:val="auto"/>
              </w:rPr>
            </w:pPr>
            <w:r>
              <w:rPr>
                <w:rFonts w:ascii="Arial" w:cs="Arial" w:eastAsia="Arial" w:hAnsi="Arial"/>
                <w:sz w:val="14"/>
                <w:szCs w:val="14"/>
                <w:color w:val="auto"/>
              </w:rPr>
              <w:t>—</w:t>
            </w:r>
          </w:p>
        </w:tc>
        <w:tc>
          <w:tcPr>
            <w:tcW w:w="1060" w:type="dxa"/>
            <w:vAlign w:val="bottom"/>
            <w:vMerge w:val="restart"/>
          </w:tcPr>
          <w:p>
            <w:pPr>
              <w:jc w:val="right"/>
              <w:ind w:right="5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5780" w:type="dxa"/>
            <w:vAlign w:val="bottom"/>
            <w:tcBorders>
              <w:bottom w:val="single" w:sz="8" w:color="DBDBDB"/>
            </w:tcBorders>
          </w:tcPr>
          <w:p>
            <w:pPr>
              <w:ind w:left="20"/>
              <w:spacing w:after="0"/>
              <w:rPr>
                <w:sz w:val="20"/>
                <w:szCs w:val="20"/>
                <w:color w:val="auto"/>
              </w:rPr>
            </w:pPr>
            <w:r>
              <w:rPr>
                <w:rFonts w:ascii="Arial" w:cs="Arial" w:eastAsia="Arial" w:hAnsi="Arial"/>
                <w:sz w:val="14"/>
                <w:szCs w:val="14"/>
                <w:color w:val="auto"/>
              </w:rPr>
              <w:t>that failed to meet the applicable vesting conditions during the covered fiscal year</w:t>
            </w:r>
          </w:p>
        </w:tc>
        <w:tc>
          <w:tcPr>
            <w:tcW w:w="1640" w:type="dxa"/>
            <w:vAlign w:val="bottom"/>
            <w:tcBorders>
              <w:bottom w:val="single" w:sz="8" w:color="DBDBDB"/>
            </w:tcBorders>
            <w:vMerge w:val="continue"/>
          </w:tcPr>
          <w:p>
            <w:pPr>
              <w:spacing w:after="0"/>
              <w:rPr>
                <w:sz w:val="16"/>
                <w:szCs w:val="16"/>
                <w:color w:val="auto"/>
              </w:rPr>
            </w:pPr>
          </w:p>
        </w:tc>
        <w:tc>
          <w:tcPr>
            <w:tcW w:w="1360" w:type="dxa"/>
            <w:vAlign w:val="bottom"/>
            <w:tcBorders>
              <w:bottom w:val="single" w:sz="8" w:color="DBDBDB"/>
            </w:tcBorders>
            <w:vMerge w:val="continue"/>
          </w:tcPr>
          <w:p>
            <w:pPr>
              <w:spacing w:after="0"/>
              <w:rPr>
                <w:sz w:val="16"/>
                <w:szCs w:val="16"/>
                <w:color w:val="auto"/>
              </w:rPr>
            </w:pPr>
          </w:p>
        </w:tc>
        <w:tc>
          <w:tcPr>
            <w:tcW w:w="1400" w:type="dxa"/>
            <w:vAlign w:val="bottom"/>
            <w:tcBorders>
              <w:bottom w:val="single" w:sz="8" w:color="DBDBDB"/>
            </w:tcBorders>
            <w:vMerge w:val="continue"/>
          </w:tcPr>
          <w:p>
            <w:pPr>
              <w:spacing w:after="0"/>
              <w:rPr>
                <w:sz w:val="16"/>
                <w:szCs w:val="16"/>
                <w:color w:val="auto"/>
              </w:rPr>
            </w:pPr>
          </w:p>
        </w:tc>
        <w:tc>
          <w:tcPr>
            <w:tcW w:w="1060" w:type="dxa"/>
            <w:vAlign w:val="bottom"/>
            <w:tcBorders>
              <w:bottom w:val="single" w:sz="8" w:color="DBDBDB"/>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5780" w:type="dxa"/>
            <w:vAlign w:val="bottom"/>
            <w:tcBorders>
              <w:bottom w:val="single" w:sz="8" w:color="DBDBDB"/>
            </w:tcBorders>
            <w:shd w:val="clear" w:color="auto" w:fill="E7ECF0"/>
          </w:tcPr>
          <w:p>
            <w:pPr>
              <w:ind w:left="20"/>
              <w:spacing w:after="0"/>
              <w:rPr>
                <w:sz w:val="20"/>
                <w:szCs w:val="20"/>
                <w:color w:val="auto"/>
              </w:rPr>
            </w:pPr>
            <w:r>
              <w:rPr>
                <w:rFonts w:ascii="Arial" w:cs="Arial" w:eastAsia="Arial" w:hAnsi="Arial"/>
                <w:sz w:val="14"/>
                <w:szCs w:val="14"/>
                <w:b w:val="1"/>
                <w:bCs w:val="1"/>
                <w:color w:val="auto"/>
              </w:rPr>
              <w:t>CAP Amounts (as calculated)</w:t>
            </w:r>
          </w:p>
        </w:tc>
        <w:tc>
          <w:tcPr>
            <w:tcW w:w="1640" w:type="dxa"/>
            <w:vAlign w:val="bottom"/>
            <w:tcBorders>
              <w:bottom w:val="single" w:sz="8" w:color="DBDBDB"/>
            </w:tcBorders>
            <w:shd w:val="clear" w:color="auto" w:fill="E7ECF0"/>
          </w:tcPr>
          <w:p>
            <w:pPr>
              <w:jc w:val="right"/>
              <w:ind w:right="208"/>
              <w:spacing w:after="0"/>
              <w:rPr>
                <w:sz w:val="20"/>
                <w:szCs w:val="20"/>
                <w:color w:val="auto"/>
              </w:rPr>
            </w:pPr>
            <w:r>
              <w:rPr>
                <w:rFonts w:ascii="Arial" w:cs="Arial" w:eastAsia="Arial" w:hAnsi="Arial"/>
                <w:sz w:val="14"/>
                <w:szCs w:val="14"/>
                <w:color w:val="auto"/>
              </w:rPr>
              <w:t>$11,309,667</w:t>
            </w:r>
          </w:p>
        </w:tc>
        <w:tc>
          <w:tcPr>
            <w:tcW w:w="1360" w:type="dxa"/>
            <w:vAlign w:val="bottom"/>
            <w:tcBorders>
              <w:bottom w:val="single" w:sz="8" w:color="DBDBDB"/>
            </w:tcBorders>
            <w:shd w:val="clear" w:color="auto" w:fill="E7ECF0"/>
          </w:tcPr>
          <w:p>
            <w:pPr>
              <w:jc w:val="right"/>
              <w:ind w:right="208"/>
              <w:spacing w:after="0"/>
              <w:rPr>
                <w:sz w:val="20"/>
                <w:szCs w:val="20"/>
                <w:color w:val="auto"/>
              </w:rPr>
            </w:pPr>
            <w:r>
              <w:rPr>
                <w:rFonts w:ascii="Arial" w:cs="Arial" w:eastAsia="Arial" w:hAnsi="Arial"/>
                <w:sz w:val="14"/>
                <w:szCs w:val="14"/>
                <w:color w:val="auto"/>
              </w:rPr>
              <w:t>$4,308,412</w:t>
            </w:r>
          </w:p>
        </w:tc>
        <w:tc>
          <w:tcPr>
            <w:tcW w:w="1400" w:type="dxa"/>
            <w:vAlign w:val="bottom"/>
            <w:tcBorders>
              <w:bottom w:val="single" w:sz="8" w:color="DBDBDB"/>
            </w:tcBorders>
            <w:shd w:val="clear" w:color="auto" w:fill="E7ECF0"/>
          </w:tcPr>
          <w:p>
            <w:pPr>
              <w:jc w:val="right"/>
              <w:ind w:right="248"/>
              <w:spacing w:after="0"/>
              <w:rPr>
                <w:sz w:val="20"/>
                <w:szCs w:val="20"/>
                <w:color w:val="auto"/>
              </w:rPr>
            </w:pPr>
            <w:r>
              <w:rPr>
                <w:rFonts w:ascii="Arial" w:cs="Arial" w:eastAsia="Arial" w:hAnsi="Arial"/>
                <w:sz w:val="14"/>
                <w:szCs w:val="14"/>
                <w:color w:val="auto"/>
              </w:rPr>
              <w:t>$15,054,940</w:t>
            </w:r>
          </w:p>
        </w:tc>
        <w:tc>
          <w:tcPr>
            <w:tcW w:w="1060" w:type="dxa"/>
            <w:vAlign w:val="bottom"/>
            <w:tcBorders>
              <w:bottom w:val="single" w:sz="8" w:color="DBDBDB"/>
            </w:tcBorders>
            <w:shd w:val="clear" w:color="auto" w:fill="E7ECF0"/>
          </w:tcPr>
          <w:p>
            <w:pPr>
              <w:jc w:val="right"/>
              <w:spacing w:after="0"/>
              <w:rPr>
                <w:sz w:val="20"/>
                <w:szCs w:val="20"/>
                <w:color w:val="auto"/>
              </w:rPr>
            </w:pPr>
            <w:r>
              <w:rPr>
                <w:rFonts w:ascii="Arial" w:cs="Arial" w:eastAsia="Arial" w:hAnsi="Arial"/>
                <w:sz w:val="14"/>
                <w:szCs w:val="14"/>
                <w:color w:val="auto"/>
              </w:rPr>
              <w:t>$(392,735)</w:t>
            </w:r>
          </w:p>
        </w:tc>
        <w:tc>
          <w:tcPr>
            <w:tcW w:w="0" w:type="dxa"/>
            <w:vAlign w:val="bottom"/>
          </w:tcPr>
          <w:p>
            <w:pPr>
              <w:spacing w:after="0"/>
              <w:rPr>
                <w:sz w:val="1"/>
                <w:szCs w:val="1"/>
                <w:color w:val="auto"/>
              </w:rPr>
            </w:pPr>
          </w:p>
        </w:tc>
      </w:tr>
    </w:tbl>
    <w:p>
      <w:pPr>
        <w:spacing w:after="0" w:line="170" w:lineRule="exact"/>
        <w:rPr>
          <w:sz w:val="20"/>
          <w:szCs w:val="20"/>
          <w:color w:val="auto"/>
        </w:rPr>
      </w:pPr>
    </w:p>
    <w:p>
      <w:pPr>
        <w:jc w:val="both"/>
        <w:ind w:left="980"/>
        <w:spacing w:after="0" w:line="273" w:lineRule="auto"/>
        <w:rPr>
          <w:sz w:val="20"/>
          <w:szCs w:val="20"/>
          <w:color w:val="auto"/>
        </w:rPr>
      </w:pPr>
      <w:r>
        <w:rPr>
          <w:rFonts w:ascii="Arial" w:cs="Arial" w:eastAsia="Arial" w:hAnsi="Arial"/>
          <w:sz w:val="18"/>
          <w:szCs w:val="18"/>
          <w:color w:val="auto"/>
        </w:rPr>
        <w:t>The fair value of the equity awards was calculated in the same manner as the Company uses to calculate the grant date fair value of the awards, but with updated assumption values as of the measurement date. Information about the assumptions used to determine the grant date fair value of the equity awards is set forth in our Annual Report on Form 10-K in Note 10 to our consolidated financial statements for the year ended June 30, 2024.</w:t>
      </w:r>
    </w:p>
    <w:p>
      <w:pPr>
        <w:spacing w:after="0" w:line="71" w:lineRule="exact"/>
        <w:rPr>
          <w:sz w:val="20"/>
          <w:szCs w:val="20"/>
          <w:color w:val="auto"/>
        </w:rPr>
      </w:pPr>
    </w:p>
    <w:p>
      <w:pPr>
        <w:ind w:left="980" w:right="20" w:hanging="324"/>
        <w:spacing w:after="0" w:line="303" w:lineRule="auto"/>
        <w:tabs>
          <w:tab w:leader="none" w:pos="943"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dollar amounts reported are the average amounts of total compensation reported for the Other NEOs for each corresponding year in the “Total” column of the SCT. For each of fiscal 2024, 2023, 2022, and 2021, the Other NEOs were as follows:</w:t>
      </w:r>
    </w:p>
    <w:p>
      <w:pPr>
        <w:spacing w:after="0" w:line="30" w:lineRule="exact"/>
        <w:rPr>
          <w:rFonts w:ascii="Arial" w:cs="Arial" w:eastAsia="Arial" w:hAnsi="Arial"/>
          <w:sz w:val="18"/>
          <w:szCs w:val="18"/>
          <w:color w:val="auto"/>
        </w:rPr>
      </w:pPr>
    </w:p>
    <w:p>
      <w:pPr>
        <w:ind w:left="1300" w:hanging="320"/>
        <w:spacing w:after="0"/>
        <w:tabs>
          <w:tab w:leader="none" w:pos="1300" w:val="left"/>
        </w:tabs>
        <w:numPr>
          <w:ilvl w:val="1"/>
          <w:numId w:val="27"/>
        </w:numPr>
        <w:rPr>
          <w:rFonts w:ascii="Arial" w:cs="Arial" w:eastAsia="Arial" w:hAnsi="Arial"/>
          <w:sz w:val="18"/>
          <w:szCs w:val="18"/>
          <w:color w:val="auto"/>
        </w:rPr>
      </w:pPr>
      <w:r>
        <w:rPr>
          <w:rFonts w:ascii="Arial" w:cs="Arial" w:eastAsia="Arial" w:hAnsi="Arial"/>
          <w:sz w:val="18"/>
          <w:szCs w:val="18"/>
          <w:color w:val="auto"/>
        </w:rPr>
        <w:t>Fiscal 2024: Gregory R. Adelson, Mimi L. Carsley, Craig K. Morgan, and Stacey E. Zengel.</w:t>
      </w:r>
    </w:p>
    <w:p>
      <w:pPr>
        <w:spacing w:after="0" w:line="130" w:lineRule="exact"/>
        <w:rPr>
          <w:rFonts w:ascii="Arial" w:cs="Arial" w:eastAsia="Arial" w:hAnsi="Arial"/>
          <w:sz w:val="18"/>
          <w:szCs w:val="18"/>
          <w:color w:val="auto"/>
        </w:rPr>
      </w:pPr>
    </w:p>
    <w:p>
      <w:pPr>
        <w:ind w:left="1300" w:hanging="320"/>
        <w:spacing w:after="0"/>
        <w:tabs>
          <w:tab w:leader="none" w:pos="1300" w:val="left"/>
        </w:tabs>
        <w:numPr>
          <w:ilvl w:val="1"/>
          <w:numId w:val="27"/>
        </w:numPr>
        <w:rPr>
          <w:rFonts w:ascii="Arial" w:cs="Arial" w:eastAsia="Arial" w:hAnsi="Arial"/>
          <w:sz w:val="18"/>
          <w:szCs w:val="18"/>
          <w:color w:val="auto"/>
        </w:rPr>
      </w:pPr>
      <w:r>
        <w:rPr>
          <w:rFonts w:ascii="Arial" w:cs="Arial" w:eastAsia="Arial" w:hAnsi="Arial"/>
          <w:sz w:val="18"/>
          <w:szCs w:val="18"/>
          <w:color w:val="auto"/>
        </w:rPr>
        <w:t>Fiscal 2023: Gregory R. Adelson, Mimi L. Carsley, Craig K. Morgan, Stacey E. Zengel, and Kevin D. Williams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69215</wp:posOffset>
            </wp:positionV>
            <wp:extent cx="7132320" cy="3511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32320" cy="351155"/>
                    </a:xfrm>
                    <a:prstGeom prst="rect">
                      <a:avLst/>
                    </a:prstGeom>
                    <a:noFill/>
                  </pic:spPr>
                </pic:pic>
              </a:graphicData>
            </a:graphic>
          </wp:anchor>
        </w:drawing>
      </w:r>
    </w:p>
    <w:p>
      <w:pPr>
        <w:spacing w:after="0" w:line="300" w:lineRule="exact"/>
        <w:rPr>
          <w:sz w:val="20"/>
          <w:szCs w:val="20"/>
          <w:color w:val="auto"/>
        </w:rPr>
      </w:pPr>
    </w:p>
    <w:p>
      <w:pPr>
        <w:ind w:left="20"/>
        <w:spacing w:after="0"/>
        <w:tabs>
          <w:tab w:leader="none" w:pos="440" w:val="left"/>
        </w:tabs>
        <w:rPr>
          <w:sz w:val="20"/>
          <w:szCs w:val="20"/>
          <w:color w:val="auto"/>
        </w:rPr>
      </w:pPr>
      <w:r>
        <w:rPr>
          <w:rFonts w:ascii="Arial" w:cs="Arial" w:eastAsia="Arial" w:hAnsi="Arial"/>
          <w:sz w:val="18"/>
          <w:szCs w:val="18"/>
          <w:color w:val="auto"/>
        </w:rPr>
        <w:t>64</w:t>
        <w:tab/>
        <w:t>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262255</wp:posOffset>
            </wp:positionV>
            <wp:extent cx="7157720" cy="425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6" w:right="339" w:bottom="1440" w:gutter="0" w:footer="0" w:header="0"/>
        </w:sectPr>
      </w:pPr>
    </w:p>
    <w:bookmarkStart w:id="67" w:name="page68"/>
    <w:bookmarkEnd w:id="67"/>
    <w:p>
      <w:pPr>
        <w:ind w:left="1300" w:hanging="320"/>
        <w:spacing w:after="0"/>
        <w:tabs>
          <w:tab w:leader="none" w:pos="1300" w:val="left"/>
        </w:tabs>
        <w:numPr>
          <w:ilvl w:val="1"/>
          <w:numId w:val="28"/>
        </w:numPr>
        <w:rPr>
          <w:rFonts w:ascii="Arial" w:cs="Arial" w:eastAsia="Arial" w:hAnsi="Arial"/>
          <w:sz w:val="18"/>
          <w:szCs w:val="18"/>
          <w:color w:val="auto"/>
        </w:rPr>
      </w:pPr>
      <w:r>
        <w:rPr>
          <w:rFonts w:ascii="Arial" w:cs="Arial" w:eastAsia="Arial" w:hAnsi="Arial"/>
          <w:sz w:val="18"/>
          <w:szCs w:val="18"/>
          <w:color w:val="auto"/>
        </w:rPr>
        <w:t>Fiscal 2022: Kevin D. Williams, Gregory R. Adelson, Craig K. Morgan, Stacey E. Zengel, and Teddy I. Bilke</w:t>
      </w:r>
    </w:p>
    <w:p>
      <w:pPr>
        <w:spacing w:after="0" w:line="130" w:lineRule="exact"/>
        <w:rPr>
          <w:rFonts w:ascii="Arial" w:cs="Arial" w:eastAsia="Arial" w:hAnsi="Arial"/>
          <w:sz w:val="18"/>
          <w:szCs w:val="18"/>
          <w:color w:val="auto"/>
        </w:rPr>
      </w:pPr>
    </w:p>
    <w:p>
      <w:pPr>
        <w:ind w:left="1300" w:hanging="320"/>
        <w:spacing w:after="0"/>
        <w:tabs>
          <w:tab w:leader="none" w:pos="1300" w:val="left"/>
        </w:tabs>
        <w:numPr>
          <w:ilvl w:val="1"/>
          <w:numId w:val="28"/>
        </w:numPr>
        <w:rPr>
          <w:rFonts w:ascii="Arial" w:cs="Arial" w:eastAsia="Arial" w:hAnsi="Arial"/>
          <w:sz w:val="18"/>
          <w:szCs w:val="18"/>
          <w:color w:val="auto"/>
        </w:rPr>
      </w:pPr>
      <w:r>
        <w:rPr>
          <w:rFonts w:ascii="Arial" w:cs="Arial" w:eastAsia="Arial" w:hAnsi="Arial"/>
          <w:sz w:val="18"/>
          <w:szCs w:val="18"/>
          <w:color w:val="auto"/>
        </w:rPr>
        <w:t>Fiscal 2021: Kevin D. Williams, Gregory R. Adelson, Craig K. Morgan, and Teddy I. Bilke</w:t>
      </w:r>
    </w:p>
    <w:p>
      <w:pPr>
        <w:spacing w:after="0" w:line="117" w:lineRule="exact"/>
        <w:rPr>
          <w:rFonts w:ascii="Arial" w:cs="Arial" w:eastAsia="Arial" w:hAnsi="Arial"/>
          <w:sz w:val="18"/>
          <w:szCs w:val="18"/>
          <w:color w:val="auto"/>
        </w:rPr>
      </w:pPr>
    </w:p>
    <w:p>
      <w:pPr>
        <w:jc w:val="both"/>
        <w:ind w:left="980" w:hanging="324"/>
        <w:spacing w:after="0" w:line="284" w:lineRule="auto"/>
        <w:tabs>
          <w:tab w:leader="none" w:pos="943"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below table provides the adjustments required by SEC rules to calculate the average CAP amount from the SCT Total of our Other NEOs. SCT Total and CAP amounts do not reflect the actual amount of compensation earned by or paid to our executives during the applicable years, but rather are amounts determined in accordance with Item 402(v) of Regulation S-K.</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Calculation of Average Compensation Actually Paid to Other NEOs</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780" w:type="dxa"/>
            <w:vAlign w:val="bottom"/>
            <w:tcBorders>
              <w:bottom w:val="single" w:sz="8" w:color="auto"/>
            </w:tcBorders>
            <w:shd w:val="clear" w:color="auto" w:fill="E8F7F7"/>
          </w:tcPr>
          <w:p>
            <w:pPr>
              <w:spacing w:after="0"/>
              <w:rPr>
                <w:sz w:val="17"/>
                <w:szCs w:val="17"/>
                <w:color w:val="auto"/>
              </w:rPr>
            </w:pPr>
          </w:p>
        </w:tc>
        <w:tc>
          <w:tcPr>
            <w:tcW w:w="1680" w:type="dxa"/>
            <w:vAlign w:val="bottom"/>
            <w:tcBorders>
              <w:bottom w:val="single" w:sz="8" w:color="auto"/>
            </w:tcBorders>
            <w:shd w:val="clear" w:color="auto" w:fill="E8F7F7"/>
          </w:tcPr>
          <w:p>
            <w:pPr>
              <w:jc w:val="right"/>
              <w:ind w:right="248"/>
              <w:spacing w:after="0"/>
              <w:rPr>
                <w:sz w:val="20"/>
                <w:szCs w:val="20"/>
                <w:color w:val="auto"/>
              </w:rPr>
            </w:pPr>
            <w:r>
              <w:rPr>
                <w:rFonts w:ascii="Arial" w:cs="Arial" w:eastAsia="Arial" w:hAnsi="Arial"/>
                <w:sz w:val="14"/>
                <w:szCs w:val="14"/>
                <w:color w:val="auto"/>
              </w:rPr>
              <w:t>2024</w:t>
            </w:r>
          </w:p>
        </w:tc>
        <w:tc>
          <w:tcPr>
            <w:tcW w:w="1340" w:type="dxa"/>
            <w:vAlign w:val="bottom"/>
            <w:tcBorders>
              <w:bottom w:val="single" w:sz="8" w:color="auto"/>
            </w:tcBorders>
            <w:shd w:val="clear" w:color="auto" w:fill="E8F7F7"/>
          </w:tcPr>
          <w:p>
            <w:pPr>
              <w:jc w:val="right"/>
              <w:ind w:right="228"/>
              <w:spacing w:after="0"/>
              <w:rPr>
                <w:sz w:val="20"/>
                <w:szCs w:val="20"/>
                <w:color w:val="auto"/>
              </w:rPr>
            </w:pPr>
            <w:r>
              <w:rPr>
                <w:rFonts w:ascii="Arial" w:cs="Arial" w:eastAsia="Arial" w:hAnsi="Arial"/>
                <w:sz w:val="14"/>
                <w:szCs w:val="14"/>
                <w:color w:val="auto"/>
              </w:rPr>
              <w:t>2023</w:t>
            </w:r>
          </w:p>
        </w:tc>
        <w:tc>
          <w:tcPr>
            <w:tcW w:w="1380" w:type="dxa"/>
            <w:vAlign w:val="bottom"/>
            <w:tcBorders>
              <w:bottom w:val="single" w:sz="8" w:color="auto"/>
            </w:tcBorders>
            <w:shd w:val="clear" w:color="auto" w:fill="E8F7F7"/>
          </w:tcPr>
          <w:p>
            <w:pPr>
              <w:jc w:val="right"/>
              <w:ind w:right="248"/>
              <w:spacing w:after="0"/>
              <w:rPr>
                <w:sz w:val="20"/>
                <w:szCs w:val="20"/>
                <w:color w:val="auto"/>
              </w:rPr>
            </w:pPr>
            <w:r>
              <w:rPr>
                <w:rFonts w:ascii="Arial" w:cs="Arial" w:eastAsia="Arial" w:hAnsi="Arial"/>
                <w:sz w:val="14"/>
                <w:szCs w:val="14"/>
                <w:color w:val="auto"/>
              </w:rPr>
              <w:t>2022</w:t>
            </w:r>
          </w:p>
        </w:tc>
        <w:tc>
          <w:tcPr>
            <w:tcW w:w="1060" w:type="dxa"/>
            <w:vAlign w:val="bottom"/>
            <w:tcBorders>
              <w:bottom w:val="single" w:sz="8" w:color="auto"/>
            </w:tcBorders>
            <w:shd w:val="clear" w:color="auto" w:fill="E8F7F7"/>
          </w:tcPr>
          <w:p>
            <w:pPr>
              <w:jc w:val="right"/>
              <w:spacing w:after="0"/>
              <w:rPr>
                <w:sz w:val="20"/>
                <w:szCs w:val="20"/>
                <w:color w:val="auto"/>
              </w:rPr>
            </w:pPr>
            <w:r>
              <w:rPr>
                <w:rFonts w:ascii="Arial" w:cs="Arial" w:eastAsia="Arial" w:hAnsi="Arial"/>
                <w:sz w:val="14"/>
                <w:szCs w:val="14"/>
                <w:color w:val="auto"/>
              </w:rPr>
              <w:t>2021</w:t>
            </w:r>
          </w:p>
        </w:tc>
        <w:tc>
          <w:tcPr>
            <w:tcW w:w="0" w:type="dxa"/>
            <w:vAlign w:val="bottom"/>
          </w:tcPr>
          <w:p>
            <w:pPr>
              <w:spacing w:after="0"/>
              <w:rPr>
                <w:sz w:val="1"/>
                <w:szCs w:val="1"/>
                <w:color w:val="auto"/>
              </w:rPr>
            </w:pPr>
          </w:p>
        </w:tc>
      </w:tr>
      <w:tr>
        <w:trPr>
          <w:trHeight w:val="195"/>
        </w:trPr>
        <w:tc>
          <w:tcPr>
            <w:tcW w:w="5780" w:type="dxa"/>
            <w:vAlign w:val="bottom"/>
            <w:tcBorders>
              <w:bottom w:val="single" w:sz="8" w:color="DBDBDB"/>
            </w:tcBorders>
            <w:shd w:val="clear" w:color="auto" w:fill="E8F7F7"/>
          </w:tcPr>
          <w:p>
            <w:pPr>
              <w:ind w:left="20"/>
              <w:spacing w:after="0"/>
              <w:rPr>
                <w:sz w:val="20"/>
                <w:szCs w:val="20"/>
                <w:color w:val="auto"/>
              </w:rPr>
            </w:pPr>
            <w:r>
              <w:rPr>
                <w:rFonts w:ascii="Arial" w:cs="Arial" w:eastAsia="Arial" w:hAnsi="Arial"/>
                <w:sz w:val="14"/>
                <w:szCs w:val="14"/>
                <w:b w:val="1"/>
                <w:bCs w:val="1"/>
                <w:color w:val="auto"/>
              </w:rPr>
              <w:t>Average Summary Compensation Table Total</w:t>
            </w:r>
          </w:p>
        </w:tc>
        <w:tc>
          <w:tcPr>
            <w:tcW w:w="1680" w:type="dxa"/>
            <w:vAlign w:val="bottom"/>
            <w:tcBorders>
              <w:bottom w:val="single" w:sz="8" w:color="DBDBDB"/>
            </w:tcBorders>
            <w:shd w:val="clear" w:color="auto" w:fill="E8F7F7"/>
          </w:tcPr>
          <w:p>
            <w:pPr>
              <w:jc w:val="right"/>
              <w:ind w:right="248"/>
              <w:spacing w:after="0"/>
              <w:rPr>
                <w:sz w:val="20"/>
                <w:szCs w:val="20"/>
                <w:color w:val="auto"/>
              </w:rPr>
            </w:pPr>
            <w:r>
              <w:rPr>
                <w:rFonts w:ascii="Arial" w:cs="Arial" w:eastAsia="Arial" w:hAnsi="Arial"/>
                <w:sz w:val="14"/>
                <w:szCs w:val="14"/>
                <w:color w:val="auto"/>
              </w:rPr>
              <w:t>$2,204,660</w:t>
            </w:r>
          </w:p>
        </w:tc>
        <w:tc>
          <w:tcPr>
            <w:tcW w:w="1340" w:type="dxa"/>
            <w:vAlign w:val="bottom"/>
            <w:tcBorders>
              <w:bottom w:val="single" w:sz="8" w:color="DBDBDB"/>
            </w:tcBorders>
            <w:shd w:val="clear" w:color="auto" w:fill="E8F7F7"/>
          </w:tcPr>
          <w:p>
            <w:pPr>
              <w:jc w:val="right"/>
              <w:ind w:right="228"/>
              <w:spacing w:after="0"/>
              <w:rPr>
                <w:sz w:val="20"/>
                <w:szCs w:val="20"/>
                <w:color w:val="auto"/>
              </w:rPr>
            </w:pPr>
            <w:r>
              <w:rPr>
                <w:rFonts w:ascii="Arial" w:cs="Arial" w:eastAsia="Arial" w:hAnsi="Arial"/>
                <w:sz w:val="14"/>
                <w:szCs w:val="14"/>
                <w:color w:val="auto"/>
              </w:rPr>
              <w:t>$1,535,887</w:t>
            </w:r>
          </w:p>
        </w:tc>
        <w:tc>
          <w:tcPr>
            <w:tcW w:w="1380" w:type="dxa"/>
            <w:vAlign w:val="bottom"/>
            <w:tcBorders>
              <w:bottom w:val="single" w:sz="8" w:color="DBDBDB"/>
            </w:tcBorders>
            <w:shd w:val="clear" w:color="auto" w:fill="E8F7F7"/>
          </w:tcPr>
          <w:p>
            <w:pPr>
              <w:jc w:val="right"/>
              <w:ind w:right="248"/>
              <w:spacing w:after="0"/>
              <w:rPr>
                <w:sz w:val="20"/>
                <w:szCs w:val="20"/>
                <w:color w:val="auto"/>
              </w:rPr>
            </w:pPr>
            <w:r>
              <w:rPr>
                <w:rFonts w:ascii="Arial" w:cs="Arial" w:eastAsia="Arial" w:hAnsi="Arial"/>
                <w:sz w:val="14"/>
                <w:szCs w:val="14"/>
                <w:color w:val="auto"/>
              </w:rPr>
              <w:t>$1,679,606</w:t>
            </w:r>
          </w:p>
        </w:tc>
        <w:tc>
          <w:tcPr>
            <w:tcW w:w="1060" w:type="dxa"/>
            <w:vAlign w:val="bottom"/>
            <w:tcBorders>
              <w:bottom w:val="single" w:sz="8" w:color="DBDBDB"/>
            </w:tcBorders>
            <w:shd w:val="clear" w:color="auto" w:fill="E8F7F7"/>
          </w:tcPr>
          <w:p>
            <w:pPr>
              <w:jc w:val="right"/>
              <w:spacing w:after="0"/>
              <w:rPr>
                <w:sz w:val="20"/>
                <w:szCs w:val="20"/>
                <w:color w:val="auto"/>
              </w:rPr>
            </w:pPr>
            <w:r>
              <w:rPr>
                <w:rFonts w:ascii="Arial" w:cs="Arial" w:eastAsia="Arial" w:hAnsi="Arial"/>
                <w:sz w:val="14"/>
                <w:szCs w:val="14"/>
                <w:color w:val="auto"/>
              </w:rPr>
              <w:t>$1,595,708</w:t>
            </w:r>
          </w:p>
        </w:tc>
        <w:tc>
          <w:tcPr>
            <w:tcW w:w="0" w:type="dxa"/>
            <w:vAlign w:val="bottom"/>
          </w:tcPr>
          <w:p>
            <w:pPr>
              <w:spacing w:after="0"/>
              <w:rPr>
                <w:sz w:val="1"/>
                <w:szCs w:val="1"/>
                <w:color w:val="auto"/>
              </w:rPr>
            </w:pPr>
          </w:p>
        </w:tc>
      </w:tr>
      <w:tr>
        <w:trPr>
          <w:trHeight w:val="147"/>
        </w:trPr>
        <w:tc>
          <w:tcPr>
            <w:tcW w:w="5780" w:type="dxa"/>
            <w:vAlign w:val="bottom"/>
          </w:tcPr>
          <w:p>
            <w:pPr>
              <w:ind w:left="20"/>
              <w:spacing w:after="0" w:line="147" w:lineRule="exact"/>
              <w:rPr>
                <w:sz w:val="20"/>
                <w:szCs w:val="20"/>
                <w:color w:val="auto"/>
              </w:rPr>
            </w:pPr>
            <w:r>
              <w:rPr>
                <w:rFonts w:ascii="Arial" w:cs="Arial" w:eastAsia="Arial" w:hAnsi="Arial"/>
                <w:sz w:val="14"/>
                <w:szCs w:val="14"/>
                <w:color w:val="auto"/>
              </w:rPr>
              <w:t>(Deduct): Average amount reported for stock and option awards in SCT Total for the</w:t>
            </w:r>
          </w:p>
        </w:tc>
        <w:tc>
          <w:tcPr>
            <w:tcW w:w="1680" w:type="dxa"/>
            <w:vAlign w:val="bottom"/>
            <w:vMerge w:val="restart"/>
          </w:tcPr>
          <w:p>
            <w:pPr>
              <w:jc w:val="right"/>
              <w:ind w:right="248"/>
              <w:spacing w:after="0"/>
              <w:rPr>
                <w:sz w:val="20"/>
                <w:szCs w:val="20"/>
                <w:color w:val="auto"/>
              </w:rPr>
            </w:pPr>
            <w:r>
              <w:rPr>
                <w:rFonts w:ascii="Arial" w:cs="Arial" w:eastAsia="Arial" w:hAnsi="Arial"/>
                <w:sz w:val="14"/>
                <w:szCs w:val="14"/>
                <w:color w:val="auto"/>
              </w:rPr>
              <w:t>(1,259,258)</w:t>
            </w:r>
          </w:p>
        </w:tc>
        <w:tc>
          <w:tcPr>
            <w:tcW w:w="1340" w:type="dxa"/>
            <w:vAlign w:val="bottom"/>
            <w:vMerge w:val="restart"/>
          </w:tcPr>
          <w:p>
            <w:pPr>
              <w:jc w:val="right"/>
              <w:ind w:right="228"/>
              <w:spacing w:after="0"/>
              <w:rPr>
                <w:sz w:val="20"/>
                <w:szCs w:val="20"/>
                <w:color w:val="auto"/>
              </w:rPr>
            </w:pPr>
            <w:r>
              <w:rPr>
                <w:rFonts w:ascii="Arial" w:cs="Arial" w:eastAsia="Arial" w:hAnsi="Arial"/>
                <w:sz w:val="14"/>
                <w:szCs w:val="14"/>
                <w:color w:val="auto"/>
              </w:rPr>
              <w:t>(866,956)</w:t>
            </w:r>
          </w:p>
        </w:tc>
        <w:tc>
          <w:tcPr>
            <w:tcW w:w="1380" w:type="dxa"/>
            <w:vAlign w:val="bottom"/>
            <w:vMerge w:val="restart"/>
          </w:tcPr>
          <w:p>
            <w:pPr>
              <w:jc w:val="right"/>
              <w:ind w:right="248"/>
              <w:spacing w:after="0"/>
              <w:rPr>
                <w:sz w:val="20"/>
                <w:szCs w:val="20"/>
                <w:color w:val="auto"/>
              </w:rPr>
            </w:pPr>
            <w:r>
              <w:rPr>
                <w:rFonts w:ascii="Arial" w:cs="Arial" w:eastAsia="Arial" w:hAnsi="Arial"/>
                <w:sz w:val="14"/>
                <w:szCs w:val="14"/>
                <w:color w:val="auto"/>
              </w:rPr>
              <w:t>(892,433)</w:t>
            </w:r>
          </w:p>
        </w:tc>
        <w:tc>
          <w:tcPr>
            <w:tcW w:w="1060" w:type="dxa"/>
            <w:vAlign w:val="bottom"/>
            <w:vMerge w:val="restart"/>
          </w:tcPr>
          <w:p>
            <w:pPr>
              <w:jc w:val="right"/>
              <w:spacing w:after="0"/>
              <w:rPr>
                <w:sz w:val="20"/>
                <w:szCs w:val="20"/>
                <w:color w:val="auto"/>
              </w:rPr>
            </w:pPr>
            <w:r>
              <w:rPr>
                <w:rFonts w:ascii="Arial" w:cs="Arial" w:eastAsia="Arial" w:hAnsi="Arial"/>
                <w:sz w:val="14"/>
                <w:szCs w:val="14"/>
                <w:color w:val="auto"/>
              </w:rPr>
              <w:t>(745,656)</w:t>
            </w:r>
          </w:p>
        </w:tc>
        <w:tc>
          <w:tcPr>
            <w:tcW w:w="0" w:type="dxa"/>
            <w:vAlign w:val="bottom"/>
          </w:tcPr>
          <w:p>
            <w:pPr>
              <w:spacing w:after="0"/>
              <w:rPr>
                <w:sz w:val="1"/>
                <w:szCs w:val="1"/>
                <w:color w:val="auto"/>
              </w:rPr>
            </w:pPr>
          </w:p>
        </w:tc>
      </w:tr>
      <w:tr>
        <w:trPr>
          <w:trHeight w:val="185"/>
        </w:trPr>
        <w:tc>
          <w:tcPr>
            <w:tcW w:w="5780" w:type="dxa"/>
            <w:vAlign w:val="bottom"/>
            <w:tcBorders>
              <w:bottom w:val="single" w:sz="8" w:color="DBDBDB"/>
            </w:tcBorders>
          </w:tcPr>
          <w:p>
            <w:pPr>
              <w:ind w:left="20"/>
              <w:spacing w:after="0"/>
              <w:rPr>
                <w:sz w:val="20"/>
                <w:szCs w:val="20"/>
                <w:color w:val="auto"/>
              </w:rPr>
            </w:pPr>
            <w:r>
              <w:rPr>
                <w:rFonts w:ascii="Arial" w:cs="Arial" w:eastAsia="Arial" w:hAnsi="Arial"/>
                <w:sz w:val="14"/>
                <w:szCs w:val="14"/>
                <w:color w:val="auto"/>
              </w:rPr>
              <w:t>covered fiscal year</w:t>
            </w:r>
          </w:p>
        </w:tc>
        <w:tc>
          <w:tcPr>
            <w:tcW w:w="1680" w:type="dxa"/>
            <w:vAlign w:val="bottom"/>
            <w:tcBorders>
              <w:bottom w:val="single" w:sz="8" w:color="DBDBDB"/>
            </w:tcBorders>
            <w:vMerge w:val="continue"/>
          </w:tcPr>
          <w:p>
            <w:pPr>
              <w:spacing w:after="0"/>
              <w:rPr>
                <w:sz w:val="16"/>
                <w:szCs w:val="16"/>
                <w:color w:val="auto"/>
              </w:rPr>
            </w:pPr>
          </w:p>
        </w:tc>
        <w:tc>
          <w:tcPr>
            <w:tcW w:w="1340" w:type="dxa"/>
            <w:vAlign w:val="bottom"/>
            <w:tcBorders>
              <w:bottom w:val="single" w:sz="8" w:color="DBDBDB"/>
            </w:tcBorders>
            <w:vMerge w:val="continue"/>
          </w:tcPr>
          <w:p>
            <w:pPr>
              <w:spacing w:after="0"/>
              <w:rPr>
                <w:sz w:val="16"/>
                <w:szCs w:val="16"/>
                <w:color w:val="auto"/>
              </w:rPr>
            </w:pPr>
          </w:p>
        </w:tc>
        <w:tc>
          <w:tcPr>
            <w:tcW w:w="1380" w:type="dxa"/>
            <w:vAlign w:val="bottom"/>
            <w:tcBorders>
              <w:bottom w:val="single" w:sz="8" w:color="DBDBDB"/>
            </w:tcBorders>
            <w:vMerge w:val="continue"/>
          </w:tcPr>
          <w:p>
            <w:pPr>
              <w:spacing w:after="0"/>
              <w:rPr>
                <w:sz w:val="16"/>
                <w:szCs w:val="16"/>
                <w:color w:val="auto"/>
              </w:rPr>
            </w:pPr>
          </w:p>
        </w:tc>
        <w:tc>
          <w:tcPr>
            <w:tcW w:w="1060" w:type="dxa"/>
            <w:vAlign w:val="bottom"/>
            <w:tcBorders>
              <w:bottom w:val="single" w:sz="8" w:color="DBDBDB"/>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6"/>
        </w:trPr>
        <w:tc>
          <w:tcPr>
            <w:tcW w:w="5780" w:type="dxa"/>
            <w:vAlign w:val="bottom"/>
            <w:shd w:val="clear" w:color="auto" w:fill="E7ECF0"/>
          </w:tcPr>
          <w:p>
            <w:pPr>
              <w:ind w:left="20"/>
              <w:spacing w:after="0" w:line="147" w:lineRule="exact"/>
              <w:rPr>
                <w:sz w:val="20"/>
                <w:szCs w:val="20"/>
                <w:color w:val="auto"/>
              </w:rPr>
            </w:pPr>
            <w:r>
              <w:rPr>
                <w:rFonts w:ascii="Arial" w:cs="Arial" w:eastAsia="Arial" w:hAnsi="Arial"/>
                <w:sz w:val="14"/>
                <w:szCs w:val="14"/>
                <w:color w:val="auto"/>
              </w:rPr>
              <w:t>Add: Average fair value at fiscal year end of awards granted during the covered fiscal year</w:t>
            </w:r>
          </w:p>
        </w:tc>
        <w:tc>
          <w:tcPr>
            <w:tcW w:w="1680" w:type="dxa"/>
            <w:vAlign w:val="bottom"/>
            <w:vMerge w:val="restart"/>
            <w:shd w:val="clear" w:color="auto" w:fill="E7ECF0"/>
          </w:tcPr>
          <w:p>
            <w:pPr>
              <w:jc w:val="right"/>
              <w:ind w:right="248"/>
              <w:spacing w:after="0"/>
              <w:rPr>
                <w:sz w:val="20"/>
                <w:szCs w:val="20"/>
                <w:color w:val="auto"/>
              </w:rPr>
            </w:pPr>
            <w:r>
              <w:rPr>
                <w:rFonts w:ascii="Arial" w:cs="Arial" w:eastAsia="Arial" w:hAnsi="Arial"/>
                <w:sz w:val="14"/>
                <w:szCs w:val="14"/>
                <w:color w:val="auto"/>
              </w:rPr>
              <w:t>1,044,536</w:t>
            </w:r>
          </w:p>
        </w:tc>
        <w:tc>
          <w:tcPr>
            <w:tcW w:w="1340" w:type="dxa"/>
            <w:vAlign w:val="bottom"/>
            <w:vMerge w:val="restart"/>
            <w:shd w:val="clear" w:color="auto" w:fill="E7ECF0"/>
          </w:tcPr>
          <w:p>
            <w:pPr>
              <w:jc w:val="right"/>
              <w:ind w:right="228"/>
              <w:spacing w:after="0"/>
              <w:rPr>
                <w:sz w:val="20"/>
                <w:szCs w:val="20"/>
                <w:color w:val="auto"/>
              </w:rPr>
            </w:pPr>
            <w:r>
              <w:rPr>
                <w:rFonts w:ascii="Arial" w:cs="Arial" w:eastAsia="Arial" w:hAnsi="Arial"/>
                <w:sz w:val="14"/>
                <w:szCs w:val="14"/>
                <w:color w:val="auto"/>
              </w:rPr>
              <w:t>617,691</w:t>
            </w:r>
          </w:p>
        </w:tc>
        <w:tc>
          <w:tcPr>
            <w:tcW w:w="1380" w:type="dxa"/>
            <w:vAlign w:val="bottom"/>
            <w:vMerge w:val="restart"/>
            <w:shd w:val="clear" w:color="auto" w:fill="E7ECF0"/>
          </w:tcPr>
          <w:p>
            <w:pPr>
              <w:jc w:val="right"/>
              <w:ind w:right="248"/>
              <w:spacing w:after="0"/>
              <w:rPr>
                <w:sz w:val="20"/>
                <w:szCs w:val="20"/>
                <w:color w:val="auto"/>
              </w:rPr>
            </w:pPr>
            <w:r>
              <w:rPr>
                <w:rFonts w:ascii="Arial" w:cs="Arial" w:eastAsia="Arial" w:hAnsi="Arial"/>
                <w:sz w:val="14"/>
                <w:szCs w:val="14"/>
                <w:color w:val="auto"/>
              </w:rPr>
              <w:t>1,025,592</w:t>
            </w:r>
          </w:p>
        </w:tc>
        <w:tc>
          <w:tcPr>
            <w:tcW w:w="1060" w:type="dxa"/>
            <w:vAlign w:val="bottom"/>
            <w:vMerge w:val="restart"/>
            <w:shd w:val="clear" w:color="auto" w:fill="E7ECF0"/>
          </w:tcPr>
          <w:p>
            <w:pPr>
              <w:jc w:val="right"/>
              <w:spacing w:after="0"/>
              <w:rPr>
                <w:sz w:val="20"/>
                <w:szCs w:val="20"/>
                <w:color w:val="auto"/>
              </w:rPr>
            </w:pPr>
            <w:r>
              <w:rPr>
                <w:rFonts w:ascii="Arial" w:cs="Arial" w:eastAsia="Arial" w:hAnsi="Arial"/>
                <w:sz w:val="14"/>
                <w:szCs w:val="14"/>
                <w:color w:val="auto"/>
              </w:rPr>
              <w:t>507,689</w:t>
            </w:r>
          </w:p>
        </w:tc>
        <w:tc>
          <w:tcPr>
            <w:tcW w:w="0" w:type="dxa"/>
            <w:vAlign w:val="bottom"/>
          </w:tcPr>
          <w:p>
            <w:pPr>
              <w:spacing w:after="0"/>
              <w:rPr>
                <w:sz w:val="1"/>
                <w:szCs w:val="1"/>
                <w:color w:val="auto"/>
              </w:rPr>
            </w:pPr>
          </w:p>
        </w:tc>
      </w:tr>
      <w:tr>
        <w:trPr>
          <w:trHeight w:val="185"/>
        </w:trPr>
        <w:tc>
          <w:tcPr>
            <w:tcW w:w="5780" w:type="dxa"/>
            <w:vAlign w:val="bottom"/>
            <w:tcBorders>
              <w:bottom w:val="single" w:sz="8" w:color="DBDBDB"/>
            </w:tcBorders>
            <w:shd w:val="clear" w:color="auto" w:fill="E7ECF0"/>
          </w:tcPr>
          <w:p>
            <w:pPr>
              <w:ind w:left="20"/>
              <w:spacing w:after="0"/>
              <w:rPr>
                <w:sz w:val="20"/>
                <w:szCs w:val="20"/>
                <w:color w:val="auto"/>
              </w:rPr>
            </w:pPr>
            <w:r>
              <w:rPr>
                <w:rFonts w:ascii="Arial" w:cs="Arial" w:eastAsia="Arial" w:hAnsi="Arial"/>
                <w:sz w:val="14"/>
                <w:szCs w:val="14"/>
                <w:color w:val="auto"/>
              </w:rPr>
              <w:t>that were outstanding and unvested at the covered fiscal year end</w:t>
            </w:r>
          </w:p>
        </w:tc>
        <w:tc>
          <w:tcPr>
            <w:tcW w:w="1680" w:type="dxa"/>
            <w:vAlign w:val="bottom"/>
            <w:tcBorders>
              <w:bottom w:val="single" w:sz="8" w:color="DBDBDB"/>
            </w:tcBorders>
            <w:vMerge w:val="continue"/>
            <w:shd w:val="clear" w:color="auto" w:fill="E7ECF0"/>
          </w:tcPr>
          <w:p>
            <w:pPr>
              <w:spacing w:after="0"/>
              <w:rPr>
                <w:sz w:val="16"/>
                <w:szCs w:val="16"/>
                <w:color w:val="auto"/>
              </w:rPr>
            </w:pPr>
          </w:p>
        </w:tc>
        <w:tc>
          <w:tcPr>
            <w:tcW w:w="1340" w:type="dxa"/>
            <w:vAlign w:val="bottom"/>
            <w:tcBorders>
              <w:bottom w:val="single" w:sz="8" w:color="DBDBDB"/>
            </w:tcBorders>
            <w:vMerge w:val="continue"/>
            <w:shd w:val="clear" w:color="auto" w:fill="E7ECF0"/>
          </w:tcPr>
          <w:p>
            <w:pPr>
              <w:spacing w:after="0"/>
              <w:rPr>
                <w:sz w:val="16"/>
                <w:szCs w:val="16"/>
                <w:color w:val="auto"/>
              </w:rPr>
            </w:pPr>
          </w:p>
        </w:tc>
        <w:tc>
          <w:tcPr>
            <w:tcW w:w="1380" w:type="dxa"/>
            <w:vAlign w:val="bottom"/>
            <w:tcBorders>
              <w:bottom w:val="single" w:sz="8" w:color="DBDBDB"/>
            </w:tcBorders>
            <w:vMerge w:val="continue"/>
            <w:shd w:val="clear" w:color="auto" w:fill="E7ECF0"/>
          </w:tcPr>
          <w:p>
            <w:pPr>
              <w:spacing w:after="0"/>
              <w:rPr>
                <w:sz w:val="16"/>
                <w:szCs w:val="16"/>
                <w:color w:val="auto"/>
              </w:rPr>
            </w:pPr>
          </w:p>
        </w:tc>
        <w:tc>
          <w:tcPr>
            <w:tcW w:w="1060" w:type="dxa"/>
            <w:vAlign w:val="bottom"/>
            <w:tcBorders>
              <w:bottom w:val="single" w:sz="8" w:color="DBDBDB"/>
            </w:tcBorders>
            <w:vMerge w:val="continue"/>
            <w:shd w:val="clear" w:color="auto" w:fill="E7ECF0"/>
          </w:tcPr>
          <w:p>
            <w:pPr>
              <w:spacing w:after="0"/>
              <w:rPr>
                <w:sz w:val="16"/>
                <w:szCs w:val="16"/>
                <w:color w:val="auto"/>
              </w:rPr>
            </w:pPr>
          </w:p>
        </w:tc>
        <w:tc>
          <w:tcPr>
            <w:tcW w:w="0" w:type="dxa"/>
            <w:vAlign w:val="bottom"/>
          </w:tcPr>
          <w:p>
            <w:pPr>
              <w:spacing w:after="0"/>
              <w:rPr>
                <w:sz w:val="1"/>
                <w:szCs w:val="1"/>
                <w:color w:val="auto"/>
              </w:rPr>
            </w:pPr>
          </w:p>
        </w:tc>
      </w:tr>
      <w:tr>
        <w:trPr>
          <w:trHeight w:val="146"/>
        </w:trPr>
        <w:tc>
          <w:tcPr>
            <w:tcW w:w="5780" w:type="dxa"/>
            <w:vAlign w:val="bottom"/>
          </w:tcPr>
          <w:p>
            <w:pPr>
              <w:ind w:left="20"/>
              <w:spacing w:after="0" w:line="147" w:lineRule="exact"/>
              <w:rPr>
                <w:sz w:val="20"/>
                <w:szCs w:val="20"/>
                <w:color w:val="auto"/>
              </w:rPr>
            </w:pPr>
            <w:r>
              <w:rPr>
                <w:rFonts w:ascii="Arial" w:cs="Arial" w:eastAsia="Arial" w:hAnsi="Arial"/>
                <w:sz w:val="14"/>
                <w:szCs w:val="14"/>
                <w:color w:val="auto"/>
              </w:rPr>
              <w:t>Add (Deduct): Average year-over-year change in fair value at covered fiscal year end of</w:t>
            </w:r>
          </w:p>
        </w:tc>
        <w:tc>
          <w:tcPr>
            <w:tcW w:w="168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5780" w:type="dxa"/>
            <w:vAlign w:val="bottom"/>
          </w:tcPr>
          <w:p>
            <w:pPr>
              <w:ind w:left="20"/>
              <w:spacing w:after="0" w:line="145" w:lineRule="exact"/>
              <w:rPr>
                <w:sz w:val="20"/>
                <w:szCs w:val="20"/>
                <w:color w:val="auto"/>
              </w:rPr>
            </w:pPr>
            <w:r>
              <w:rPr>
                <w:rFonts w:ascii="Arial" w:cs="Arial" w:eastAsia="Arial" w:hAnsi="Arial"/>
                <w:sz w:val="14"/>
                <w:szCs w:val="14"/>
                <w:color w:val="auto"/>
              </w:rPr>
              <w:t>awards granted in any prior fiscal year that were outstanding and unvested at the covered</w:t>
            </w:r>
          </w:p>
        </w:tc>
        <w:tc>
          <w:tcPr>
            <w:tcW w:w="1680" w:type="dxa"/>
            <w:vAlign w:val="bottom"/>
            <w:vMerge w:val="restart"/>
          </w:tcPr>
          <w:p>
            <w:pPr>
              <w:jc w:val="right"/>
              <w:ind w:right="248"/>
              <w:spacing w:after="0"/>
              <w:rPr>
                <w:sz w:val="20"/>
                <w:szCs w:val="20"/>
                <w:color w:val="auto"/>
              </w:rPr>
            </w:pPr>
            <w:r>
              <w:rPr>
                <w:rFonts w:ascii="Arial" w:cs="Arial" w:eastAsia="Arial" w:hAnsi="Arial"/>
                <w:sz w:val="14"/>
                <w:szCs w:val="14"/>
                <w:color w:val="auto"/>
              </w:rPr>
              <w:t>(87,939)</w:t>
            </w:r>
          </w:p>
        </w:tc>
        <w:tc>
          <w:tcPr>
            <w:tcW w:w="1340" w:type="dxa"/>
            <w:vAlign w:val="bottom"/>
            <w:vMerge w:val="restart"/>
          </w:tcPr>
          <w:p>
            <w:pPr>
              <w:jc w:val="right"/>
              <w:ind w:right="228"/>
              <w:spacing w:after="0"/>
              <w:rPr>
                <w:sz w:val="20"/>
                <w:szCs w:val="20"/>
                <w:color w:val="auto"/>
              </w:rPr>
            </w:pPr>
            <w:r>
              <w:rPr>
                <w:rFonts w:ascii="Arial" w:cs="Arial" w:eastAsia="Arial" w:hAnsi="Arial"/>
                <w:sz w:val="14"/>
                <w:szCs w:val="14"/>
                <w:color w:val="auto"/>
              </w:rPr>
              <w:t>(291,438)</w:t>
            </w:r>
          </w:p>
        </w:tc>
        <w:tc>
          <w:tcPr>
            <w:tcW w:w="1380" w:type="dxa"/>
            <w:vAlign w:val="bottom"/>
            <w:vMerge w:val="restart"/>
          </w:tcPr>
          <w:p>
            <w:pPr>
              <w:jc w:val="right"/>
              <w:ind w:right="248"/>
              <w:spacing w:after="0"/>
              <w:rPr>
                <w:sz w:val="20"/>
                <w:szCs w:val="20"/>
                <w:color w:val="auto"/>
              </w:rPr>
            </w:pPr>
            <w:r>
              <w:rPr>
                <w:rFonts w:ascii="Arial" w:cs="Arial" w:eastAsia="Arial" w:hAnsi="Arial"/>
                <w:sz w:val="14"/>
                <w:szCs w:val="14"/>
                <w:color w:val="auto"/>
              </w:rPr>
              <w:t>174,528</w:t>
            </w:r>
          </w:p>
        </w:tc>
        <w:tc>
          <w:tcPr>
            <w:tcW w:w="1060" w:type="dxa"/>
            <w:vAlign w:val="bottom"/>
            <w:vMerge w:val="restart"/>
          </w:tcPr>
          <w:p>
            <w:pPr>
              <w:jc w:val="right"/>
              <w:spacing w:after="0"/>
              <w:rPr>
                <w:sz w:val="20"/>
                <w:szCs w:val="20"/>
                <w:color w:val="auto"/>
              </w:rPr>
            </w:pPr>
            <w:r>
              <w:rPr>
                <w:rFonts w:ascii="Arial" w:cs="Arial" w:eastAsia="Arial" w:hAnsi="Arial"/>
                <w:sz w:val="14"/>
                <w:szCs w:val="14"/>
                <w:color w:val="auto"/>
              </w:rPr>
              <w:t>(406,496)</w:t>
            </w:r>
          </w:p>
        </w:tc>
        <w:tc>
          <w:tcPr>
            <w:tcW w:w="0" w:type="dxa"/>
            <w:vAlign w:val="bottom"/>
          </w:tcPr>
          <w:p>
            <w:pPr>
              <w:spacing w:after="0"/>
              <w:rPr>
                <w:sz w:val="1"/>
                <w:szCs w:val="1"/>
                <w:color w:val="auto"/>
              </w:rPr>
            </w:pPr>
          </w:p>
        </w:tc>
      </w:tr>
      <w:tr>
        <w:trPr>
          <w:trHeight w:val="189"/>
        </w:trPr>
        <w:tc>
          <w:tcPr>
            <w:tcW w:w="5780" w:type="dxa"/>
            <w:vAlign w:val="bottom"/>
            <w:tcBorders>
              <w:bottom w:val="single" w:sz="8" w:color="DBDBDB"/>
            </w:tcBorders>
          </w:tcPr>
          <w:p>
            <w:pPr>
              <w:ind w:left="20"/>
              <w:spacing w:after="0"/>
              <w:rPr>
                <w:sz w:val="20"/>
                <w:szCs w:val="20"/>
                <w:color w:val="auto"/>
              </w:rPr>
            </w:pPr>
            <w:r>
              <w:rPr>
                <w:rFonts w:ascii="Arial" w:cs="Arial" w:eastAsia="Arial" w:hAnsi="Arial"/>
                <w:sz w:val="14"/>
                <w:szCs w:val="14"/>
                <w:color w:val="auto"/>
              </w:rPr>
              <w:t>fiscal year end</w:t>
            </w:r>
          </w:p>
        </w:tc>
        <w:tc>
          <w:tcPr>
            <w:tcW w:w="1680" w:type="dxa"/>
            <w:vAlign w:val="bottom"/>
            <w:tcBorders>
              <w:bottom w:val="single" w:sz="8" w:color="DBDBDB"/>
            </w:tcBorders>
            <w:vMerge w:val="continue"/>
          </w:tcPr>
          <w:p>
            <w:pPr>
              <w:spacing w:after="0"/>
              <w:rPr>
                <w:sz w:val="16"/>
                <w:szCs w:val="16"/>
                <w:color w:val="auto"/>
              </w:rPr>
            </w:pPr>
          </w:p>
        </w:tc>
        <w:tc>
          <w:tcPr>
            <w:tcW w:w="1340" w:type="dxa"/>
            <w:vAlign w:val="bottom"/>
            <w:tcBorders>
              <w:bottom w:val="single" w:sz="8" w:color="DBDBDB"/>
            </w:tcBorders>
            <w:vMerge w:val="continue"/>
          </w:tcPr>
          <w:p>
            <w:pPr>
              <w:spacing w:after="0"/>
              <w:rPr>
                <w:sz w:val="16"/>
                <w:szCs w:val="16"/>
                <w:color w:val="auto"/>
              </w:rPr>
            </w:pPr>
          </w:p>
        </w:tc>
        <w:tc>
          <w:tcPr>
            <w:tcW w:w="1380" w:type="dxa"/>
            <w:vAlign w:val="bottom"/>
            <w:tcBorders>
              <w:bottom w:val="single" w:sz="8" w:color="DBDBDB"/>
            </w:tcBorders>
            <w:vMerge w:val="continue"/>
          </w:tcPr>
          <w:p>
            <w:pPr>
              <w:spacing w:after="0"/>
              <w:rPr>
                <w:sz w:val="16"/>
                <w:szCs w:val="16"/>
                <w:color w:val="auto"/>
              </w:rPr>
            </w:pPr>
          </w:p>
        </w:tc>
        <w:tc>
          <w:tcPr>
            <w:tcW w:w="1060" w:type="dxa"/>
            <w:vAlign w:val="bottom"/>
            <w:tcBorders>
              <w:bottom w:val="single" w:sz="8" w:color="DBDBDB"/>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6"/>
        </w:trPr>
        <w:tc>
          <w:tcPr>
            <w:tcW w:w="5780" w:type="dxa"/>
            <w:vAlign w:val="bottom"/>
            <w:shd w:val="clear" w:color="auto" w:fill="E7ECF0"/>
          </w:tcPr>
          <w:p>
            <w:pPr>
              <w:ind w:left="20"/>
              <w:spacing w:after="0" w:line="147" w:lineRule="exact"/>
              <w:rPr>
                <w:sz w:val="20"/>
                <w:szCs w:val="20"/>
                <w:color w:val="auto"/>
              </w:rPr>
            </w:pPr>
            <w:r>
              <w:rPr>
                <w:rFonts w:ascii="Arial" w:cs="Arial" w:eastAsia="Arial" w:hAnsi="Arial"/>
                <w:sz w:val="14"/>
                <w:szCs w:val="14"/>
                <w:color w:val="auto"/>
              </w:rPr>
              <w:t>Add (Deduct): Average change as of the vesting date (from the end of the prior fiscal year)</w:t>
            </w:r>
          </w:p>
        </w:tc>
        <w:tc>
          <w:tcPr>
            <w:tcW w:w="1680" w:type="dxa"/>
            <w:vAlign w:val="bottom"/>
            <w:shd w:val="clear" w:color="auto" w:fill="E7ECF0"/>
          </w:tcPr>
          <w:p>
            <w:pPr>
              <w:spacing w:after="0"/>
              <w:rPr>
                <w:sz w:val="12"/>
                <w:szCs w:val="12"/>
                <w:color w:val="auto"/>
              </w:rPr>
            </w:pPr>
          </w:p>
        </w:tc>
        <w:tc>
          <w:tcPr>
            <w:tcW w:w="1340" w:type="dxa"/>
            <w:vAlign w:val="bottom"/>
            <w:shd w:val="clear" w:color="auto" w:fill="E7ECF0"/>
          </w:tcPr>
          <w:p>
            <w:pPr>
              <w:spacing w:after="0"/>
              <w:rPr>
                <w:sz w:val="12"/>
                <w:szCs w:val="12"/>
                <w:color w:val="auto"/>
              </w:rPr>
            </w:pPr>
          </w:p>
        </w:tc>
        <w:tc>
          <w:tcPr>
            <w:tcW w:w="1380" w:type="dxa"/>
            <w:vAlign w:val="bottom"/>
            <w:shd w:val="clear" w:color="auto" w:fill="E7ECF0"/>
          </w:tcPr>
          <w:p>
            <w:pPr>
              <w:spacing w:after="0"/>
              <w:rPr>
                <w:sz w:val="12"/>
                <w:szCs w:val="12"/>
                <w:color w:val="auto"/>
              </w:rPr>
            </w:pPr>
          </w:p>
        </w:tc>
        <w:tc>
          <w:tcPr>
            <w:tcW w:w="1060" w:type="dxa"/>
            <w:vAlign w:val="bottom"/>
            <w:shd w:val="clear" w:color="auto" w:fill="E7ECF0"/>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5780" w:type="dxa"/>
            <w:vAlign w:val="bottom"/>
            <w:shd w:val="clear" w:color="auto" w:fill="E7ECF0"/>
          </w:tcPr>
          <w:p>
            <w:pPr>
              <w:ind w:left="20"/>
              <w:spacing w:after="0" w:line="145" w:lineRule="exact"/>
              <w:rPr>
                <w:sz w:val="20"/>
                <w:szCs w:val="20"/>
                <w:color w:val="auto"/>
              </w:rPr>
            </w:pPr>
            <w:r>
              <w:rPr>
                <w:rFonts w:ascii="Arial" w:cs="Arial" w:eastAsia="Arial" w:hAnsi="Arial"/>
                <w:sz w:val="14"/>
                <w:szCs w:val="14"/>
                <w:color w:val="auto"/>
              </w:rPr>
              <w:t>in fair value of awards granted in any prior fiscal year for which vesting conditions were</w:t>
            </w:r>
          </w:p>
        </w:tc>
        <w:tc>
          <w:tcPr>
            <w:tcW w:w="1680" w:type="dxa"/>
            <w:vAlign w:val="bottom"/>
            <w:vMerge w:val="restart"/>
            <w:shd w:val="clear" w:color="auto" w:fill="E7ECF0"/>
          </w:tcPr>
          <w:p>
            <w:pPr>
              <w:jc w:val="right"/>
              <w:ind w:right="248"/>
              <w:spacing w:after="0"/>
              <w:rPr>
                <w:sz w:val="20"/>
                <w:szCs w:val="20"/>
                <w:color w:val="auto"/>
              </w:rPr>
            </w:pPr>
            <w:r>
              <w:rPr>
                <w:rFonts w:ascii="Arial" w:cs="Arial" w:eastAsia="Arial" w:hAnsi="Arial"/>
                <w:sz w:val="14"/>
                <w:szCs w:val="14"/>
                <w:color w:val="auto"/>
              </w:rPr>
              <w:t>(66,713)</w:t>
            </w:r>
          </w:p>
        </w:tc>
        <w:tc>
          <w:tcPr>
            <w:tcW w:w="1340" w:type="dxa"/>
            <w:vAlign w:val="bottom"/>
            <w:vMerge w:val="restart"/>
            <w:shd w:val="clear" w:color="auto" w:fill="E7ECF0"/>
          </w:tcPr>
          <w:p>
            <w:pPr>
              <w:jc w:val="right"/>
              <w:ind w:right="228"/>
              <w:spacing w:after="0"/>
              <w:rPr>
                <w:sz w:val="20"/>
                <w:szCs w:val="20"/>
                <w:color w:val="auto"/>
              </w:rPr>
            </w:pPr>
            <w:r>
              <w:rPr>
                <w:rFonts w:ascii="Arial" w:cs="Arial" w:eastAsia="Arial" w:hAnsi="Arial"/>
                <w:sz w:val="14"/>
                <w:szCs w:val="14"/>
                <w:color w:val="auto"/>
              </w:rPr>
              <w:t>(208,992)</w:t>
            </w:r>
          </w:p>
        </w:tc>
        <w:tc>
          <w:tcPr>
            <w:tcW w:w="1380" w:type="dxa"/>
            <w:vAlign w:val="bottom"/>
            <w:vMerge w:val="restart"/>
            <w:shd w:val="clear" w:color="auto" w:fill="E7ECF0"/>
          </w:tcPr>
          <w:p>
            <w:pPr>
              <w:jc w:val="right"/>
              <w:ind w:right="248"/>
              <w:spacing w:after="0"/>
              <w:rPr>
                <w:sz w:val="20"/>
                <w:szCs w:val="20"/>
                <w:color w:val="auto"/>
              </w:rPr>
            </w:pPr>
            <w:r>
              <w:rPr>
                <w:rFonts w:ascii="Arial" w:cs="Arial" w:eastAsia="Arial" w:hAnsi="Arial"/>
                <w:sz w:val="14"/>
                <w:szCs w:val="14"/>
                <w:color w:val="auto"/>
              </w:rPr>
              <w:t>281,790</w:t>
            </w:r>
          </w:p>
        </w:tc>
        <w:tc>
          <w:tcPr>
            <w:tcW w:w="1060" w:type="dxa"/>
            <w:vAlign w:val="bottom"/>
            <w:vMerge w:val="restart"/>
            <w:shd w:val="clear" w:color="auto" w:fill="E7ECF0"/>
          </w:tcPr>
          <w:p>
            <w:pPr>
              <w:jc w:val="right"/>
              <w:spacing w:after="0"/>
              <w:rPr>
                <w:sz w:val="20"/>
                <w:szCs w:val="20"/>
                <w:color w:val="auto"/>
              </w:rPr>
            </w:pPr>
            <w:r>
              <w:rPr>
                <w:rFonts w:ascii="Arial" w:cs="Arial" w:eastAsia="Arial" w:hAnsi="Arial"/>
                <w:sz w:val="14"/>
                <w:szCs w:val="14"/>
                <w:color w:val="auto"/>
              </w:rPr>
              <w:t>(608,813)</w:t>
            </w:r>
          </w:p>
        </w:tc>
        <w:tc>
          <w:tcPr>
            <w:tcW w:w="0" w:type="dxa"/>
            <w:vAlign w:val="bottom"/>
          </w:tcPr>
          <w:p>
            <w:pPr>
              <w:spacing w:after="0"/>
              <w:rPr>
                <w:sz w:val="1"/>
                <w:szCs w:val="1"/>
                <w:color w:val="auto"/>
              </w:rPr>
            </w:pPr>
          </w:p>
        </w:tc>
      </w:tr>
      <w:tr>
        <w:trPr>
          <w:trHeight w:val="189"/>
        </w:trPr>
        <w:tc>
          <w:tcPr>
            <w:tcW w:w="5780" w:type="dxa"/>
            <w:vAlign w:val="bottom"/>
            <w:tcBorders>
              <w:bottom w:val="single" w:sz="8" w:color="DBDBDB"/>
            </w:tcBorders>
            <w:shd w:val="clear" w:color="auto" w:fill="E7ECF0"/>
          </w:tcPr>
          <w:p>
            <w:pPr>
              <w:ind w:left="20"/>
              <w:spacing w:after="0"/>
              <w:rPr>
                <w:sz w:val="20"/>
                <w:szCs w:val="20"/>
                <w:color w:val="auto"/>
              </w:rPr>
            </w:pPr>
            <w:r>
              <w:rPr>
                <w:rFonts w:ascii="Arial" w:cs="Arial" w:eastAsia="Arial" w:hAnsi="Arial"/>
                <w:sz w:val="14"/>
                <w:szCs w:val="14"/>
                <w:color w:val="auto"/>
              </w:rPr>
              <w:t>satisfied during the covered fiscal year</w:t>
            </w:r>
          </w:p>
        </w:tc>
        <w:tc>
          <w:tcPr>
            <w:tcW w:w="1680" w:type="dxa"/>
            <w:vAlign w:val="bottom"/>
            <w:tcBorders>
              <w:bottom w:val="single" w:sz="8" w:color="DBDBDB"/>
            </w:tcBorders>
            <w:vMerge w:val="continue"/>
            <w:shd w:val="clear" w:color="auto" w:fill="E7ECF0"/>
          </w:tcPr>
          <w:p>
            <w:pPr>
              <w:spacing w:after="0"/>
              <w:rPr>
                <w:sz w:val="16"/>
                <w:szCs w:val="16"/>
                <w:color w:val="auto"/>
              </w:rPr>
            </w:pPr>
          </w:p>
        </w:tc>
        <w:tc>
          <w:tcPr>
            <w:tcW w:w="1340" w:type="dxa"/>
            <w:vAlign w:val="bottom"/>
            <w:tcBorders>
              <w:bottom w:val="single" w:sz="8" w:color="DBDBDB"/>
            </w:tcBorders>
            <w:vMerge w:val="continue"/>
            <w:shd w:val="clear" w:color="auto" w:fill="E7ECF0"/>
          </w:tcPr>
          <w:p>
            <w:pPr>
              <w:spacing w:after="0"/>
              <w:rPr>
                <w:sz w:val="16"/>
                <w:szCs w:val="16"/>
                <w:color w:val="auto"/>
              </w:rPr>
            </w:pPr>
          </w:p>
        </w:tc>
        <w:tc>
          <w:tcPr>
            <w:tcW w:w="1380" w:type="dxa"/>
            <w:vAlign w:val="bottom"/>
            <w:tcBorders>
              <w:bottom w:val="single" w:sz="8" w:color="DBDBDB"/>
            </w:tcBorders>
            <w:vMerge w:val="continue"/>
            <w:shd w:val="clear" w:color="auto" w:fill="E7ECF0"/>
          </w:tcPr>
          <w:p>
            <w:pPr>
              <w:spacing w:after="0"/>
              <w:rPr>
                <w:sz w:val="16"/>
                <w:szCs w:val="16"/>
                <w:color w:val="auto"/>
              </w:rPr>
            </w:pPr>
          </w:p>
        </w:tc>
        <w:tc>
          <w:tcPr>
            <w:tcW w:w="1060" w:type="dxa"/>
            <w:vAlign w:val="bottom"/>
            <w:tcBorders>
              <w:bottom w:val="single" w:sz="8" w:color="DBDBDB"/>
            </w:tcBorders>
            <w:vMerge w:val="continue"/>
            <w:shd w:val="clear" w:color="auto" w:fill="E7ECF0"/>
          </w:tcPr>
          <w:p>
            <w:pPr>
              <w:spacing w:after="0"/>
              <w:rPr>
                <w:sz w:val="16"/>
                <w:szCs w:val="16"/>
                <w:color w:val="auto"/>
              </w:rPr>
            </w:pPr>
          </w:p>
        </w:tc>
        <w:tc>
          <w:tcPr>
            <w:tcW w:w="0" w:type="dxa"/>
            <w:vAlign w:val="bottom"/>
          </w:tcPr>
          <w:p>
            <w:pPr>
              <w:spacing w:after="0"/>
              <w:rPr>
                <w:sz w:val="1"/>
                <w:szCs w:val="1"/>
                <w:color w:val="auto"/>
              </w:rPr>
            </w:pPr>
          </w:p>
        </w:tc>
      </w:tr>
      <w:tr>
        <w:trPr>
          <w:trHeight w:val="146"/>
        </w:trPr>
        <w:tc>
          <w:tcPr>
            <w:tcW w:w="5780" w:type="dxa"/>
            <w:vAlign w:val="bottom"/>
          </w:tcPr>
          <w:p>
            <w:pPr>
              <w:ind w:left="20"/>
              <w:spacing w:after="0" w:line="147" w:lineRule="exact"/>
              <w:rPr>
                <w:sz w:val="20"/>
                <w:szCs w:val="20"/>
                <w:color w:val="auto"/>
              </w:rPr>
            </w:pPr>
            <w:r>
              <w:rPr>
                <w:rFonts w:ascii="Arial" w:cs="Arial" w:eastAsia="Arial" w:hAnsi="Arial"/>
                <w:sz w:val="14"/>
                <w:szCs w:val="14"/>
                <w:color w:val="auto"/>
              </w:rPr>
              <w:t>(Deduct): Average fair value at end of prior fiscal year of awards granted in any prior fiscal</w:t>
            </w:r>
          </w:p>
        </w:tc>
        <w:tc>
          <w:tcPr>
            <w:tcW w:w="1680" w:type="dxa"/>
            <w:vAlign w:val="bottom"/>
            <w:vMerge w:val="restart"/>
          </w:tcPr>
          <w:p>
            <w:pPr>
              <w:jc w:val="right"/>
              <w:ind w:right="848"/>
              <w:spacing w:after="0"/>
              <w:rPr>
                <w:sz w:val="20"/>
                <w:szCs w:val="20"/>
                <w:color w:val="auto"/>
              </w:rPr>
            </w:pPr>
            <w:r>
              <w:rPr>
                <w:rFonts w:ascii="Arial" w:cs="Arial" w:eastAsia="Arial" w:hAnsi="Arial"/>
                <w:sz w:val="14"/>
                <w:szCs w:val="14"/>
                <w:color w:val="auto"/>
              </w:rPr>
              <w:t>—</w:t>
            </w:r>
          </w:p>
        </w:tc>
        <w:tc>
          <w:tcPr>
            <w:tcW w:w="1340" w:type="dxa"/>
            <w:vAlign w:val="bottom"/>
            <w:vMerge w:val="restart"/>
          </w:tcPr>
          <w:p>
            <w:pPr>
              <w:jc w:val="right"/>
              <w:ind w:right="228"/>
              <w:spacing w:after="0"/>
              <w:rPr>
                <w:sz w:val="20"/>
                <w:szCs w:val="20"/>
                <w:color w:val="auto"/>
              </w:rPr>
            </w:pPr>
            <w:r>
              <w:rPr>
                <w:rFonts w:ascii="Arial" w:cs="Arial" w:eastAsia="Arial" w:hAnsi="Arial"/>
                <w:sz w:val="14"/>
                <w:szCs w:val="14"/>
                <w:color w:val="auto"/>
              </w:rPr>
              <w:t>(232,852)</w:t>
            </w:r>
          </w:p>
        </w:tc>
        <w:tc>
          <w:tcPr>
            <w:tcW w:w="1380" w:type="dxa"/>
            <w:vAlign w:val="bottom"/>
            <w:vMerge w:val="restart"/>
          </w:tcPr>
          <w:p>
            <w:pPr>
              <w:jc w:val="right"/>
              <w:ind w:right="848"/>
              <w:spacing w:after="0"/>
              <w:rPr>
                <w:sz w:val="20"/>
                <w:szCs w:val="20"/>
                <w:color w:val="auto"/>
              </w:rPr>
            </w:pPr>
            <w:r>
              <w:rPr>
                <w:rFonts w:ascii="Arial" w:cs="Arial" w:eastAsia="Arial" w:hAnsi="Arial"/>
                <w:sz w:val="14"/>
                <w:szCs w:val="14"/>
                <w:color w:val="auto"/>
              </w:rPr>
              <w:t>—</w:t>
            </w:r>
          </w:p>
        </w:tc>
        <w:tc>
          <w:tcPr>
            <w:tcW w:w="1060" w:type="dxa"/>
            <w:vAlign w:val="bottom"/>
            <w:vMerge w:val="restart"/>
          </w:tcPr>
          <w:p>
            <w:pPr>
              <w:jc w:val="right"/>
              <w:ind w:right="5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5"/>
        </w:trPr>
        <w:tc>
          <w:tcPr>
            <w:tcW w:w="5780" w:type="dxa"/>
            <w:vAlign w:val="bottom"/>
            <w:tcBorders>
              <w:bottom w:val="single" w:sz="8" w:color="DBDBDB"/>
            </w:tcBorders>
          </w:tcPr>
          <w:p>
            <w:pPr>
              <w:ind w:left="20"/>
              <w:spacing w:after="0"/>
              <w:rPr>
                <w:sz w:val="20"/>
                <w:szCs w:val="20"/>
                <w:color w:val="auto"/>
              </w:rPr>
            </w:pPr>
            <w:r>
              <w:rPr>
                <w:rFonts w:ascii="Arial" w:cs="Arial" w:eastAsia="Arial" w:hAnsi="Arial"/>
                <w:sz w:val="14"/>
                <w:szCs w:val="14"/>
                <w:color w:val="auto"/>
              </w:rPr>
              <w:t>year that failed to meet the applicable vesting conditions during the covered fiscal year</w:t>
            </w:r>
          </w:p>
        </w:tc>
        <w:tc>
          <w:tcPr>
            <w:tcW w:w="1680" w:type="dxa"/>
            <w:vAlign w:val="bottom"/>
            <w:tcBorders>
              <w:bottom w:val="single" w:sz="8" w:color="DBDBDB"/>
            </w:tcBorders>
            <w:vMerge w:val="continue"/>
          </w:tcPr>
          <w:p>
            <w:pPr>
              <w:spacing w:after="0"/>
              <w:rPr>
                <w:sz w:val="16"/>
                <w:szCs w:val="16"/>
                <w:color w:val="auto"/>
              </w:rPr>
            </w:pPr>
          </w:p>
        </w:tc>
        <w:tc>
          <w:tcPr>
            <w:tcW w:w="1340" w:type="dxa"/>
            <w:vAlign w:val="bottom"/>
            <w:tcBorders>
              <w:bottom w:val="single" w:sz="8" w:color="DBDBDB"/>
            </w:tcBorders>
            <w:vMerge w:val="continue"/>
          </w:tcPr>
          <w:p>
            <w:pPr>
              <w:spacing w:after="0"/>
              <w:rPr>
                <w:sz w:val="16"/>
                <w:szCs w:val="16"/>
                <w:color w:val="auto"/>
              </w:rPr>
            </w:pPr>
          </w:p>
        </w:tc>
        <w:tc>
          <w:tcPr>
            <w:tcW w:w="1380" w:type="dxa"/>
            <w:vAlign w:val="bottom"/>
            <w:tcBorders>
              <w:bottom w:val="single" w:sz="8" w:color="DBDBDB"/>
            </w:tcBorders>
            <w:vMerge w:val="continue"/>
          </w:tcPr>
          <w:p>
            <w:pPr>
              <w:spacing w:after="0"/>
              <w:rPr>
                <w:sz w:val="16"/>
                <w:szCs w:val="16"/>
                <w:color w:val="auto"/>
              </w:rPr>
            </w:pPr>
          </w:p>
        </w:tc>
        <w:tc>
          <w:tcPr>
            <w:tcW w:w="1060" w:type="dxa"/>
            <w:vAlign w:val="bottom"/>
            <w:tcBorders>
              <w:bottom w:val="single" w:sz="8" w:color="DBDBDB"/>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5780" w:type="dxa"/>
            <w:vAlign w:val="bottom"/>
            <w:tcBorders>
              <w:bottom w:val="single" w:sz="8" w:color="DBDBDB"/>
            </w:tcBorders>
            <w:shd w:val="clear" w:color="auto" w:fill="E7ECF0"/>
          </w:tcPr>
          <w:p>
            <w:pPr>
              <w:ind w:left="20"/>
              <w:spacing w:after="0"/>
              <w:rPr>
                <w:sz w:val="20"/>
                <w:szCs w:val="20"/>
                <w:color w:val="auto"/>
              </w:rPr>
            </w:pPr>
            <w:r>
              <w:rPr>
                <w:rFonts w:ascii="Arial" w:cs="Arial" w:eastAsia="Arial" w:hAnsi="Arial"/>
                <w:sz w:val="14"/>
                <w:szCs w:val="14"/>
                <w:b w:val="1"/>
                <w:bCs w:val="1"/>
                <w:color w:val="auto"/>
              </w:rPr>
              <w:t>Average CAP Amounts (as calculated)</w:t>
            </w:r>
          </w:p>
        </w:tc>
        <w:tc>
          <w:tcPr>
            <w:tcW w:w="1680" w:type="dxa"/>
            <w:vAlign w:val="bottom"/>
            <w:tcBorders>
              <w:bottom w:val="single" w:sz="8" w:color="DBDBDB"/>
            </w:tcBorders>
            <w:shd w:val="clear" w:color="auto" w:fill="E7ECF0"/>
          </w:tcPr>
          <w:p>
            <w:pPr>
              <w:jc w:val="right"/>
              <w:ind w:right="248"/>
              <w:spacing w:after="0"/>
              <w:rPr>
                <w:sz w:val="20"/>
                <w:szCs w:val="20"/>
                <w:color w:val="auto"/>
              </w:rPr>
            </w:pPr>
            <w:r>
              <w:rPr>
                <w:rFonts w:ascii="Arial" w:cs="Arial" w:eastAsia="Arial" w:hAnsi="Arial"/>
                <w:sz w:val="14"/>
                <w:szCs w:val="14"/>
                <w:color w:val="auto"/>
              </w:rPr>
              <w:t>$1,835,286</w:t>
            </w:r>
          </w:p>
        </w:tc>
        <w:tc>
          <w:tcPr>
            <w:tcW w:w="1340" w:type="dxa"/>
            <w:vAlign w:val="bottom"/>
            <w:tcBorders>
              <w:bottom w:val="single" w:sz="8" w:color="DBDBDB"/>
            </w:tcBorders>
            <w:shd w:val="clear" w:color="auto" w:fill="E7ECF0"/>
          </w:tcPr>
          <w:p>
            <w:pPr>
              <w:jc w:val="right"/>
              <w:ind w:right="228"/>
              <w:spacing w:after="0"/>
              <w:rPr>
                <w:sz w:val="20"/>
                <w:szCs w:val="20"/>
                <w:color w:val="auto"/>
              </w:rPr>
            </w:pPr>
            <w:r>
              <w:rPr>
                <w:rFonts w:ascii="Arial" w:cs="Arial" w:eastAsia="Arial" w:hAnsi="Arial"/>
                <w:sz w:val="14"/>
                <w:szCs w:val="14"/>
                <w:color w:val="auto"/>
              </w:rPr>
              <w:t>$553,341</w:t>
            </w:r>
          </w:p>
        </w:tc>
        <w:tc>
          <w:tcPr>
            <w:tcW w:w="1380" w:type="dxa"/>
            <w:vAlign w:val="bottom"/>
            <w:tcBorders>
              <w:bottom w:val="single" w:sz="8" w:color="DBDBDB"/>
            </w:tcBorders>
            <w:shd w:val="clear" w:color="auto" w:fill="E7ECF0"/>
          </w:tcPr>
          <w:p>
            <w:pPr>
              <w:jc w:val="right"/>
              <w:ind w:right="248"/>
              <w:spacing w:after="0"/>
              <w:rPr>
                <w:sz w:val="20"/>
                <w:szCs w:val="20"/>
                <w:color w:val="auto"/>
              </w:rPr>
            </w:pPr>
            <w:r>
              <w:rPr>
                <w:rFonts w:ascii="Arial" w:cs="Arial" w:eastAsia="Arial" w:hAnsi="Arial"/>
                <w:sz w:val="14"/>
                <w:szCs w:val="14"/>
                <w:color w:val="auto"/>
              </w:rPr>
              <w:t>$2,269,083</w:t>
            </w:r>
          </w:p>
        </w:tc>
        <w:tc>
          <w:tcPr>
            <w:tcW w:w="1060" w:type="dxa"/>
            <w:vAlign w:val="bottom"/>
            <w:tcBorders>
              <w:bottom w:val="single" w:sz="8" w:color="DBDBDB"/>
            </w:tcBorders>
            <w:shd w:val="clear" w:color="auto" w:fill="E7ECF0"/>
          </w:tcPr>
          <w:p>
            <w:pPr>
              <w:jc w:val="right"/>
              <w:spacing w:after="0"/>
              <w:rPr>
                <w:sz w:val="20"/>
                <w:szCs w:val="20"/>
                <w:color w:val="auto"/>
              </w:rPr>
            </w:pPr>
            <w:r>
              <w:rPr>
                <w:rFonts w:ascii="Arial" w:cs="Arial" w:eastAsia="Arial" w:hAnsi="Arial"/>
                <w:sz w:val="14"/>
                <w:szCs w:val="14"/>
                <w:color w:val="auto"/>
              </w:rPr>
              <w:t>$342,431</w:t>
            </w:r>
          </w:p>
        </w:tc>
        <w:tc>
          <w:tcPr>
            <w:tcW w:w="0" w:type="dxa"/>
            <w:vAlign w:val="bottom"/>
          </w:tcPr>
          <w:p>
            <w:pPr>
              <w:spacing w:after="0"/>
              <w:rPr>
                <w:sz w:val="1"/>
                <w:szCs w:val="1"/>
                <w:color w:val="auto"/>
              </w:rPr>
            </w:pPr>
          </w:p>
        </w:tc>
      </w:tr>
    </w:tbl>
    <w:p>
      <w:pPr>
        <w:spacing w:after="0" w:line="76" w:lineRule="exact"/>
        <w:rPr>
          <w:sz w:val="20"/>
          <w:szCs w:val="20"/>
          <w:color w:val="auto"/>
        </w:rPr>
      </w:pPr>
    </w:p>
    <w:p>
      <w:pPr>
        <w:jc w:val="both"/>
        <w:ind w:left="980"/>
        <w:spacing w:after="0" w:line="273" w:lineRule="auto"/>
        <w:rPr>
          <w:sz w:val="20"/>
          <w:szCs w:val="20"/>
          <w:color w:val="auto"/>
        </w:rPr>
      </w:pPr>
      <w:r>
        <w:rPr>
          <w:rFonts w:ascii="Arial" w:cs="Arial" w:eastAsia="Arial" w:hAnsi="Arial"/>
          <w:sz w:val="18"/>
          <w:szCs w:val="18"/>
          <w:color w:val="auto"/>
        </w:rPr>
        <w:t>The fair value of the equity awards was calculated in the same manner as the Company uses to calculate the grant date fair value of the awards, but with updated assumption values as of the measurement date. Information about the assumptions used to determine the grant date fair value of the equity awards is set forth in our Annual Report on Form 10-K in Note 10 to our consolidated financial statements for the year ended June 30, 2024.</w:t>
      </w:r>
    </w:p>
    <w:p>
      <w:pPr>
        <w:spacing w:after="0" w:line="57" w:lineRule="exact"/>
        <w:rPr>
          <w:sz w:val="20"/>
          <w:szCs w:val="20"/>
          <w:color w:val="auto"/>
        </w:rPr>
      </w:pPr>
    </w:p>
    <w:p>
      <w:pPr>
        <w:jc w:val="both"/>
        <w:ind w:left="980" w:hanging="324"/>
        <w:spacing w:after="0" w:line="273" w:lineRule="auto"/>
        <w:tabs>
          <w:tab w:leader="none" w:pos="943" w:val="left"/>
        </w:tabs>
        <w:numPr>
          <w:ilvl w:val="0"/>
          <w:numId w:val="29"/>
        </w:numPr>
        <w:rPr>
          <w:rFonts w:ascii="Arial" w:cs="Arial" w:eastAsia="Arial" w:hAnsi="Arial"/>
          <w:sz w:val="18"/>
          <w:szCs w:val="18"/>
          <w:color w:val="auto"/>
        </w:rPr>
      </w:pPr>
      <w:r>
        <w:rPr>
          <w:rFonts w:ascii="Arial" w:cs="Arial" w:eastAsia="Arial" w:hAnsi="Arial"/>
          <w:sz w:val="18"/>
          <w:szCs w:val="18"/>
          <w:color w:val="auto"/>
        </w:rPr>
        <w:t>Total Shareholder Return (“TSR”) represents the cumulative TSR for the measurement period beginning on June 30, 2020 of each fiscal year 2021, 2022, 2023, and 2024, respectively, assuming the value of the investment including reinvestment of dividends was $100. The TSR Peer Group consists of the S&amp;P 1500 Software and Services Index, which is used for our Stock Performance presentation set forth in our Annual Report on Form 10-K for the year ended June 30, 2024.</w:t>
      </w:r>
    </w:p>
    <w:p>
      <w:pPr>
        <w:spacing w:after="0" w:line="70" w:lineRule="exact"/>
        <w:rPr>
          <w:rFonts w:ascii="Arial" w:cs="Arial" w:eastAsia="Arial" w:hAnsi="Arial"/>
          <w:sz w:val="18"/>
          <w:szCs w:val="18"/>
          <w:color w:val="auto"/>
        </w:rPr>
      </w:pPr>
    </w:p>
    <w:p>
      <w:pPr>
        <w:jc w:val="both"/>
        <w:ind w:left="980" w:hanging="324"/>
        <w:spacing w:after="0" w:line="267" w:lineRule="auto"/>
        <w:tabs>
          <w:tab w:leader="none" w:pos="943" w:val="left"/>
        </w:tabs>
        <w:numPr>
          <w:ilvl w:val="0"/>
          <w:numId w:val="29"/>
        </w:numPr>
        <w:rPr>
          <w:rFonts w:ascii="Arial" w:cs="Arial" w:eastAsia="Arial" w:hAnsi="Arial"/>
          <w:sz w:val="18"/>
          <w:szCs w:val="18"/>
          <w:color w:val="auto"/>
        </w:rPr>
      </w:pPr>
      <w:r>
        <w:rPr>
          <w:rFonts w:ascii="Arial" w:cs="Arial" w:eastAsia="Arial" w:hAnsi="Arial"/>
          <w:sz w:val="18"/>
          <w:szCs w:val="18"/>
          <w:color w:val="auto"/>
        </w:rPr>
        <w:t>Our Company-Selected Measure is non-GAAP adjusted operating income (see page 36 in the Compensation Discussion and Analysis for a discussion of this metric in executive compensation design). Non-GAAP adjusted operating income is a non-GAAP financial measure that excludes or has otherwise been adjusted for one-time non-GAAP adjustments made by management in financial earnings releases to remove the impact of deconversion fees, acquisitions and divestitures, gain/loss on sale of assets, and any other one-time non-GAAP adjustments as approved by the HC&amp;C Committee and also adds back corporate bonuses that are dependent on achievement of certain operating income performance levels in the fiscal year.</w:t>
      </w:r>
    </w:p>
    <w:p>
      <w:pPr>
        <w:spacing w:after="0" w:line="22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Financial Performance Measures</w:t>
      </w:r>
    </w:p>
    <w:p>
      <w:pPr>
        <w:spacing w:after="0" w:line="258" w:lineRule="exact"/>
        <w:rPr>
          <w:sz w:val="20"/>
          <w:szCs w:val="20"/>
          <w:color w:val="auto"/>
        </w:rPr>
      </w:pPr>
    </w:p>
    <w:p>
      <w:pPr>
        <w:spacing w:after="0"/>
        <w:rPr>
          <w:sz w:val="20"/>
          <w:szCs w:val="20"/>
          <w:color w:val="auto"/>
        </w:rPr>
      </w:pPr>
      <w:r>
        <w:rPr>
          <w:rFonts w:ascii="Arial" w:cs="Arial" w:eastAsia="Arial" w:hAnsi="Arial"/>
          <w:sz w:val="20"/>
          <w:szCs w:val="20"/>
          <w:color w:val="auto"/>
        </w:rPr>
        <w:t>In the Company’s assessment, the following represent the most important performance measures used to link CAP for our</w:t>
      </w:r>
    </w:p>
    <w:p>
      <w:pPr>
        <w:spacing w:after="0" w:line="31" w:lineRule="exact"/>
        <w:rPr>
          <w:sz w:val="20"/>
          <w:szCs w:val="20"/>
          <w:color w:val="auto"/>
        </w:rPr>
      </w:pPr>
    </w:p>
    <w:p>
      <w:pPr>
        <w:spacing w:after="0"/>
        <w:rPr>
          <w:sz w:val="20"/>
          <w:szCs w:val="20"/>
          <w:color w:val="auto"/>
        </w:rPr>
      </w:pPr>
      <w:r>
        <w:rPr>
          <w:rFonts w:ascii="Arial" w:cs="Arial" w:eastAsia="Arial" w:hAnsi="Arial"/>
          <w:sz w:val="20"/>
          <w:szCs w:val="20"/>
          <w:color w:val="auto"/>
        </w:rPr>
        <w:t>Named Executives to Company performance for fiscal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207645</wp:posOffset>
            </wp:positionV>
            <wp:extent cx="7132320" cy="3511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32320" cy="351155"/>
                    </a:xfrm>
                    <a:prstGeom prst="rect">
                      <a:avLst/>
                    </a:prstGeom>
                    <a:noFill/>
                  </pic:spPr>
                </pic:pic>
              </a:graphicData>
            </a:graphic>
          </wp:anchor>
        </w:drawing>
      </w:r>
    </w:p>
    <w:p>
      <w:pPr>
        <w:spacing w:after="0" w:line="200" w:lineRule="exact"/>
        <w:rPr>
          <w:sz w:val="20"/>
          <w:szCs w:val="20"/>
          <w:color w:val="auto"/>
        </w:rPr>
      </w:pPr>
    </w:p>
    <w:p>
      <w:pPr>
        <w:spacing w:after="0" w:line="318" w:lineRule="exact"/>
        <w:rPr>
          <w:sz w:val="20"/>
          <w:szCs w:val="20"/>
          <w:color w:val="auto"/>
        </w:rPr>
      </w:pPr>
    </w:p>
    <w:p>
      <w:pPr>
        <w:ind w:left="9000"/>
        <w:spacing w:after="0"/>
        <w:tabs>
          <w:tab w:leader="none" w:pos="11000" w:val="left"/>
        </w:tabs>
        <w:rPr>
          <w:sz w:val="20"/>
          <w:szCs w:val="20"/>
          <w:color w:val="auto"/>
        </w:rPr>
      </w:pPr>
      <w:r>
        <w:rPr>
          <w:rFonts w:ascii="Arial" w:cs="Arial" w:eastAsia="Arial" w:hAnsi="Arial"/>
          <w:sz w:val="18"/>
          <w:szCs w:val="18"/>
          <w:color w:val="auto"/>
        </w:rPr>
        <w:t>2024 Proxy Statement</w:t>
      </w:r>
      <w:r>
        <w:rPr>
          <w:sz w:val="20"/>
          <w:szCs w:val="20"/>
          <w:color w:val="auto"/>
        </w:rPr>
        <w:tab/>
      </w:r>
      <w:r>
        <w:rPr>
          <w:rFonts w:ascii="Arial" w:cs="Arial" w:eastAsia="Arial" w:hAnsi="Arial"/>
          <w:sz w:val="17"/>
          <w:szCs w:val="17"/>
          <w:color w:val="1E3767"/>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262255</wp:posOffset>
            </wp:positionV>
            <wp:extent cx="7157720" cy="425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8" w:right="339" w:bottom="1440" w:gutter="0" w:footer="0" w:header="0"/>
        </w:sectPr>
      </w:pPr>
    </w:p>
    <w:bookmarkStart w:id="68" w:name="page69"/>
    <w:bookmarkEnd w:id="68"/>
    <w:p>
      <w:pPr>
        <w:ind w:left="640" w:hanging="308"/>
        <w:spacing w:after="0"/>
        <w:tabs>
          <w:tab w:leader="none" w:pos="640" w:val="left"/>
        </w:tabs>
        <w:numPr>
          <w:ilvl w:val="0"/>
          <w:numId w:val="30"/>
        </w:numPr>
        <w:rPr>
          <w:rFonts w:ascii="Arial" w:cs="Arial" w:eastAsia="Arial" w:hAnsi="Arial"/>
          <w:sz w:val="20"/>
          <w:szCs w:val="20"/>
          <w:color w:val="auto"/>
        </w:rPr>
      </w:pPr>
      <w:r>
        <w:rPr>
          <w:rFonts w:ascii="Arial" w:cs="Arial" w:eastAsia="Arial" w:hAnsi="Arial"/>
          <w:sz w:val="20"/>
          <w:szCs w:val="20"/>
          <w:color w:val="auto"/>
        </w:rPr>
        <w:t>Non-GAAP adjusted operating income</w:t>
      </w:r>
    </w:p>
    <w:p>
      <w:pPr>
        <w:spacing w:after="0" w:line="31" w:lineRule="exact"/>
        <w:rPr>
          <w:rFonts w:ascii="Arial" w:cs="Arial" w:eastAsia="Arial" w:hAnsi="Arial"/>
          <w:sz w:val="20"/>
          <w:szCs w:val="20"/>
          <w:color w:val="auto"/>
        </w:rPr>
      </w:pPr>
    </w:p>
    <w:p>
      <w:pPr>
        <w:ind w:left="640" w:hanging="308"/>
        <w:spacing w:after="0"/>
        <w:tabs>
          <w:tab w:leader="none" w:pos="640" w:val="left"/>
        </w:tabs>
        <w:numPr>
          <w:ilvl w:val="0"/>
          <w:numId w:val="30"/>
        </w:numPr>
        <w:rPr>
          <w:rFonts w:ascii="Arial" w:cs="Arial" w:eastAsia="Arial" w:hAnsi="Arial"/>
          <w:sz w:val="20"/>
          <w:szCs w:val="20"/>
          <w:color w:val="auto"/>
        </w:rPr>
      </w:pPr>
      <w:r>
        <w:rPr>
          <w:rFonts w:ascii="Arial" w:cs="Arial" w:eastAsia="Arial" w:hAnsi="Arial"/>
          <w:sz w:val="20"/>
          <w:szCs w:val="20"/>
          <w:color w:val="auto"/>
        </w:rPr>
        <w:t>Relative total shareholder return</w:t>
      </w:r>
    </w:p>
    <w:p>
      <w:pPr>
        <w:spacing w:after="0" w:line="13" w:lineRule="exact"/>
        <w:rPr>
          <w:rFonts w:ascii="Arial" w:cs="Arial" w:eastAsia="Arial" w:hAnsi="Arial"/>
          <w:sz w:val="20"/>
          <w:szCs w:val="20"/>
          <w:color w:val="auto"/>
        </w:rPr>
      </w:pPr>
    </w:p>
    <w:p>
      <w:pPr>
        <w:ind w:left="640" w:hanging="308"/>
        <w:spacing w:after="0"/>
        <w:tabs>
          <w:tab w:leader="none" w:pos="640" w:val="left"/>
        </w:tabs>
        <w:numPr>
          <w:ilvl w:val="0"/>
          <w:numId w:val="30"/>
        </w:numPr>
        <w:rPr>
          <w:rFonts w:ascii="Arial" w:cs="Arial" w:eastAsia="Arial" w:hAnsi="Arial"/>
          <w:sz w:val="20"/>
          <w:szCs w:val="20"/>
          <w:color w:val="auto"/>
        </w:rPr>
      </w:pPr>
      <w:r>
        <w:rPr>
          <w:rFonts w:ascii="Arial" w:cs="Arial" w:eastAsia="Arial" w:hAnsi="Arial"/>
          <w:sz w:val="20"/>
          <w:szCs w:val="20"/>
          <w:color w:val="auto"/>
        </w:rPr>
        <w:t>Non-GAAP adjusted operating revenue CAGR</w:t>
      </w:r>
    </w:p>
    <w:p>
      <w:pPr>
        <w:spacing w:after="0" w:line="26" w:lineRule="exact"/>
        <w:rPr>
          <w:rFonts w:ascii="Arial" w:cs="Arial" w:eastAsia="Arial" w:hAnsi="Arial"/>
          <w:sz w:val="20"/>
          <w:szCs w:val="20"/>
          <w:color w:val="auto"/>
        </w:rPr>
      </w:pPr>
    </w:p>
    <w:p>
      <w:pPr>
        <w:ind w:left="640" w:hanging="308"/>
        <w:spacing w:after="0"/>
        <w:tabs>
          <w:tab w:leader="none" w:pos="640" w:val="left"/>
        </w:tabs>
        <w:numPr>
          <w:ilvl w:val="0"/>
          <w:numId w:val="30"/>
        </w:numPr>
        <w:rPr>
          <w:rFonts w:ascii="Arial" w:cs="Arial" w:eastAsia="Arial" w:hAnsi="Arial"/>
          <w:sz w:val="20"/>
          <w:szCs w:val="20"/>
          <w:color w:val="auto"/>
        </w:rPr>
      </w:pPr>
      <w:r>
        <w:rPr>
          <w:rFonts w:ascii="Arial" w:cs="Arial" w:eastAsia="Arial" w:hAnsi="Arial"/>
          <w:sz w:val="20"/>
          <w:szCs w:val="20"/>
          <w:color w:val="auto"/>
        </w:rPr>
        <w:t>Non-GAAP adjusted operating margin expansion</w:t>
      </w:r>
    </w:p>
    <w:p>
      <w:pPr>
        <w:spacing w:after="0" w:line="238" w:lineRule="exact"/>
        <w:rPr>
          <w:sz w:val="20"/>
          <w:szCs w:val="20"/>
          <w:color w:val="auto"/>
        </w:rPr>
      </w:pPr>
    </w:p>
    <w:p>
      <w:pPr>
        <w:jc w:val="both"/>
        <w:ind w:right="20"/>
        <w:spacing w:after="0" w:line="300" w:lineRule="auto"/>
        <w:rPr>
          <w:sz w:val="20"/>
          <w:szCs w:val="20"/>
          <w:color w:val="auto"/>
        </w:rPr>
      </w:pPr>
      <w:r>
        <w:rPr>
          <w:rFonts w:ascii="Arial" w:cs="Arial" w:eastAsia="Arial" w:hAnsi="Arial"/>
          <w:sz w:val="20"/>
          <w:szCs w:val="20"/>
          <w:color w:val="auto"/>
        </w:rPr>
        <w:t>See “Compensation Discussion and Analysis” beginning on page 29 for a discussion of how the Company calculates these performance measures.</w:t>
      </w:r>
    </w:p>
    <w:p>
      <w:pPr>
        <w:spacing w:after="0" w:line="16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Relationship Between Compensation Actually Paid and Performance</w:t>
      </w:r>
    </w:p>
    <w:p>
      <w:pPr>
        <w:spacing w:after="0" w:line="258" w:lineRule="exact"/>
        <w:rPr>
          <w:sz w:val="20"/>
          <w:szCs w:val="20"/>
          <w:color w:val="auto"/>
        </w:rPr>
      </w:pPr>
    </w:p>
    <w:p>
      <w:pPr>
        <w:jc w:val="both"/>
        <w:spacing w:after="0" w:line="276" w:lineRule="auto"/>
        <w:rPr>
          <w:sz w:val="20"/>
          <w:szCs w:val="20"/>
          <w:color w:val="auto"/>
        </w:rPr>
      </w:pPr>
      <w:r>
        <w:rPr>
          <w:rFonts w:ascii="Arial" w:cs="Arial" w:eastAsia="Arial" w:hAnsi="Arial"/>
          <w:sz w:val="20"/>
          <w:szCs w:val="20"/>
          <w:color w:val="auto"/>
        </w:rPr>
        <w:t>The below graphs show the relationship of “compensation actually paid” to our PEO and Other NEOs to (a) the TSR of both the Company and the S&amp;P 1500 Software and Services Index, (b) the Company’s net income, and (c) the Company’s Non-GAAP adjusted operating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127000</wp:posOffset>
            </wp:positionV>
            <wp:extent cx="7132320" cy="439737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32320" cy="43973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left="20"/>
        <w:spacing w:after="0"/>
        <w:tabs>
          <w:tab w:leader="none" w:pos="440" w:val="left"/>
        </w:tabs>
        <w:rPr>
          <w:sz w:val="20"/>
          <w:szCs w:val="20"/>
          <w:color w:val="auto"/>
        </w:rPr>
      </w:pPr>
      <w:r>
        <w:rPr>
          <w:rFonts w:ascii="Arial" w:cs="Arial" w:eastAsia="Arial" w:hAnsi="Arial"/>
          <w:sz w:val="18"/>
          <w:szCs w:val="18"/>
          <w:color w:val="auto"/>
        </w:rPr>
        <w:t>66</w:t>
        <w:tab/>
        <w:t>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262255</wp:posOffset>
            </wp:positionV>
            <wp:extent cx="7157720" cy="425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01" w:right="339" w:bottom="1440" w:gutter="0" w:footer="0" w:header="0"/>
        </w:sectPr>
      </w:pPr>
    </w:p>
    <w:bookmarkStart w:id="69" w:name="page70"/>
    <w:bookmarkEnd w:id="6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577850</wp:posOffset>
            </wp:positionV>
            <wp:extent cx="7132320" cy="840105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32320" cy="84010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ind w:left="7880"/>
        <w:spacing w:after="0"/>
        <w:tabs>
          <w:tab w:leader="none" w:pos="9880" w:val="left"/>
        </w:tabs>
        <w:rPr>
          <w:sz w:val="20"/>
          <w:szCs w:val="20"/>
          <w:color w:val="auto"/>
        </w:rPr>
      </w:pPr>
      <w:r>
        <w:rPr>
          <w:rFonts w:ascii="Arial" w:cs="Arial" w:eastAsia="Arial" w:hAnsi="Arial"/>
          <w:sz w:val="18"/>
          <w:szCs w:val="18"/>
          <w:color w:val="auto"/>
        </w:rPr>
        <w:t>2024 Proxy Statement</w:t>
      </w:r>
      <w:r>
        <w:rPr>
          <w:sz w:val="20"/>
          <w:szCs w:val="20"/>
          <w:color w:val="auto"/>
        </w:rPr>
        <w:tab/>
      </w:r>
      <w:r>
        <w:rPr>
          <w:rFonts w:ascii="Arial" w:cs="Arial" w:eastAsia="Arial" w:hAnsi="Arial"/>
          <w:sz w:val="17"/>
          <w:szCs w:val="17"/>
          <w:color w:val="1E3767"/>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253365</wp:posOffset>
            </wp:positionV>
            <wp:extent cx="7157720" cy="425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00"/>
          </w:cols>
          <w:pgMar w:left="1440" w:top="1440" w:right="359" w:bottom="1440" w:gutter="0" w:footer="0" w:header="0"/>
        </w:sectPr>
      </w:pPr>
    </w:p>
    <w:bookmarkStart w:id="70" w:name="page71"/>
    <w:bookmarkEnd w:id="70"/>
    <w:p>
      <w:pPr>
        <w:jc w:val="center"/>
        <w:spacing w:after="0"/>
        <w:rPr>
          <w:sz w:val="20"/>
          <w:szCs w:val="20"/>
          <w:color w:val="auto"/>
        </w:rPr>
      </w:pPr>
      <w:r>
        <w:rPr>
          <w:rFonts w:ascii="Arial" w:cs="Arial" w:eastAsia="Arial" w:hAnsi="Arial"/>
          <w:sz w:val="22"/>
          <w:szCs w:val="22"/>
          <w:b w:val="1"/>
          <w:bCs w:val="1"/>
          <w:color w:val="auto"/>
        </w:rPr>
        <w:t>PROPOSAL 2</w:t>
      </w:r>
    </w:p>
    <w:p>
      <w:pPr>
        <w:spacing w:after="0" w:line="39" w:lineRule="exact"/>
        <w:rPr>
          <w:sz w:val="20"/>
          <w:szCs w:val="20"/>
          <w:color w:val="auto"/>
        </w:rPr>
      </w:pPr>
    </w:p>
    <w:p>
      <w:pPr>
        <w:jc w:val="center"/>
        <w:ind w:right="-139"/>
        <w:spacing w:after="0"/>
        <w:rPr>
          <w:sz w:val="20"/>
          <w:szCs w:val="20"/>
          <w:color w:val="auto"/>
        </w:rPr>
      </w:pPr>
      <w:r>
        <w:rPr>
          <w:rFonts w:ascii="Arial" w:cs="Arial" w:eastAsia="Arial" w:hAnsi="Arial"/>
          <w:sz w:val="22"/>
          <w:szCs w:val="22"/>
          <w:b w:val="1"/>
          <w:bCs w:val="1"/>
          <w:color w:val="auto"/>
        </w:rPr>
        <w:t>ADVISORY VOTE ON 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1530985</wp:posOffset>
            </wp:positionH>
            <wp:positionV relativeFrom="paragraph">
              <wp:posOffset>177800</wp:posOffset>
            </wp:positionV>
            <wp:extent cx="4097655" cy="72898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4097655" cy="728980"/>
                    </a:xfrm>
                    <a:prstGeom prst="rect">
                      <a:avLst/>
                    </a:prstGeom>
                    <a:noFill/>
                  </pic:spPr>
                </pic:pic>
              </a:graphicData>
            </a:graphic>
          </wp:anchor>
        </w:drawing>
      </w:r>
    </w:p>
    <w:p>
      <w:pPr>
        <w:spacing w:after="0" w:line="268" w:lineRule="exact"/>
        <w:rPr>
          <w:sz w:val="20"/>
          <w:szCs w:val="20"/>
          <w:color w:val="auto"/>
        </w:rPr>
      </w:pPr>
    </w:p>
    <w:p>
      <w:pPr>
        <w:jc w:val="center"/>
        <w:ind w:left="1700"/>
        <w:spacing w:after="0"/>
        <w:rPr>
          <w:sz w:val="20"/>
          <w:szCs w:val="20"/>
          <w:color w:val="auto"/>
        </w:rPr>
      </w:pPr>
      <w:r>
        <w:rPr>
          <w:rFonts w:ascii="Arial" w:cs="Arial" w:eastAsia="Arial" w:hAnsi="Arial"/>
          <w:sz w:val="18"/>
          <w:szCs w:val="18"/>
          <w:b w:val="1"/>
          <w:bCs w:val="1"/>
          <w:color w:val="06185F"/>
        </w:rPr>
        <w:t>The Board recommends that you vote</w:t>
      </w:r>
    </w:p>
    <w:p>
      <w:pPr>
        <w:spacing w:after="0" w:line="10" w:lineRule="exact"/>
        <w:rPr>
          <w:sz w:val="20"/>
          <w:szCs w:val="20"/>
          <w:color w:val="auto"/>
        </w:rPr>
      </w:pPr>
    </w:p>
    <w:p>
      <w:pPr>
        <w:jc w:val="center"/>
        <w:ind w:left="1700"/>
        <w:spacing w:after="0"/>
        <w:rPr>
          <w:sz w:val="20"/>
          <w:szCs w:val="20"/>
          <w:color w:val="auto"/>
        </w:rPr>
      </w:pPr>
      <w:r>
        <w:rPr>
          <w:rFonts w:ascii="Arial" w:cs="Arial" w:eastAsia="Arial" w:hAnsi="Arial"/>
          <w:sz w:val="32"/>
          <w:szCs w:val="32"/>
          <w:b w:val="1"/>
          <w:bCs w:val="1"/>
          <w:color w:val="auto"/>
        </w:rPr>
        <w:t>“For”</w:t>
      </w:r>
    </w:p>
    <w:p>
      <w:pPr>
        <w:jc w:val="center"/>
        <w:ind w:left="1700"/>
        <w:spacing w:after="0" w:line="234" w:lineRule="auto"/>
        <w:rPr>
          <w:sz w:val="20"/>
          <w:szCs w:val="20"/>
          <w:color w:val="auto"/>
        </w:rPr>
      </w:pPr>
      <w:r>
        <w:rPr>
          <w:rFonts w:ascii="Arial" w:cs="Arial" w:eastAsia="Arial" w:hAnsi="Arial"/>
          <w:sz w:val="18"/>
          <w:szCs w:val="18"/>
          <w:b w:val="1"/>
          <w:bCs w:val="1"/>
          <w:color w:val="06185F"/>
        </w:rPr>
        <w:t>the approval of the compensation of our Named</w:t>
      </w:r>
    </w:p>
    <w:p>
      <w:pPr>
        <w:spacing w:after="0" w:line="1" w:lineRule="exact"/>
        <w:rPr>
          <w:sz w:val="20"/>
          <w:szCs w:val="20"/>
          <w:color w:val="auto"/>
        </w:rPr>
      </w:pPr>
    </w:p>
    <w:p>
      <w:pPr>
        <w:jc w:val="center"/>
        <w:ind w:left="1700"/>
        <w:spacing w:after="0"/>
        <w:rPr>
          <w:sz w:val="20"/>
          <w:szCs w:val="20"/>
          <w:color w:val="auto"/>
        </w:rPr>
      </w:pPr>
      <w:r>
        <w:rPr>
          <w:rFonts w:ascii="Arial" w:cs="Arial" w:eastAsia="Arial" w:hAnsi="Arial"/>
          <w:sz w:val="18"/>
          <w:szCs w:val="18"/>
          <w:b w:val="1"/>
          <w:bCs w:val="1"/>
          <w:color w:val="06185F"/>
        </w:rPr>
        <w:t>Executives</w:t>
      </w:r>
    </w:p>
    <w:p>
      <w:pPr>
        <w:spacing w:after="0" w:line="200" w:lineRule="exact"/>
        <w:rPr>
          <w:sz w:val="20"/>
          <w:szCs w:val="20"/>
          <w:color w:val="auto"/>
        </w:rPr>
      </w:pPr>
    </w:p>
    <w:p>
      <w:pPr>
        <w:spacing w:after="0" w:line="274" w:lineRule="exact"/>
        <w:rPr>
          <w:sz w:val="20"/>
          <w:szCs w:val="20"/>
          <w:color w:val="auto"/>
        </w:rPr>
      </w:pPr>
    </w:p>
    <w:p>
      <w:pPr>
        <w:jc w:val="both"/>
        <w:spacing w:after="0" w:line="269" w:lineRule="auto"/>
        <w:rPr>
          <w:sz w:val="20"/>
          <w:szCs w:val="20"/>
          <w:color w:val="auto"/>
        </w:rPr>
      </w:pPr>
      <w:r>
        <w:rPr>
          <w:rFonts w:ascii="Arial" w:cs="Arial" w:eastAsia="Arial" w:hAnsi="Arial"/>
          <w:sz w:val="20"/>
          <w:szCs w:val="20"/>
          <w:color w:val="auto"/>
        </w:rPr>
        <w:t>As required by Section 14A of the Securities Exchange Act, we include in this proxy statement this proposal for a non-binding stockholder vote on compensation of our Named Executives. We currently conduct annual advisory votes on executive compensation. With this year’s “say on pay” proposal you can elect to endorse or not endorse our executive compensation programs and policies and the compensation we paid our Named Executives in fiscal 2024.</w:t>
      </w:r>
    </w:p>
    <w:p>
      <w:pPr>
        <w:spacing w:after="0" w:line="197" w:lineRule="exact"/>
        <w:rPr>
          <w:sz w:val="20"/>
          <w:szCs w:val="20"/>
          <w:color w:val="auto"/>
        </w:rPr>
      </w:pPr>
    </w:p>
    <w:p>
      <w:pPr>
        <w:jc w:val="both"/>
        <w:spacing w:after="0" w:line="276" w:lineRule="auto"/>
        <w:rPr>
          <w:sz w:val="20"/>
          <w:szCs w:val="20"/>
          <w:color w:val="auto"/>
        </w:rPr>
      </w:pPr>
      <w:r>
        <w:rPr>
          <w:rFonts w:ascii="Arial" w:cs="Arial" w:eastAsia="Arial" w:hAnsi="Arial"/>
          <w:sz w:val="20"/>
          <w:szCs w:val="20"/>
          <w:color w:val="auto"/>
        </w:rPr>
        <w:t>The say on pay vote is advisory and not binding on the Company, the Human Capital &amp; Compensation Committee, or the Board. However, the Human Capital &amp; Compensation Committee and the Board value the opinions of our stockholders and will consider the outcome of the vote when making future decisions regarding executive compensation.</w:t>
      </w:r>
    </w:p>
    <w:p>
      <w:pPr>
        <w:spacing w:after="0" w:line="192" w:lineRule="exact"/>
        <w:rPr>
          <w:sz w:val="20"/>
          <w:szCs w:val="20"/>
          <w:color w:val="auto"/>
        </w:rPr>
      </w:pPr>
    </w:p>
    <w:p>
      <w:pPr>
        <w:jc w:val="both"/>
        <w:spacing w:after="0" w:line="265" w:lineRule="auto"/>
        <w:rPr>
          <w:sz w:val="20"/>
          <w:szCs w:val="20"/>
          <w:color w:val="auto"/>
        </w:rPr>
      </w:pPr>
      <w:r>
        <w:rPr>
          <w:rFonts w:ascii="Arial" w:cs="Arial" w:eastAsia="Arial" w:hAnsi="Arial"/>
          <w:sz w:val="20"/>
          <w:szCs w:val="20"/>
          <w:color w:val="auto"/>
        </w:rPr>
        <w:t>As described in the Compensation Discussion and Analysis, the Human Capital &amp; Compensation Committee has designed the executive compensation program to focus the executives on achieving consistent earnings growth, encourage continuation of the Company’s entrepreneurial spirit, attract and retain highly qualified and motivated executives, reward the creation of stockholder value, encourage esprit de corps, and reward outstanding performance. In designing the overall executive compensation program, the Company’s Human Capital &amp; Compensation Committee strives for the interests of management and stockholders to be the same—the maximization of stockholder value.</w:t>
      </w:r>
    </w:p>
    <w:p>
      <w:pPr>
        <w:spacing w:after="0" w:line="204" w:lineRule="exact"/>
        <w:rPr>
          <w:sz w:val="20"/>
          <w:szCs w:val="20"/>
          <w:color w:val="auto"/>
        </w:rPr>
      </w:pPr>
    </w:p>
    <w:p>
      <w:pPr>
        <w:jc w:val="both"/>
        <w:spacing w:after="0" w:line="276" w:lineRule="auto"/>
        <w:rPr>
          <w:sz w:val="20"/>
          <w:szCs w:val="20"/>
          <w:color w:val="auto"/>
        </w:rPr>
      </w:pPr>
      <w:r>
        <w:rPr>
          <w:rFonts w:ascii="Arial" w:cs="Arial" w:eastAsia="Arial" w:hAnsi="Arial"/>
          <w:sz w:val="20"/>
          <w:szCs w:val="20"/>
          <w:color w:val="auto"/>
        </w:rPr>
        <w:t>Our executive compensation package for our Named Executives includes both cash and equity-based compensation, with an emphasis on at-risk and performance-based pay. The Human Capital &amp; Compensation Committee each year reviews and updates our executive compensation program to ensure it achieves the desired goals.</w:t>
      </w:r>
    </w:p>
    <w:p>
      <w:pPr>
        <w:spacing w:after="0" w:line="192" w:lineRule="exact"/>
        <w:rPr>
          <w:sz w:val="20"/>
          <w:szCs w:val="20"/>
          <w:color w:val="auto"/>
        </w:rPr>
      </w:pPr>
    </w:p>
    <w:p>
      <w:pPr>
        <w:jc w:val="both"/>
        <w:spacing w:after="0" w:line="286" w:lineRule="auto"/>
        <w:rPr>
          <w:sz w:val="20"/>
          <w:szCs w:val="20"/>
          <w:color w:val="auto"/>
        </w:rPr>
      </w:pPr>
      <w:r>
        <w:rPr>
          <w:rFonts w:ascii="Arial" w:cs="Arial" w:eastAsia="Arial" w:hAnsi="Arial"/>
          <w:sz w:val="20"/>
          <w:szCs w:val="20"/>
          <w:color w:val="auto"/>
        </w:rPr>
        <w:t>The Board believes that the compensation of the Named Executives is appropriate and effective in achieving the Company’s objectives. Accordingly, the Board recommends that you vote to approve, on an advisory basis, the following resolution:</w:t>
      </w:r>
    </w:p>
    <w:p>
      <w:pPr>
        <w:spacing w:after="0" w:line="194" w:lineRule="exact"/>
        <w:rPr>
          <w:sz w:val="20"/>
          <w:szCs w:val="20"/>
          <w:color w:val="auto"/>
        </w:rPr>
      </w:pPr>
    </w:p>
    <w:p>
      <w:pPr>
        <w:jc w:val="both"/>
        <w:ind w:left="660" w:right="640"/>
        <w:spacing w:after="0" w:line="269" w:lineRule="auto"/>
        <w:rPr>
          <w:sz w:val="20"/>
          <w:szCs w:val="20"/>
          <w:color w:val="auto"/>
        </w:rPr>
      </w:pPr>
      <w:r>
        <w:rPr>
          <w:rFonts w:ascii="Arial" w:cs="Arial" w:eastAsia="Arial" w:hAnsi="Arial"/>
          <w:sz w:val="20"/>
          <w:szCs w:val="20"/>
          <w:color w:val="auto"/>
        </w:rPr>
        <w:t>“RESOLVED, that the compensation paid to the Named Executives, as disclosed in the Company’s Proxy Statement for the 2024 Annual Meeting of Stockholders pursuant to the compensation disclosure rules of the Securities and Exchange Commission, including the Compensation Discussion and Analysis, the compensation tables and related narrative disclosure, is hereby approved.”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302260</wp:posOffset>
            </wp:positionV>
            <wp:extent cx="7166610" cy="60833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66610" cy="608330"/>
                    </a:xfrm>
                    <a:prstGeom prst="rect">
                      <a:avLst/>
                    </a:prstGeom>
                    <a:noFill/>
                  </pic:spPr>
                </pic:pic>
              </a:graphicData>
            </a:graphic>
          </wp:anchor>
        </w:drawing>
      </w:r>
    </w:p>
    <w:p>
      <w:pPr>
        <w:spacing w:after="0" w:line="200" w:lineRule="exact"/>
        <w:rPr>
          <w:sz w:val="20"/>
          <w:szCs w:val="20"/>
          <w:color w:val="auto"/>
        </w:rPr>
      </w:pPr>
    </w:p>
    <w:p>
      <w:pPr>
        <w:spacing w:after="0" w:line="292" w:lineRule="exact"/>
        <w:rPr>
          <w:sz w:val="20"/>
          <w:szCs w:val="20"/>
          <w:color w:val="auto"/>
        </w:rPr>
      </w:pPr>
    </w:p>
    <w:p>
      <w:pPr>
        <w:ind w:left="60"/>
        <w:spacing w:after="0"/>
        <w:rPr>
          <w:sz w:val="20"/>
          <w:szCs w:val="20"/>
          <w:color w:val="auto"/>
        </w:rPr>
      </w:pPr>
      <w:r>
        <w:rPr>
          <w:rFonts w:ascii="Arial" w:cs="Arial" w:eastAsia="Arial" w:hAnsi="Arial"/>
          <w:sz w:val="20"/>
          <w:szCs w:val="20"/>
          <w:b w:val="1"/>
          <w:bCs w:val="1"/>
          <w:color w:val="auto"/>
        </w:rPr>
        <w:t>THE BOARD RECOMMENDS THAT YOU VOTE “FOR” THE APPROVAL OF THE COMPENSATION OF OUR NAMED</w:t>
      </w:r>
    </w:p>
    <w:p>
      <w:pPr>
        <w:ind w:left="60" w:right="60"/>
        <w:spacing w:after="0" w:line="215" w:lineRule="auto"/>
        <w:rPr>
          <w:sz w:val="20"/>
          <w:szCs w:val="20"/>
          <w:color w:val="auto"/>
        </w:rPr>
      </w:pPr>
      <w:r>
        <w:rPr>
          <w:rFonts w:ascii="Arial" w:cs="Arial" w:eastAsia="Arial" w:hAnsi="Arial"/>
          <w:sz w:val="19"/>
          <w:szCs w:val="19"/>
          <w:b w:val="1"/>
          <w:bCs w:val="1"/>
          <w:color w:val="auto"/>
        </w:rPr>
        <w:t>EXECUTIVES. PROXIES RECEIVED BY THE BOARD WILL BE VOTED FOR THE APPROVAL OF THE COMPENSATION OF OUR NAMED EXECUTIVES UNLESS STOCKHOLDERS SPECIFY IN THEIR PROXY A VOTE OF “AGAINST” OR</w:t>
      </w:r>
    </w:p>
    <w:p>
      <w:pPr>
        <w:ind w:left="60"/>
        <w:spacing w:after="0"/>
        <w:rPr>
          <w:sz w:val="20"/>
          <w:szCs w:val="20"/>
          <w:color w:val="auto"/>
        </w:rPr>
      </w:pPr>
      <w:r>
        <w:rPr>
          <w:rFonts w:ascii="Arial" w:cs="Arial" w:eastAsia="Arial" w:hAnsi="Arial"/>
          <w:sz w:val="20"/>
          <w:szCs w:val="20"/>
          <w:b w:val="1"/>
          <w:bCs w:val="1"/>
          <w:color w:val="auto"/>
        </w:rPr>
        <w:t>“ABSTAIN”.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147955</wp:posOffset>
            </wp:positionV>
            <wp:extent cx="7132320" cy="3511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32320" cy="351155"/>
                    </a:xfrm>
                    <a:prstGeom prst="rect">
                      <a:avLst/>
                    </a:prstGeom>
                    <a:noFill/>
                  </pic:spPr>
                </pic:pic>
              </a:graphicData>
            </a:graphic>
          </wp:anchor>
        </w:drawing>
      </w:r>
    </w:p>
    <w:p>
      <w:pPr>
        <w:spacing w:after="0" w:line="200" w:lineRule="exact"/>
        <w:rPr>
          <w:sz w:val="20"/>
          <w:szCs w:val="20"/>
          <w:color w:val="auto"/>
        </w:rPr>
      </w:pPr>
    </w:p>
    <w:p>
      <w:pPr>
        <w:spacing w:after="0" w:line="223" w:lineRule="exact"/>
        <w:rPr>
          <w:sz w:val="20"/>
          <w:szCs w:val="20"/>
          <w:color w:val="auto"/>
        </w:rPr>
      </w:pPr>
    </w:p>
    <w:p>
      <w:pPr>
        <w:ind w:left="20"/>
        <w:spacing w:after="0"/>
        <w:tabs>
          <w:tab w:leader="none" w:pos="440" w:val="left"/>
        </w:tabs>
        <w:rPr>
          <w:sz w:val="20"/>
          <w:szCs w:val="20"/>
          <w:color w:val="auto"/>
        </w:rPr>
      </w:pPr>
      <w:r>
        <w:rPr>
          <w:rFonts w:ascii="Arial" w:cs="Arial" w:eastAsia="Arial" w:hAnsi="Arial"/>
          <w:sz w:val="18"/>
          <w:szCs w:val="18"/>
          <w:color w:val="auto"/>
        </w:rPr>
        <w:t>68</w:t>
        <w:tab/>
        <w:t>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262255</wp:posOffset>
            </wp:positionV>
            <wp:extent cx="7157720" cy="425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7" w:right="339" w:bottom="1440" w:gutter="0" w:footer="0" w:header="0"/>
        </w:sectPr>
      </w:pPr>
    </w:p>
    <w:bookmarkStart w:id="71" w:name="page72"/>
    <w:bookmarkEnd w:id="71"/>
    <w:p>
      <w:pPr>
        <w:jc w:val="center"/>
        <w:spacing w:after="0"/>
        <w:rPr>
          <w:sz w:val="20"/>
          <w:szCs w:val="20"/>
          <w:color w:val="auto"/>
        </w:rPr>
      </w:pPr>
      <w:r>
        <w:rPr>
          <w:rFonts w:ascii="Arial" w:cs="Arial" w:eastAsia="Arial" w:hAnsi="Arial"/>
          <w:sz w:val="22"/>
          <w:szCs w:val="22"/>
          <w:b w:val="1"/>
          <w:bCs w:val="1"/>
          <w:color w:val="auto"/>
        </w:rPr>
        <w:t>PROPOSAL 3</w:t>
      </w:r>
    </w:p>
    <w:p>
      <w:pPr>
        <w:spacing w:after="0" w:line="26" w:lineRule="exact"/>
        <w:rPr>
          <w:sz w:val="20"/>
          <w:szCs w:val="20"/>
          <w:color w:val="auto"/>
        </w:rPr>
      </w:pPr>
    </w:p>
    <w:p>
      <w:pPr>
        <w:jc w:val="center"/>
        <w:ind w:right="-139"/>
        <w:spacing w:after="0"/>
        <w:rPr>
          <w:sz w:val="20"/>
          <w:szCs w:val="20"/>
          <w:color w:val="auto"/>
        </w:rPr>
      </w:pPr>
      <w:r>
        <w:rPr>
          <w:rFonts w:ascii="Arial" w:cs="Arial" w:eastAsia="Arial" w:hAnsi="Arial"/>
          <w:sz w:val="22"/>
          <w:szCs w:val="22"/>
          <w:b w:val="1"/>
          <w:bCs w:val="1"/>
          <w:color w:val="auto"/>
        </w:rPr>
        <w:t>Amendment of the Company's Certificate of Incorporation to Reduce Stockholder Voting Thresholds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1565275</wp:posOffset>
            </wp:positionH>
            <wp:positionV relativeFrom="paragraph">
              <wp:posOffset>169545</wp:posOffset>
            </wp:positionV>
            <wp:extent cx="4097655" cy="72898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4097655" cy="728980"/>
                    </a:xfrm>
                    <a:prstGeom prst="rect">
                      <a:avLst/>
                    </a:prstGeom>
                    <a:noFill/>
                  </pic:spPr>
                </pic:pic>
              </a:graphicData>
            </a:graphic>
          </wp:anchor>
        </w:drawing>
      </w:r>
    </w:p>
    <w:p>
      <w:pPr>
        <w:spacing w:after="0" w:line="255" w:lineRule="exact"/>
        <w:rPr>
          <w:sz w:val="20"/>
          <w:szCs w:val="20"/>
          <w:color w:val="auto"/>
        </w:rPr>
      </w:pPr>
    </w:p>
    <w:p>
      <w:pPr>
        <w:jc w:val="center"/>
        <w:ind w:left="1800"/>
        <w:spacing w:after="0"/>
        <w:rPr>
          <w:sz w:val="20"/>
          <w:szCs w:val="20"/>
          <w:color w:val="auto"/>
        </w:rPr>
      </w:pPr>
      <w:r>
        <w:rPr>
          <w:rFonts w:ascii="Arial" w:cs="Arial" w:eastAsia="Arial" w:hAnsi="Arial"/>
          <w:sz w:val="18"/>
          <w:szCs w:val="18"/>
          <w:b w:val="1"/>
          <w:bCs w:val="1"/>
          <w:color w:val="06185F"/>
        </w:rPr>
        <w:t>The Board recommends that you vote</w:t>
      </w:r>
    </w:p>
    <w:p>
      <w:pPr>
        <w:spacing w:after="0" w:line="10" w:lineRule="exact"/>
        <w:rPr>
          <w:sz w:val="20"/>
          <w:szCs w:val="20"/>
          <w:color w:val="auto"/>
        </w:rPr>
      </w:pPr>
    </w:p>
    <w:p>
      <w:pPr>
        <w:jc w:val="center"/>
        <w:ind w:left="1800"/>
        <w:spacing w:after="0"/>
        <w:rPr>
          <w:sz w:val="20"/>
          <w:szCs w:val="20"/>
          <w:color w:val="auto"/>
        </w:rPr>
      </w:pPr>
      <w:r>
        <w:rPr>
          <w:rFonts w:ascii="Arial" w:cs="Arial" w:eastAsia="Arial" w:hAnsi="Arial"/>
          <w:sz w:val="32"/>
          <w:szCs w:val="32"/>
          <w:b w:val="1"/>
          <w:bCs w:val="1"/>
          <w:color w:val="auto"/>
        </w:rPr>
        <w:t>“For”</w:t>
      </w:r>
    </w:p>
    <w:p>
      <w:pPr>
        <w:jc w:val="center"/>
        <w:ind w:left="1800"/>
        <w:spacing w:after="0" w:line="234" w:lineRule="auto"/>
        <w:rPr>
          <w:sz w:val="20"/>
          <w:szCs w:val="20"/>
          <w:color w:val="auto"/>
        </w:rPr>
      </w:pPr>
      <w:r>
        <w:rPr>
          <w:rFonts w:ascii="Arial" w:cs="Arial" w:eastAsia="Arial" w:hAnsi="Arial"/>
          <w:sz w:val="18"/>
          <w:szCs w:val="18"/>
          <w:b w:val="1"/>
          <w:bCs w:val="1"/>
          <w:color w:val="06185F"/>
        </w:rPr>
        <w:t>the approval of an amendment to our certificate of</w:t>
      </w:r>
    </w:p>
    <w:p>
      <w:pPr>
        <w:spacing w:after="0" w:line="1" w:lineRule="exact"/>
        <w:rPr>
          <w:sz w:val="20"/>
          <w:szCs w:val="20"/>
          <w:color w:val="auto"/>
        </w:rPr>
      </w:pPr>
    </w:p>
    <w:p>
      <w:pPr>
        <w:jc w:val="center"/>
        <w:ind w:left="1800"/>
        <w:spacing w:after="0"/>
        <w:rPr>
          <w:sz w:val="20"/>
          <w:szCs w:val="20"/>
          <w:color w:val="auto"/>
        </w:rPr>
      </w:pPr>
      <w:r>
        <w:rPr>
          <w:rFonts w:ascii="Arial" w:cs="Arial" w:eastAsia="Arial" w:hAnsi="Arial"/>
          <w:sz w:val="18"/>
          <w:szCs w:val="18"/>
          <w:b w:val="1"/>
          <w:bCs w:val="1"/>
          <w:color w:val="06185F"/>
        </w:rPr>
        <w:t>incorporation to reduce stockholder voting thresholds</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Overview of Amendments to the Certificate of Incorporation</w:t>
      </w:r>
    </w:p>
    <w:p>
      <w:pPr>
        <w:spacing w:after="0" w:line="258" w:lineRule="exact"/>
        <w:rPr>
          <w:sz w:val="20"/>
          <w:szCs w:val="20"/>
          <w:color w:val="auto"/>
        </w:rPr>
      </w:pPr>
    </w:p>
    <w:p>
      <w:pPr>
        <w:jc w:val="both"/>
        <w:spacing w:after="0" w:line="265" w:lineRule="auto"/>
        <w:rPr>
          <w:sz w:val="20"/>
          <w:szCs w:val="20"/>
          <w:color w:val="auto"/>
        </w:rPr>
      </w:pPr>
      <w:r>
        <w:rPr>
          <w:rFonts w:ascii="Arial" w:cs="Arial" w:eastAsia="Arial" w:hAnsi="Arial"/>
          <w:sz w:val="20"/>
          <w:szCs w:val="20"/>
          <w:color w:val="auto"/>
        </w:rPr>
        <w:t>The Board has approved and determined that it is in the best interests of the Company and its stockholders to approve, and to submit to the stockholders for consideration and approval, certain amendments (the “Charter Amendments”) to the Company’s Certificate of Incorporation to (1) eliminate super-majority voting requirements to amend the Certificate of Incorporation and Bylaws of the Company and (2) generally adopt a simple majority voting standard for stockholder meetings to the extent permitted under the Delaware General Corporation Law. The Board believes that the Charter Amendments will help support strong corporate governance by enhancing stockholder rights.</w:t>
      </w:r>
    </w:p>
    <w:p>
      <w:pPr>
        <w:spacing w:after="0" w:line="204" w:lineRule="exact"/>
        <w:rPr>
          <w:sz w:val="20"/>
          <w:szCs w:val="20"/>
          <w:color w:val="auto"/>
        </w:rPr>
      </w:pPr>
    </w:p>
    <w:p>
      <w:pPr>
        <w:spacing w:after="0"/>
        <w:rPr>
          <w:sz w:val="20"/>
          <w:szCs w:val="20"/>
          <w:color w:val="auto"/>
        </w:rPr>
      </w:pPr>
      <w:r>
        <w:rPr>
          <w:rFonts w:ascii="Arial" w:cs="Arial" w:eastAsia="Arial" w:hAnsi="Arial"/>
          <w:sz w:val="20"/>
          <w:szCs w:val="20"/>
          <w:color w:val="auto"/>
        </w:rPr>
        <w:t>Specifically, the Charter Amendments would:</w:t>
      </w:r>
    </w:p>
    <w:p>
      <w:pPr>
        <w:spacing w:after="0" w:line="256" w:lineRule="exact"/>
        <w:rPr>
          <w:sz w:val="20"/>
          <w:szCs w:val="20"/>
          <w:color w:val="auto"/>
        </w:rPr>
      </w:pPr>
    </w:p>
    <w:p>
      <w:pPr>
        <w:jc w:val="both"/>
        <w:ind w:left="660" w:hanging="328"/>
        <w:spacing w:after="0" w:line="276" w:lineRule="auto"/>
        <w:tabs>
          <w:tab w:leader="none" w:pos="648" w:val="left"/>
        </w:tabs>
        <w:numPr>
          <w:ilvl w:val="0"/>
          <w:numId w:val="31"/>
        </w:numPr>
        <w:rPr>
          <w:rFonts w:ascii="Arial" w:cs="Arial" w:eastAsia="Arial" w:hAnsi="Arial"/>
          <w:sz w:val="20"/>
          <w:szCs w:val="20"/>
          <w:color w:val="auto"/>
        </w:rPr>
      </w:pPr>
      <w:r>
        <w:rPr>
          <w:rFonts w:ascii="Arial" w:cs="Arial" w:eastAsia="Arial" w:hAnsi="Arial"/>
          <w:sz w:val="20"/>
          <w:szCs w:val="20"/>
          <w:color w:val="auto"/>
        </w:rPr>
        <w:t>reduce the required voting threshold to amend or repeal any provision of the Company’s Certificate of Incorporation from two-thirds of the outstanding shares of common stock entitled to vote to a majority of the outstanding shares of common stock entitled to vote;</w:t>
      </w:r>
    </w:p>
    <w:p>
      <w:pPr>
        <w:spacing w:after="0" w:line="192" w:lineRule="exact"/>
        <w:rPr>
          <w:rFonts w:ascii="Arial" w:cs="Arial" w:eastAsia="Arial" w:hAnsi="Arial"/>
          <w:sz w:val="20"/>
          <w:szCs w:val="20"/>
          <w:color w:val="auto"/>
        </w:rPr>
      </w:pPr>
    </w:p>
    <w:p>
      <w:pPr>
        <w:jc w:val="both"/>
        <w:ind w:left="660" w:hanging="328"/>
        <w:spacing w:after="0" w:line="276" w:lineRule="auto"/>
        <w:tabs>
          <w:tab w:leader="none" w:pos="648" w:val="left"/>
        </w:tabs>
        <w:numPr>
          <w:ilvl w:val="0"/>
          <w:numId w:val="31"/>
        </w:numPr>
        <w:rPr>
          <w:rFonts w:ascii="Arial" w:cs="Arial" w:eastAsia="Arial" w:hAnsi="Arial"/>
          <w:sz w:val="20"/>
          <w:szCs w:val="20"/>
          <w:color w:val="auto"/>
        </w:rPr>
      </w:pPr>
      <w:r>
        <w:rPr>
          <w:rFonts w:ascii="Arial" w:cs="Arial" w:eastAsia="Arial" w:hAnsi="Arial"/>
          <w:sz w:val="20"/>
          <w:szCs w:val="20"/>
          <w:color w:val="auto"/>
        </w:rPr>
        <w:t>reduce the required voting threshold to adopt, alter, amend or repeal the Company’s Bylaws from two-thirds of the outstanding shares of common stock entitled to vote to a majority of the outstanding shares of common stock entitled to vote; and</w:t>
      </w:r>
    </w:p>
    <w:p>
      <w:pPr>
        <w:spacing w:after="0" w:line="192" w:lineRule="exact"/>
        <w:rPr>
          <w:rFonts w:ascii="Arial" w:cs="Arial" w:eastAsia="Arial" w:hAnsi="Arial"/>
          <w:sz w:val="20"/>
          <w:szCs w:val="20"/>
          <w:color w:val="auto"/>
        </w:rPr>
      </w:pPr>
    </w:p>
    <w:p>
      <w:pPr>
        <w:jc w:val="both"/>
        <w:ind w:left="660" w:hanging="328"/>
        <w:spacing w:after="0" w:line="276" w:lineRule="auto"/>
        <w:tabs>
          <w:tab w:leader="none" w:pos="648" w:val="left"/>
        </w:tabs>
        <w:numPr>
          <w:ilvl w:val="0"/>
          <w:numId w:val="31"/>
        </w:numPr>
        <w:rPr>
          <w:rFonts w:ascii="Arial" w:cs="Arial" w:eastAsia="Arial" w:hAnsi="Arial"/>
          <w:sz w:val="20"/>
          <w:szCs w:val="20"/>
          <w:color w:val="auto"/>
        </w:rPr>
      </w:pPr>
      <w:r>
        <w:rPr>
          <w:rFonts w:ascii="Arial" w:cs="Arial" w:eastAsia="Arial" w:hAnsi="Arial"/>
          <w:sz w:val="20"/>
          <w:szCs w:val="20"/>
          <w:color w:val="auto"/>
        </w:rPr>
        <w:t>reduce the required voting threshold to approve all other matters to be voted on at a meeting of the Company’s stockholders (other than the election or removal of directors) from a majority of the shares present and entitled to vote at the meeting to a majority of votes cast for and against the matter.</w:t>
      </w:r>
    </w:p>
    <w:p>
      <w:pPr>
        <w:spacing w:after="0" w:line="192" w:lineRule="exact"/>
        <w:rPr>
          <w:sz w:val="20"/>
          <w:szCs w:val="20"/>
          <w:color w:val="auto"/>
        </w:rPr>
      </w:pPr>
    </w:p>
    <w:p>
      <w:pPr>
        <w:ind w:firstLine="648"/>
        <w:spacing w:after="0" w:line="286" w:lineRule="auto"/>
        <w:rPr>
          <w:sz w:val="20"/>
          <w:szCs w:val="20"/>
          <w:color w:val="auto"/>
        </w:rPr>
      </w:pPr>
      <w:r>
        <w:rPr>
          <w:rFonts w:ascii="Arial" w:cs="Arial" w:eastAsia="Arial" w:hAnsi="Arial"/>
          <w:sz w:val="20"/>
          <w:szCs w:val="20"/>
          <w:color w:val="auto"/>
        </w:rPr>
        <w:t>The following table provides a comparison of the current voting standard in the Certificate of Incorporation and the changes expected following the approval of the Charter Amendments by the stockholders: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60" w:type="dxa"/>
            <w:vAlign w:val="bottom"/>
          </w:tcPr>
          <w:p>
            <w:pPr>
              <w:spacing w:after="0"/>
              <w:rPr>
                <w:sz w:val="19"/>
                <w:szCs w:val="19"/>
                <w:color w:val="auto"/>
              </w:rPr>
            </w:pPr>
          </w:p>
        </w:tc>
        <w:tc>
          <w:tcPr>
            <w:tcW w:w="2900" w:type="dxa"/>
            <w:vAlign w:val="bottom"/>
            <w:shd w:val="clear" w:color="auto" w:fill="C4E6EB"/>
          </w:tcPr>
          <w:p>
            <w:pPr>
              <w:ind w:left="20"/>
              <w:spacing w:after="0"/>
              <w:rPr>
                <w:sz w:val="20"/>
                <w:szCs w:val="20"/>
                <w:color w:val="auto"/>
              </w:rPr>
            </w:pPr>
            <w:r>
              <w:rPr>
                <w:rFonts w:ascii="Arial" w:cs="Arial" w:eastAsia="Arial" w:hAnsi="Arial"/>
                <w:sz w:val="20"/>
                <w:szCs w:val="20"/>
                <w:b w:val="1"/>
                <w:bCs w:val="1"/>
                <w:color w:val="auto"/>
              </w:rPr>
              <w:t>Matter to be voted on</w:t>
            </w:r>
          </w:p>
        </w:tc>
        <w:tc>
          <w:tcPr>
            <w:tcW w:w="3240" w:type="dxa"/>
            <w:vAlign w:val="bottom"/>
            <w:shd w:val="clear" w:color="auto" w:fill="C4E6EB"/>
          </w:tcPr>
          <w:p>
            <w:pPr>
              <w:ind w:left="320"/>
              <w:spacing w:after="0"/>
              <w:rPr>
                <w:sz w:val="20"/>
                <w:szCs w:val="20"/>
                <w:color w:val="auto"/>
              </w:rPr>
            </w:pPr>
            <w:r>
              <w:rPr>
                <w:rFonts w:ascii="Arial" w:cs="Arial" w:eastAsia="Arial" w:hAnsi="Arial"/>
                <w:sz w:val="20"/>
                <w:szCs w:val="20"/>
                <w:b w:val="1"/>
                <w:bCs w:val="1"/>
                <w:color w:val="auto"/>
              </w:rPr>
              <w:t>Current voting standard</w:t>
            </w:r>
          </w:p>
        </w:tc>
        <w:tc>
          <w:tcPr>
            <w:tcW w:w="3540" w:type="dxa"/>
            <w:vAlign w:val="bottom"/>
            <w:shd w:val="clear" w:color="auto" w:fill="C4E6EB"/>
          </w:tcPr>
          <w:p>
            <w:pPr>
              <w:ind w:left="320"/>
              <w:spacing w:after="0"/>
              <w:rPr>
                <w:sz w:val="20"/>
                <w:szCs w:val="20"/>
                <w:color w:val="auto"/>
              </w:rPr>
            </w:pPr>
            <w:r>
              <w:rPr>
                <w:rFonts w:ascii="Arial" w:cs="Arial" w:eastAsia="Arial" w:hAnsi="Arial"/>
                <w:sz w:val="20"/>
                <w:szCs w:val="20"/>
                <w:b w:val="1"/>
                <w:bCs w:val="1"/>
                <w:color w:val="auto"/>
              </w:rPr>
              <w:t>Voting standard after adoption of</w:t>
            </w:r>
          </w:p>
        </w:tc>
        <w:tc>
          <w:tcPr>
            <w:tcW w:w="900" w:type="dxa"/>
            <w:vAlign w:val="bottom"/>
          </w:tcPr>
          <w:p>
            <w:pPr>
              <w:spacing w:after="0"/>
              <w:rPr>
                <w:sz w:val="19"/>
                <w:szCs w:val="19"/>
                <w:color w:val="auto"/>
              </w:rPr>
            </w:pPr>
          </w:p>
        </w:tc>
      </w:tr>
      <w:tr>
        <w:trPr>
          <w:trHeight w:val="277"/>
        </w:trPr>
        <w:tc>
          <w:tcPr>
            <w:tcW w:w="660" w:type="dxa"/>
            <w:vAlign w:val="bottom"/>
          </w:tcPr>
          <w:p>
            <w:pPr>
              <w:spacing w:after="0"/>
              <w:rPr>
                <w:sz w:val="24"/>
                <w:szCs w:val="24"/>
                <w:color w:val="auto"/>
              </w:rPr>
            </w:pPr>
          </w:p>
        </w:tc>
        <w:tc>
          <w:tcPr>
            <w:tcW w:w="2900" w:type="dxa"/>
            <w:vAlign w:val="bottom"/>
            <w:tcBorders>
              <w:bottom w:val="single" w:sz="8" w:color="242424"/>
            </w:tcBorders>
            <w:shd w:val="clear" w:color="auto" w:fill="C4E6EB"/>
          </w:tcPr>
          <w:p>
            <w:pPr>
              <w:spacing w:after="0"/>
              <w:rPr>
                <w:sz w:val="24"/>
                <w:szCs w:val="24"/>
                <w:color w:val="auto"/>
              </w:rPr>
            </w:pPr>
          </w:p>
        </w:tc>
        <w:tc>
          <w:tcPr>
            <w:tcW w:w="3240" w:type="dxa"/>
            <w:vAlign w:val="bottom"/>
            <w:tcBorders>
              <w:bottom w:val="single" w:sz="8" w:color="242424"/>
            </w:tcBorders>
            <w:shd w:val="clear" w:color="auto" w:fill="C4E6EB"/>
          </w:tcPr>
          <w:p>
            <w:pPr>
              <w:spacing w:after="0"/>
              <w:rPr>
                <w:sz w:val="24"/>
                <w:szCs w:val="24"/>
                <w:color w:val="auto"/>
              </w:rPr>
            </w:pPr>
          </w:p>
        </w:tc>
        <w:tc>
          <w:tcPr>
            <w:tcW w:w="3540" w:type="dxa"/>
            <w:vAlign w:val="bottom"/>
            <w:tcBorders>
              <w:bottom w:val="single" w:sz="8" w:color="242424"/>
            </w:tcBorders>
            <w:shd w:val="clear" w:color="auto" w:fill="C4E6EB"/>
          </w:tcPr>
          <w:p>
            <w:pPr>
              <w:ind w:left="320"/>
              <w:spacing w:after="0"/>
              <w:rPr>
                <w:sz w:val="20"/>
                <w:szCs w:val="20"/>
                <w:color w:val="auto"/>
              </w:rPr>
            </w:pPr>
            <w:r>
              <w:rPr>
                <w:rFonts w:ascii="Arial" w:cs="Arial" w:eastAsia="Arial" w:hAnsi="Arial"/>
                <w:sz w:val="20"/>
                <w:szCs w:val="20"/>
                <w:b w:val="1"/>
                <w:bCs w:val="1"/>
                <w:color w:val="auto"/>
              </w:rPr>
              <w:t>proposal</w:t>
            </w:r>
          </w:p>
        </w:tc>
        <w:tc>
          <w:tcPr>
            <w:tcW w:w="900" w:type="dxa"/>
            <w:vAlign w:val="bottom"/>
          </w:tcPr>
          <w:p>
            <w:pPr>
              <w:spacing w:after="0"/>
              <w:rPr>
                <w:sz w:val="24"/>
                <w:szCs w:val="24"/>
                <w:color w:val="auto"/>
              </w:rPr>
            </w:pPr>
          </w:p>
        </w:tc>
      </w:tr>
      <w:tr>
        <w:trPr>
          <w:trHeight w:val="267"/>
        </w:trPr>
        <w:tc>
          <w:tcPr>
            <w:tcW w:w="660" w:type="dxa"/>
            <w:vAlign w:val="bottom"/>
          </w:tcPr>
          <w:p>
            <w:pPr>
              <w:spacing w:after="0"/>
              <w:rPr>
                <w:sz w:val="23"/>
                <w:szCs w:val="23"/>
                <w:color w:val="auto"/>
              </w:rPr>
            </w:pPr>
          </w:p>
        </w:tc>
        <w:tc>
          <w:tcPr>
            <w:tcW w:w="2900" w:type="dxa"/>
            <w:vAlign w:val="bottom"/>
          </w:tcPr>
          <w:p>
            <w:pPr>
              <w:ind w:left="20"/>
              <w:spacing w:after="0"/>
              <w:rPr>
                <w:sz w:val="20"/>
                <w:szCs w:val="20"/>
                <w:color w:val="auto"/>
              </w:rPr>
            </w:pPr>
            <w:r>
              <w:rPr>
                <w:rFonts w:ascii="Arial" w:cs="Arial" w:eastAsia="Arial" w:hAnsi="Arial"/>
                <w:sz w:val="18"/>
                <w:szCs w:val="18"/>
                <w:color w:val="auto"/>
              </w:rPr>
              <w:t>Amendments to Certificate of</w:t>
            </w:r>
          </w:p>
        </w:tc>
        <w:tc>
          <w:tcPr>
            <w:tcW w:w="3240" w:type="dxa"/>
            <w:vAlign w:val="bottom"/>
          </w:tcPr>
          <w:p>
            <w:pPr>
              <w:ind w:left="320"/>
              <w:spacing w:after="0"/>
              <w:rPr>
                <w:sz w:val="20"/>
                <w:szCs w:val="20"/>
                <w:color w:val="auto"/>
              </w:rPr>
            </w:pPr>
            <w:r>
              <w:rPr>
                <w:rFonts w:ascii="Arial" w:cs="Arial" w:eastAsia="Arial" w:hAnsi="Arial"/>
                <w:sz w:val="18"/>
                <w:szCs w:val="18"/>
                <w:color w:val="auto"/>
              </w:rPr>
              <w:t>Two-thirds of outstanding shares</w:t>
            </w:r>
          </w:p>
        </w:tc>
        <w:tc>
          <w:tcPr>
            <w:tcW w:w="4440" w:type="dxa"/>
            <w:vAlign w:val="bottom"/>
            <w:gridSpan w:val="2"/>
          </w:tcPr>
          <w:p>
            <w:pPr>
              <w:ind w:left="320"/>
              <w:spacing w:after="0"/>
              <w:rPr>
                <w:sz w:val="20"/>
                <w:szCs w:val="20"/>
                <w:color w:val="auto"/>
              </w:rPr>
            </w:pPr>
            <w:r>
              <w:rPr>
                <w:rFonts w:ascii="Arial" w:cs="Arial" w:eastAsia="Arial" w:hAnsi="Arial"/>
                <w:sz w:val="18"/>
                <w:szCs w:val="18"/>
                <w:color w:val="auto"/>
              </w:rPr>
              <w:t>Majority of outstanding shares</w:t>
            </w:r>
            <w:r>
              <w:rPr>
                <w:rFonts w:ascii="Arial" w:cs="Arial" w:eastAsia="Arial" w:hAnsi="Arial"/>
                <w:sz w:val="23"/>
                <w:szCs w:val="23"/>
                <w:color w:val="auto"/>
                <w:vertAlign w:val="superscript"/>
              </w:rPr>
              <w:t>1, 2</w:t>
            </w:r>
          </w:p>
        </w:tc>
      </w:tr>
      <w:tr>
        <w:trPr>
          <w:trHeight w:val="189"/>
        </w:trPr>
        <w:tc>
          <w:tcPr>
            <w:tcW w:w="660" w:type="dxa"/>
            <w:vAlign w:val="bottom"/>
          </w:tcPr>
          <w:p>
            <w:pPr>
              <w:spacing w:after="0"/>
              <w:rPr>
                <w:sz w:val="16"/>
                <w:szCs w:val="16"/>
                <w:color w:val="auto"/>
              </w:rPr>
            </w:pPr>
          </w:p>
        </w:tc>
        <w:tc>
          <w:tcPr>
            <w:tcW w:w="2900" w:type="dxa"/>
            <w:vAlign w:val="bottom"/>
            <w:tcBorders>
              <w:bottom w:val="single" w:sz="8" w:color="DBDBDB"/>
            </w:tcBorders>
          </w:tcPr>
          <w:p>
            <w:pPr>
              <w:ind w:left="20"/>
              <w:spacing w:after="0" w:line="189" w:lineRule="exact"/>
              <w:rPr>
                <w:sz w:val="20"/>
                <w:szCs w:val="20"/>
                <w:color w:val="auto"/>
              </w:rPr>
            </w:pPr>
            <w:r>
              <w:rPr>
                <w:rFonts w:ascii="Arial" w:cs="Arial" w:eastAsia="Arial" w:hAnsi="Arial"/>
                <w:sz w:val="18"/>
                <w:szCs w:val="18"/>
                <w:color w:val="auto"/>
              </w:rPr>
              <w:t>Incorporation</w:t>
            </w:r>
          </w:p>
        </w:tc>
        <w:tc>
          <w:tcPr>
            <w:tcW w:w="3240" w:type="dxa"/>
            <w:vAlign w:val="bottom"/>
            <w:tcBorders>
              <w:bottom w:val="single" w:sz="8" w:color="DBDBDB"/>
            </w:tcBorders>
          </w:tcPr>
          <w:p>
            <w:pPr>
              <w:spacing w:after="0"/>
              <w:rPr>
                <w:sz w:val="16"/>
                <w:szCs w:val="16"/>
                <w:color w:val="auto"/>
              </w:rPr>
            </w:pPr>
          </w:p>
        </w:tc>
        <w:tc>
          <w:tcPr>
            <w:tcW w:w="3540" w:type="dxa"/>
            <w:vAlign w:val="bottom"/>
            <w:tcBorders>
              <w:bottom w:val="single" w:sz="8" w:color="DBDBDB"/>
            </w:tcBorders>
          </w:tcPr>
          <w:p>
            <w:pPr>
              <w:spacing w:after="0"/>
              <w:rPr>
                <w:sz w:val="16"/>
                <w:szCs w:val="16"/>
                <w:color w:val="auto"/>
              </w:rPr>
            </w:pPr>
          </w:p>
        </w:tc>
        <w:tc>
          <w:tcPr>
            <w:tcW w:w="900" w:type="dxa"/>
            <w:vAlign w:val="bottom"/>
          </w:tcPr>
          <w:p>
            <w:pPr>
              <w:spacing w:after="0"/>
              <w:rPr>
                <w:sz w:val="16"/>
                <w:szCs w:val="16"/>
                <w:color w:val="auto"/>
              </w:rPr>
            </w:pPr>
          </w:p>
        </w:tc>
      </w:tr>
      <w:tr>
        <w:trPr>
          <w:trHeight w:val="223"/>
        </w:trPr>
        <w:tc>
          <w:tcPr>
            <w:tcW w:w="660" w:type="dxa"/>
            <w:vAlign w:val="bottom"/>
          </w:tcPr>
          <w:p>
            <w:pPr>
              <w:spacing w:after="0"/>
              <w:rPr>
                <w:sz w:val="19"/>
                <w:szCs w:val="19"/>
                <w:color w:val="auto"/>
              </w:rPr>
            </w:pPr>
          </w:p>
        </w:tc>
        <w:tc>
          <w:tcPr>
            <w:tcW w:w="2900" w:type="dxa"/>
            <w:vAlign w:val="bottom"/>
            <w:shd w:val="clear" w:color="auto" w:fill="E7ECF0"/>
          </w:tcPr>
          <w:p>
            <w:pPr>
              <w:ind w:left="20"/>
              <w:spacing w:after="0"/>
              <w:rPr>
                <w:sz w:val="20"/>
                <w:szCs w:val="20"/>
                <w:color w:val="auto"/>
              </w:rPr>
            </w:pPr>
            <w:r>
              <w:rPr>
                <w:rFonts w:ascii="Arial" w:cs="Arial" w:eastAsia="Arial" w:hAnsi="Arial"/>
                <w:sz w:val="18"/>
                <w:szCs w:val="18"/>
                <w:color w:val="auto"/>
              </w:rPr>
              <w:t>Amendments to Bylaws</w:t>
            </w:r>
          </w:p>
        </w:tc>
        <w:tc>
          <w:tcPr>
            <w:tcW w:w="3240" w:type="dxa"/>
            <w:vAlign w:val="bottom"/>
            <w:shd w:val="clear" w:color="auto" w:fill="E7ECF0"/>
          </w:tcPr>
          <w:p>
            <w:pPr>
              <w:ind w:left="320"/>
              <w:spacing w:after="0"/>
              <w:rPr>
                <w:sz w:val="20"/>
                <w:szCs w:val="20"/>
                <w:color w:val="auto"/>
              </w:rPr>
            </w:pPr>
            <w:r>
              <w:rPr>
                <w:rFonts w:ascii="Arial" w:cs="Arial" w:eastAsia="Arial" w:hAnsi="Arial"/>
                <w:sz w:val="18"/>
                <w:szCs w:val="18"/>
                <w:color w:val="auto"/>
              </w:rPr>
              <w:t>Two-thirds of outstanding shares</w:t>
            </w:r>
          </w:p>
        </w:tc>
        <w:tc>
          <w:tcPr>
            <w:tcW w:w="3540" w:type="dxa"/>
            <w:vAlign w:val="bottom"/>
            <w:shd w:val="clear" w:color="auto" w:fill="E7ECF0"/>
          </w:tcPr>
          <w:p>
            <w:pPr>
              <w:ind w:left="320"/>
              <w:spacing w:after="0" w:line="223" w:lineRule="exact"/>
              <w:rPr>
                <w:sz w:val="20"/>
                <w:szCs w:val="20"/>
                <w:color w:val="auto"/>
              </w:rPr>
            </w:pPr>
            <w:r>
              <w:rPr>
                <w:rFonts w:ascii="Arial" w:cs="Arial" w:eastAsia="Arial" w:hAnsi="Arial"/>
                <w:sz w:val="18"/>
                <w:szCs w:val="18"/>
                <w:color w:val="auto"/>
              </w:rPr>
              <w:t>Majority of outstanding shares</w:t>
            </w:r>
            <w:r>
              <w:rPr>
                <w:rFonts w:ascii="Arial" w:cs="Arial" w:eastAsia="Arial" w:hAnsi="Arial"/>
                <w:sz w:val="23"/>
                <w:szCs w:val="23"/>
                <w:color w:val="auto"/>
                <w:vertAlign w:val="superscript"/>
              </w:rPr>
              <w:t>2</w:t>
            </w:r>
          </w:p>
        </w:tc>
        <w:tc>
          <w:tcPr>
            <w:tcW w:w="900" w:type="dxa"/>
            <w:vAlign w:val="bottom"/>
          </w:tcPr>
          <w:p>
            <w:pPr>
              <w:spacing w:after="0"/>
              <w:rPr>
                <w:sz w:val="19"/>
                <w:szCs w:val="19"/>
                <w:color w:val="auto"/>
              </w:rPr>
            </w:pPr>
          </w:p>
        </w:tc>
      </w:tr>
      <w:tr>
        <w:trPr>
          <w:trHeight w:val="250"/>
        </w:trPr>
        <w:tc>
          <w:tcPr>
            <w:tcW w:w="660" w:type="dxa"/>
            <w:vAlign w:val="bottom"/>
          </w:tcPr>
          <w:p>
            <w:pPr>
              <w:spacing w:after="0"/>
              <w:rPr>
                <w:sz w:val="21"/>
                <w:szCs w:val="21"/>
                <w:color w:val="auto"/>
              </w:rPr>
            </w:pPr>
          </w:p>
        </w:tc>
        <w:tc>
          <w:tcPr>
            <w:tcW w:w="2900" w:type="dxa"/>
            <w:vAlign w:val="bottom"/>
            <w:tcBorders>
              <w:bottom w:val="single" w:sz="8" w:color="DBDBDB"/>
            </w:tcBorders>
          </w:tcPr>
          <w:p>
            <w:pPr>
              <w:ind w:left="20"/>
              <w:spacing w:after="0"/>
              <w:rPr>
                <w:sz w:val="20"/>
                <w:szCs w:val="20"/>
                <w:color w:val="auto"/>
              </w:rPr>
            </w:pPr>
            <w:r>
              <w:rPr>
                <w:rFonts w:ascii="Arial" w:cs="Arial" w:eastAsia="Arial" w:hAnsi="Arial"/>
                <w:sz w:val="18"/>
                <w:szCs w:val="18"/>
                <w:color w:val="auto"/>
              </w:rPr>
              <w:t>Director elections (uncontested)</w:t>
            </w:r>
          </w:p>
        </w:tc>
        <w:tc>
          <w:tcPr>
            <w:tcW w:w="3240" w:type="dxa"/>
            <w:vAlign w:val="bottom"/>
            <w:tcBorders>
              <w:bottom w:val="single" w:sz="8" w:color="DBDBDB"/>
            </w:tcBorders>
          </w:tcPr>
          <w:p>
            <w:pPr>
              <w:ind w:left="320"/>
              <w:spacing w:after="0"/>
              <w:rPr>
                <w:sz w:val="20"/>
                <w:szCs w:val="20"/>
                <w:color w:val="auto"/>
              </w:rPr>
            </w:pPr>
            <w:r>
              <w:rPr>
                <w:rFonts w:ascii="Arial" w:cs="Arial" w:eastAsia="Arial" w:hAnsi="Arial"/>
                <w:sz w:val="18"/>
                <w:szCs w:val="18"/>
                <w:color w:val="auto"/>
              </w:rPr>
              <w:t>Plurality</w:t>
            </w:r>
          </w:p>
        </w:tc>
        <w:tc>
          <w:tcPr>
            <w:tcW w:w="3540" w:type="dxa"/>
            <w:vAlign w:val="bottom"/>
            <w:tcBorders>
              <w:bottom w:val="single" w:sz="8" w:color="DBDBDB"/>
            </w:tcBorders>
          </w:tcPr>
          <w:p>
            <w:pPr>
              <w:ind w:left="320"/>
              <w:spacing w:after="0"/>
              <w:rPr>
                <w:sz w:val="20"/>
                <w:szCs w:val="20"/>
                <w:color w:val="auto"/>
              </w:rPr>
            </w:pPr>
            <w:r>
              <w:rPr>
                <w:rFonts w:ascii="Arial" w:cs="Arial" w:eastAsia="Arial" w:hAnsi="Arial"/>
                <w:sz w:val="18"/>
                <w:szCs w:val="18"/>
                <w:color w:val="auto"/>
              </w:rPr>
              <w:t>Plurality</w:t>
            </w:r>
          </w:p>
        </w:tc>
        <w:tc>
          <w:tcPr>
            <w:tcW w:w="900" w:type="dxa"/>
            <w:vAlign w:val="bottom"/>
          </w:tcPr>
          <w:p>
            <w:pPr>
              <w:spacing w:after="0"/>
              <w:rPr>
                <w:sz w:val="21"/>
                <w:szCs w:val="21"/>
                <w:color w:val="auto"/>
              </w:rPr>
            </w:pPr>
          </w:p>
        </w:tc>
      </w:tr>
      <w:tr>
        <w:trPr>
          <w:trHeight w:val="162"/>
        </w:trPr>
        <w:tc>
          <w:tcPr>
            <w:tcW w:w="660" w:type="dxa"/>
            <w:vAlign w:val="bottom"/>
            <w:tcBorders>
              <w:bottom w:val="single" w:sz="8" w:color="005DA6"/>
            </w:tcBorders>
          </w:tcPr>
          <w:p>
            <w:pPr>
              <w:spacing w:after="0"/>
              <w:rPr>
                <w:sz w:val="14"/>
                <w:szCs w:val="14"/>
                <w:color w:val="auto"/>
              </w:rPr>
            </w:pPr>
          </w:p>
        </w:tc>
        <w:tc>
          <w:tcPr>
            <w:tcW w:w="2900" w:type="dxa"/>
            <w:vAlign w:val="bottom"/>
            <w:tcBorders>
              <w:bottom w:val="single" w:sz="8" w:color="005DA6"/>
            </w:tcBorders>
          </w:tcPr>
          <w:p>
            <w:pPr>
              <w:spacing w:after="0"/>
              <w:rPr>
                <w:sz w:val="14"/>
                <w:szCs w:val="14"/>
                <w:color w:val="auto"/>
              </w:rPr>
            </w:pPr>
          </w:p>
        </w:tc>
        <w:tc>
          <w:tcPr>
            <w:tcW w:w="3240" w:type="dxa"/>
            <w:vAlign w:val="bottom"/>
            <w:tcBorders>
              <w:bottom w:val="single" w:sz="8" w:color="005DA6"/>
            </w:tcBorders>
          </w:tcPr>
          <w:p>
            <w:pPr>
              <w:spacing w:after="0"/>
              <w:rPr>
                <w:sz w:val="14"/>
                <w:szCs w:val="14"/>
                <w:color w:val="auto"/>
              </w:rPr>
            </w:pPr>
          </w:p>
        </w:tc>
        <w:tc>
          <w:tcPr>
            <w:tcW w:w="4440" w:type="dxa"/>
            <w:vAlign w:val="bottom"/>
            <w:tcBorders>
              <w:bottom w:val="single" w:sz="8" w:color="005DA6"/>
            </w:tcBorders>
            <w:gridSpan w:val="2"/>
          </w:tcPr>
          <w:p>
            <w:pPr>
              <w:spacing w:after="0"/>
              <w:rPr>
                <w:sz w:val="14"/>
                <w:szCs w:val="14"/>
                <w:color w:val="auto"/>
              </w:rPr>
            </w:pPr>
          </w:p>
        </w:tc>
      </w:tr>
      <w:tr>
        <w:trPr>
          <w:trHeight w:val="429"/>
        </w:trPr>
        <w:tc>
          <w:tcPr>
            <w:tcW w:w="66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3240" w:type="dxa"/>
            <w:vAlign w:val="bottom"/>
          </w:tcPr>
          <w:p>
            <w:pPr>
              <w:spacing w:after="0"/>
              <w:rPr>
                <w:sz w:val="24"/>
                <w:szCs w:val="24"/>
                <w:color w:val="auto"/>
              </w:rPr>
            </w:pPr>
          </w:p>
        </w:tc>
        <w:tc>
          <w:tcPr>
            <w:tcW w:w="4440" w:type="dxa"/>
            <w:vAlign w:val="bottom"/>
            <w:gridSpan w:val="2"/>
          </w:tcPr>
          <w:p>
            <w:pPr>
              <w:ind w:left="2200"/>
              <w:spacing w:after="0"/>
              <w:rPr>
                <w:sz w:val="20"/>
                <w:szCs w:val="20"/>
                <w:color w:val="auto"/>
              </w:rPr>
            </w:pPr>
            <w:r>
              <w:rPr>
                <w:rFonts w:ascii="Arial" w:cs="Arial" w:eastAsia="Arial" w:hAnsi="Arial"/>
                <w:sz w:val="18"/>
                <w:szCs w:val="18"/>
                <w:color w:val="auto"/>
              </w:rPr>
              <w:t xml:space="preserve">2024 Proxy Statement   </w:t>
            </w:r>
            <w:r>
              <w:rPr>
                <w:rFonts w:ascii="Arial" w:cs="Arial" w:eastAsia="Arial" w:hAnsi="Arial"/>
                <w:sz w:val="18"/>
                <w:szCs w:val="18"/>
                <w:color w:val="1E3767"/>
              </w:rPr>
              <w:t>69</w:t>
            </w:r>
          </w:p>
        </w:tc>
      </w:tr>
      <w:tr>
        <w:trPr>
          <w:trHeight w:val="395"/>
        </w:trPr>
        <w:tc>
          <w:tcPr>
            <w:tcW w:w="660" w:type="dxa"/>
            <w:vAlign w:val="bottom"/>
            <w:tcBorders>
              <w:bottom w:val="single" w:sz="8" w:color="9A9A9A"/>
            </w:tcBorders>
          </w:tcPr>
          <w:p>
            <w:pPr>
              <w:spacing w:after="0"/>
              <w:rPr>
                <w:sz w:val="24"/>
                <w:szCs w:val="24"/>
                <w:color w:val="auto"/>
              </w:rPr>
            </w:pPr>
          </w:p>
        </w:tc>
        <w:tc>
          <w:tcPr>
            <w:tcW w:w="2900" w:type="dxa"/>
            <w:vAlign w:val="bottom"/>
            <w:tcBorders>
              <w:bottom w:val="single" w:sz="8" w:color="9A9A9A"/>
            </w:tcBorders>
          </w:tcPr>
          <w:p>
            <w:pPr>
              <w:spacing w:after="0"/>
              <w:rPr>
                <w:sz w:val="24"/>
                <w:szCs w:val="24"/>
                <w:color w:val="auto"/>
              </w:rPr>
            </w:pPr>
          </w:p>
        </w:tc>
        <w:tc>
          <w:tcPr>
            <w:tcW w:w="3240" w:type="dxa"/>
            <w:vAlign w:val="bottom"/>
            <w:tcBorders>
              <w:bottom w:val="single" w:sz="8" w:color="9A9A9A"/>
            </w:tcBorders>
          </w:tcPr>
          <w:p>
            <w:pPr>
              <w:spacing w:after="0"/>
              <w:rPr>
                <w:sz w:val="24"/>
                <w:szCs w:val="24"/>
                <w:color w:val="auto"/>
              </w:rPr>
            </w:pPr>
          </w:p>
        </w:tc>
        <w:tc>
          <w:tcPr>
            <w:tcW w:w="354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2773680</wp:posOffset>
            </wp:positionH>
            <wp:positionV relativeFrom="paragraph">
              <wp:posOffset>-539750</wp:posOffset>
            </wp:positionV>
            <wp:extent cx="1508760" cy="34290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1508760" cy="342900"/>
                    </a:xfrm>
                    <a:prstGeom prst="rect">
                      <a:avLst/>
                    </a:prstGeom>
                    <a:noFill/>
                  </pic:spPr>
                </pic:pic>
              </a:graphicData>
            </a:graphic>
          </wp:anchor>
        </w:drawing>
      </w:r>
    </w:p>
    <w:p>
      <w:pPr>
        <w:sectPr>
          <w:pgSz w:w="11900" w:h="16838" w:orient="portrait"/>
          <w:cols w:equalWidth="0" w:num="1">
            <w:col w:w="11240"/>
          </w:cols>
          <w:pgMar w:left="320" w:top="1137" w:right="339" w:bottom="1440" w:gutter="0" w:footer="0" w:header="0"/>
        </w:sectPr>
      </w:pPr>
    </w:p>
    <w:bookmarkStart w:id="72" w:name="page73"/>
    <w:bookmarkEnd w:id="72"/>
    <w:tbl>
      <w:tblPr>
        <w:tblLayout w:type="fixed"/>
        <w:tblInd w:w="660" w:type="dxa"/>
        <w:tblCellMar>
          <w:top w:w="0" w:type="dxa"/>
          <w:left w:w="0" w:type="dxa"/>
          <w:bottom w:w="0" w:type="dxa"/>
          <w:right w:w="0" w:type="dxa"/>
        </w:tblCellMar>
      </w:tblPr>
      <w:tr>
        <w:trPr>
          <w:trHeight w:val="243"/>
        </w:trPr>
        <w:tc>
          <w:tcPr>
            <w:tcW w:w="2800" w:type="dxa"/>
            <w:vAlign w:val="bottom"/>
            <w:tcBorders>
              <w:top w:val="single" w:sz="8" w:color="DBDBDB"/>
            </w:tcBorders>
            <w:shd w:val="clear" w:color="auto" w:fill="E7ECF0"/>
          </w:tcPr>
          <w:p>
            <w:pPr>
              <w:ind w:left="20"/>
              <w:spacing w:after="0"/>
              <w:rPr>
                <w:sz w:val="20"/>
                <w:szCs w:val="20"/>
                <w:color w:val="auto"/>
              </w:rPr>
            </w:pPr>
            <w:r>
              <w:rPr>
                <w:rFonts w:ascii="Arial" w:cs="Arial" w:eastAsia="Arial" w:hAnsi="Arial"/>
                <w:sz w:val="18"/>
                <w:szCs w:val="18"/>
                <w:color w:val="auto"/>
              </w:rPr>
              <w:t>Director elections (contested)</w:t>
            </w:r>
          </w:p>
        </w:tc>
        <w:tc>
          <w:tcPr>
            <w:tcW w:w="3560" w:type="dxa"/>
            <w:vAlign w:val="bottom"/>
            <w:tcBorders>
              <w:top w:val="single" w:sz="8" w:color="DBDBDB"/>
            </w:tcBorders>
            <w:shd w:val="clear" w:color="auto" w:fill="E7ECF0"/>
          </w:tcPr>
          <w:p>
            <w:pPr>
              <w:ind w:left="420"/>
              <w:spacing w:after="0"/>
              <w:rPr>
                <w:sz w:val="20"/>
                <w:szCs w:val="20"/>
                <w:color w:val="auto"/>
              </w:rPr>
            </w:pPr>
            <w:r>
              <w:rPr>
                <w:rFonts w:ascii="Arial" w:cs="Arial" w:eastAsia="Arial" w:hAnsi="Arial"/>
                <w:sz w:val="18"/>
                <w:szCs w:val="18"/>
                <w:color w:val="auto"/>
              </w:rPr>
              <w:t>Majority of votes cast for and against</w:t>
            </w:r>
          </w:p>
        </w:tc>
        <w:tc>
          <w:tcPr>
            <w:tcW w:w="3320" w:type="dxa"/>
            <w:vAlign w:val="bottom"/>
            <w:tcBorders>
              <w:top w:val="single" w:sz="8" w:color="DBDBDB"/>
            </w:tcBorders>
            <w:shd w:val="clear" w:color="auto" w:fill="E7ECF0"/>
          </w:tcPr>
          <w:p>
            <w:pPr>
              <w:ind w:left="100"/>
              <w:spacing w:after="0"/>
              <w:rPr>
                <w:sz w:val="20"/>
                <w:szCs w:val="20"/>
                <w:color w:val="auto"/>
              </w:rPr>
            </w:pPr>
            <w:r>
              <w:rPr>
                <w:rFonts w:ascii="Arial" w:cs="Arial" w:eastAsia="Arial" w:hAnsi="Arial"/>
                <w:sz w:val="18"/>
                <w:szCs w:val="18"/>
                <w:color w:val="auto"/>
              </w:rPr>
              <w:t>Majority of votes cast for and against</w:t>
            </w:r>
          </w:p>
        </w:tc>
      </w:tr>
      <w:tr>
        <w:trPr>
          <w:trHeight w:val="256"/>
        </w:trPr>
        <w:tc>
          <w:tcPr>
            <w:tcW w:w="2800" w:type="dxa"/>
            <w:vAlign w:val="bottom"/>
            <w:tcBorders>
              <w:bottom w:val="single" w:sz="8" w:color="DBDBDB"/>
            </w:tcBorders>
          </w:tcPr>
          <w:p>
            <w:pPr>
              <w:ind w:left="20"/>
              <w:spacing w:after="0"/>
              <w:rPr>
                <w:sz w:val="20"/>
                <w:szCs w:val="20"/>
                <w:color w:val="auto"/>
              </w:rPr>
            </w:pPr>
            <w:r>
              <w:rPr>
                <w:rFonts w:ascii="Arial" w:cs="Arial" w:eastAsia="Arial" w:hAnsi="Arial"/>
                <w:sz w:val="18"/>
                <w:szCs w:val="18"/>
                <w:color w:val="auto"/>
              </w:rPr>
              <w:t>Removal of Directors</w:t>
            </w:r>
          </w:p>
        </w:tc>
        <w:tc>
          <w:tcPr>
            <w:tcW w:w="3560" w:type="dxa"/>
            <w:vAlign w:val="bottom"/>
            <w:tcBorders>
              <w:bottom w:val="single" w:sz="8" w:color="DBDBDB"/>
            </w:tcBorders>
          </w:tcPr>
          <w:p>
            <w:pPr>
              <w:ind w:left="420"/>
              <w:spacing w:after="0"/>
              <w:rPr>
                <w:sz w:val="20"/>
                <w:szCs w:val="20"/>
                <w:color w:val="auto"/>
              </w:rPr>
            </w:pPr>
            <w:r>
              <w:rPr>
                <w:rFonts w:ascii="Arial" w:cs="Arial" w:eastAsia="Arial" w:hAnsi="Arial"/>
                <w:sz w:val="18"/>
                <w:szCs w:val="18"/>
                <w:color w:val="auto"/>
              </w:rPr>
              <w:t>Majority of outstanding shares</w:t>
            </w:r>
          </w:p>
        </w:tc>
        <w:tc>
          <w:tcPr>
            <w:tcW w:w="3320" w:type="dxa"/>
            <w:vAlign w:val="bottom"/>
            <w:tcBorders>
              <w:bottom w:val="single" w:sz="8" w:color="DBDBDB"/>
            </w:tcBorders>
          </w:tcPr>
          <w:p>
            <w:pPr>
              <w:ind w:left="100"/>
              <w:spacing w:after="0" w:line="256" w:lineRule="exact"/>
              <w:rPr>
                <w:sz w:val="20"/>
                <w:szCs w:val="20"/>
                <w:color w:val="auto"/>
              </w:rPr>
            </w:pPr>
            <w:r>
              <w:rPr>
                <w:rFonts w:ascii="Arial" w:cs="Arial" w:eastAsia="Arial" w:hAnsi="Arial"/>
                <w:sz w:val="18"/>
                <w:szCs w:val="18"/>
                <w:color w:val="auto"/>
              </w:rPr>
              <w:t>Majority of outstanding shares</w:t>
            </w:r>
            <w:r>
              <w:rPr>
                <w:rFonts w:ascii="Arial" w:cs="Arial" w:eastAsia="Arial" w:hAnsi="Arial"/>
                <w:sz w:val="23"/>
                <w:szCs w:val="23"/>
                <w:color w:val="auto"/>
                <w:vertAlign w:val="superscript"/>
              </w:rPr>
              <w:t>1, 2</w:t>
            </w:r>
          </w:p>
        </w:tc>
      </w:tr>
      <w:tr>
        <w:trPr>
          <w:trHeight w:val="264"/>
        </w:trPr>
        <w:tc>
          <w:tcPr>
            <w:tcW w:w="2800" w:type="dxa"/>
            <w:vAlign w:val="bottom"/>
            <w:shd w:val="clear" w:color="auto" w:fill="E7ECF0"/>
          </w:tcPr>
          <w:p>
            <w:pPr>
              <w:ind w:left="20"/>
              <w:spacing w:after="0"/>
              <w:rPr>
                <w:sz w:val="20"/>
                <w:szCs w:val="20"/>
                <w:color w:val="auto"/>
              </w:rPr>
            </w:pPr>
            <w:r>
              <w:rPr>
                <w:rFonts w:ascii="Arial" w:cs="Arial" w:eastAsia="Arial" w:hAnsi="Arial"/>
                <w:sz w:val="18"/>
                <w:szCs w:val="18"/>
                <w:color w:val="auto"/>
              </w:rPr>
              <w:t>Other Matters</w:t>
            </w:r>
          </w:p>
        </w:tc>
        <w:tc>
          <w:tcPr>
            <w:tcW w:w="3560" w:type="dxa"/>
            <w:vAlign w:val="bottom"/>
            <w:shd w:val="clear" w:color="auto" w:fill="E7ECF0"/>
          </w:tcPr>
          <w:p>
            <w:pPr>
              <w:ind w:left="420"/>
              <w:spacing w:after="0"/>
              <w:rPr>
                <w:sz w:val="20"/>
                <w:szCs w:val="20"/>
                <w:color w:val="auto"/>
              </w:rPr>
            </w:pPr>
            <w:r>
              <w:rPr>
                <w:rFonts w:ascii="Arial" w:cs="Arial" w:eastAsia="Arial" w:hAnsi="Arial"/>
                <w:sz w:val="18"/>
                <w:szCs w:val="18"/>
                <w:color w:val="auto"/>
              </w:rPr>
              <w:t>Majority of shares present and entitled</w:t>
            </w:r>
          </w:p>
        </w:tc>
        <w:tc>
          <w:tcPr>
            <w:tcW w:w="3320" w:type="dxa"/>
            <w:vAlign w:val="bottom"/>
            <w:shd w:val="clear" w:color="auto" w:fill="E7ECF0"/>
          </w:tcPr>
          <w:p>
            <w:pPr>
              <w:ind w:left="100"/>
              <w:spacing w:after="0"/>
              <w:rPr>
                <w:sz w:val="20"/>
                <w:szCs w:val="20"/>
                <w:color w:val="auto"/>
              </w:rPr>
            </w:pPr>
            <w:r>
              <w:rPr>
                <w:rFonts w:ascii="Arial" w:cs="Arial" w:eastAsia="Arial" w:hAnsi="Arial"/>
                <w:sz w:val="18"/>
                <w:szCs w:val="18"/>
                <w:color w:val="auto"/>
              </w:rPr>
              <w:t>Majority of votes cast for and against</w:t>
            </w:r>
          </w:p>
        </w:tc>
      </w:tr>
      <w:tr>
        <w:trPr>
          <w:trHeight w:val="148"/>
        </w:trPr>
        <w:tc>
          <w:tcPr>
            <w:tcW w:w="2800" w:type="dxa"/>
            <w:vAlign w:val="bottom"/>
            <w:shd w:val="clear" w:color="auto" w:fill="E7ECF0"/>
          </w:tcPr>
          <w:p>
            <w:pPr>
              <w:spacing w:after="0"/>
              <w:rPr>
                <w:sz w:val="12"/>
                <w:szCs w:val="12"/>
                <w:color w:val="auto"/>
              </w:rPr>
            </w:pPr>
          </w:p>
        </w:tc>
        <w:tc>
          <w:tcPr>
            <w:tcW w:w="3560" w:type="dxa"/>
            <w:vAlign w:val="bottom"/>
            <w:shd w:val="clear" w:color="auto" w:fill="E7ECF0"/>
          </w:tcPr>
          <w:p>
            <w:pPr>
              <w:ind w:left="420"/>
              <w:spacing w:after="0" w:line="149" w:lineRule="exact"/>
              <w:rPr>
                <w:sz w:val="20"/>
                <w:szCs w:val="20"/>
                <w:color w:val="auto"/>
              </w:rPr>
            </w:pPr>
            <w:r>
              <w:rPr>
                <w:rFonts w:ascii="Arial" w:cs="Arial" w:eastAsia="Arial" w:hAnsi="Arial"/>
                <w:sz w:val="17"/>
                <w:szCs w:val="17"/>
                <w:color w:val="auto"/>
              </w:rPr>
              <w:t>to vote at the meeting</w:t>
            </w:r>
          </w:p>
        </w:tc>
        <w:tc>
          <w:tcPr>
            <w:tcW w:w="3320" w:type="dxa"/>
            <w:vAlign w:val="bottom"/>
            <w:shd w:val="clear" w:color="auto" w:fill="E7ECF0"/>
          </w:tcPr>
          <w:p>
            <w:pPr>
              <w:spacing w:after="0"/>
              <w:rPr>
                <w:sz w:val="12"/>
                <w:szCs w:val="12"/>
                <w:color w:val="auto"/>
              </w:rPr>
            </w:pPr>
          </w:p>
        </w:tc>
      </w:tr>
    </w:tbl>
    <w:p>
      <w:pPr>
        <w:spacing w:after="0" w:line="184" w:lineRule="exact"/>
        <w:rPr>
          <w:sz w:val="20"/>
          <w:szCs w:val="20"/>
          <w:color w:val="auto"/>
        </w:rPr>
      </w:pPr>
    </w:p>
    <w:p>
      <w:pPr>
        <w:ind w:left="1080" w:hanging="424"/>
        <w:spacing w:after="0"/>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Minimum vote required by Delaware General Corporation Law.</w:t>
      </w:r>
    </w:p>
    <w:p>
      <w:pPr>
        <w:spacing w:after="0" w:line="117" w:lineRule="exact"/>
        <w:rPr>
          <w:rFonts w:ascii="Arial" w:cs="Arial" w:eastAsia="Arial" w:hAnsi="Arial"/>
          <w:sz w:val="18"/>
          <w:szCs w:val="18"/>
          <w:color w:val="auto"/>
        </w:rPr>
      </w:pPr>
    </w:p>
    <w:p>
      <w:pPr>
        <w:ind w:left="1080" w:hanging="424"/>
        <w:spacing w:after="0"/>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Standard based on outstanding shares rather than majority of votes cast for and against.</w:t>
      </w:r>
    </w:p>
    <w:p>
      <w:pPr>
        <w:spacing w:after="0" w:line="27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Text of Amendments</w:t>
      </w:r>
    </w:p>
    <w:p>
      <w:pPr>
        <w:spacing w:after="0" w:line="258" w:lineRule="exact"/>
        <w:rPr>
          <w:sz w:val="20"/>
          <w:szCs w:val="20"/>
          <w:color w:val="auto"/>
        </w:rPr>
      </w:pPr>
    </w:p>
    <w:p>
      <w:pPr>
        <w:jc w:val="both"/>
        <w:spacing w:after="0" w:line="276" w:lineRule="auto"/>
        <w:rPr>
          <w:sz w:val="20"/>
          <w:szCs w:val="20"/>
          <w:color w:val="auto"/>
        </w:rPr>
      </w:pPr>
      <w:r>
        <w:rPr>
          <w:rFonts w:ascii="Arial" w:cs="Arial" w:eastAsia="Arial" w:hAnsi="Arial"/>
          <w:sz w:val="20"/>
          <w:szCs w:val="20"/>
          <w:color w:val="auto"/>
        </w:rPr>
        <w:t>Articles Sixth and Tenth of the Company’s Certificate of Incorporation contain the provisions that will be affected if this proposal is adopted. Appendix A to this proxy statement shows the proposed changes to Articles Sixth and Tenth, with deletions indicated by strikeouts and additions indicated by underlining.</w:t>
      </w:r>
    </w:p>
    <w:p>
      <w:pPr>
        <w:spacing w:after="0" w:line="19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Required Vote and Recommendation</w:t>
      </w:r>
    </w:p>
    <w:p>
      <w:pPr>
        <w:spacing w:after="0" w:line="272" w:lineRule="exact"/>
        <w:rPr>
          <w:sz w:val="20"/>
          <w:szCs w:val="20"/>
          <w:color w:val="auto"/>
        </w:rPr>
      </w:pPr>
    </w:p>
    <w:p>
      <w:pPr>
        <w:jc w:val="both"/>
        <w:spacing w:after="0" w:line="269" w:lineRule="auto"/>
        <w:rPr>
          <w:sz w:val="20"/>
          <w:szCs w:val="20"/>
          <w:color w:val="auto"/>
        </w:rPr>
      </w:pPr>
      <w:r>
        <w:rPr>
          <w:rFonts w:ascii="Arial" w:cs="Arial" w:eastAsia="Arial" w:hAnsi="Arial"/>
          <w:sz w:val="20"/>
          <w:szCs w:val="20"/>
          <w:color w:val="auto"/>
        </w:rPr>
        <w:t>Pursuant to Article Sixth of the Certificate of Incorporation, approval of this proposal requires the affirmative vote of two-thirds of the Company’s outstanding shares of common stock entitled to vote on this proposal. Abstentions and broker non-votes will have the same effect as votes “AGAINST” this proposal. The individuals named as proxies on the enclosed proxy card will vote your proxy “FOR” this proposal unless you instruct otherwise on the proxy.</w:t>
      </w:r>
    </w:p>
    <w:p>
      <w:pPr>
        <w:spacing w:after="0" w:line="197" w:lineRule="exact"/>
        <w:rPr>
          <w:sz w:val="20"/>
          <w:szCs w:val="20"/>
          <w:color w:val="auto"/>
        </w:rPr>
      </w:pPr>
    </w:p>
    <w:p>
      <w:pPr>
        <w:jc w:val="both"/>
        <w:spacing w:after="0" w:line="265" w:lineRule="auto"/>
        <w:rPr>
          <w:sz w:val="20"/>
          <w:szCs w:val="20"/>
          <w:color w:val="auto"/>
        </w:rPr>
      </w:pPr>
      <w:r>
        <w:rPr>
          <w:rFonts w:ascii="Arial" w:cs="Arial" w:eastAsia="Arial" w:hAnsi="Arial"/>
          <w:sz w:val="20"/>
          <w:szCs w:val="20"/>
          <w:color w:val="auto"/>
        </w:rPr>
        <w:t>If this proposal is approved by the Company’s stockholders, the Company will file a certificate of amendment of the Certificate of Incorporation to effect the Charter Amendments as set forth in Appendix A following the Annual Meeting, which amendment will become effective upon acceptance of the filing by the Secretary of State of the State of Delaware. If the proposal does not receive the requisite vote, the amendment will not be implemented and the current Certificate of Incorporation will continue to apply.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158750</wp:posOffset>
            </wp:positionV>
            <wp:extent cx="7166610" cy="60833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166610" cy="608330"/>
                    </a:xfrm>
                    <a:prstGeom prst="rect">
                      <a:avLst/>
                    </a:prstGeom>
                    <a:noFill/>
                  </pic:spPr>
                </pic:pic>
              </a:graphicData>
            </a:graphic>
          </wp:anchor>
        </w:drawing>
      </w:r>
    </w:p>
    <w:p>
      <w:pPr>
        <w:spacing w:after="0" w:line="274" w:lineRule="exact"/>
        <w:rPr>
          <w:sz w:val="20"/>
          <w:szCs w:val="20"/>
          <w:color w:val="auto"/>
        </w:rPr>
      </w:pPr>
    </w:p>
    <w:p>
      <w:pPr>
        <w:ind w:left="60" w:right="260"/>
        <w:spacing w:after="0" w:line="226" w:lineRule="auto"/>
        <w:rPr>
          <w:sz w:val="20"/>
          <w:szCs w:val="20"/>
          <w:color w:val="auto"/>
        </w:rPr>
      </w:pPr>
      <w:r>
        <w:rPr>
          <w:rFonts w:ascii="Arial" w:cs="Arial" w:eastAsia="Arial" w:hAnsi="Arial"/>
          <w:sz w:val="19"/>
          <w:szCs w:val="19"/>
          <w:b w:val="1"/>
          <w:bCs w:val="1"/>
          <w:color w:val="auto"/>
        </w:rPr>
        <w:t>THE BOARD UNANIMOUSLY RECOMMENDS THAT YOU VOTE “FOR” THE APPROVAL OF THE CHARTER AMENDMENTS TO REDUCE STOCKHOLDER VOTING THRESHOLDS. PROXIES RECEIVED BY THE BOARD WILL BE</w:t>
      </w:r>
    </w:p>
    <w:p>
      <w:pPr>
        <w:ind w:left="60" w:right="500"/>
        <w:spacing w:after="0" w:line="237" w:lineRule="auto"/>
        <w:rPr>
          <w:sz w:val="20"/>
          <w:szCs w:val="20"/>
          <w:color w:val="auto"/>
        </w:rPr>
      </w:pPr>
      <w:r>
        <w:rPr>
          <w:rFonts w:ascii="Arial" w:cs="Arial" w:eastAsia="Arial" w:hAnsi="Arial"/>
          <w:sz w:val="20"/>
          <w:szCs w:val="20"/>
          <w:b w:val="1"/>
          <w:bCs w:val="1"/>
          <w:color w:val="auto"/>
        </w:rPr>
        <w:t>VOTED FOR THE AMENDMENT UNLESS STOCKHOLDERS SPECIFY IN THEIR PROXY A VOTE OF “AGAINST” OR “ABSTAIN.”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288290</wp:posOffset>
            </wp:positionV>
            <wp:extent cx="7132320" cy="3511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132320" cy="3511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20"/>
        <w:spacing w:after="0"/>
        <w:tabs>
          <w:tab w:leader="none" w:pos="440" w:val="left"/>
        </w:tabs>
        <w:rPr>
          <w:sz w:val="20"/>
          <w:szCs w:val="20"/>
          <w:color w:val="auto"/>
        </w:rPr>
      </w:pPr>
      <w:r>
        <w:rPr>
          <w:rFonts w:ascii="Arial" w:cs="Arial" w:eastAsia="Arial" w:hAnsi="Arial"/>
          <w:sz w:val="18"/>
          <w:szCs w:val="18"/>
          <w:color w:val="auto"/>
        </w:rPr>
        <w:t>70</w:t>
        <w:tab/>
        <w:t>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253365</wp:posOffset>
            </wp:positionV>
            <wp:extent cx="7157720" cy="425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16" w:right="339" w:bottom="1440" w:gutter="0" w:footer="0" w:header="0"/>
        </w:sectPr>
      </w:pPr>
    </w:p>
    <w:bookmarkStart w:id="73" w:name="page74"/>
    <w:bookmarkEnd w:id="73"/>
    <w:p>
      <w:pPr>
        <w:ind w:left="4920"/>
        <w:spacing w:after="0"/>
        <w:rPr>
          <w:sz w:val="20"/>
          <w:szCs w:val="20"/>
          <w:color w:val="auto"/>
        </w:rPr>
      </w:pPr>
      <w:r>
        <w:rPr>
          <w:rFonts w:ascii="Arial" w:cs="Arial" w:eastAsia="Arial" w:hAnsi="Arial"/>
          <w:sz w:val="22"/>
          <w:szCs w:val="22"/>
          <w:b w:val="1"/>
          <w:bCs w:val="1"/>
          <w:color w:val="auto"/>
        </w:rPr>
        <w:t>PROPOSAL 4</w:t>
      </w:r>
    </w:p>
    <w:p>
      <w:pPr>
        <w:spacing w:after="0" w:line="39" w:lineRule="exact"/>
        <w:rPr>
          <w:sz w:val="20"/>
          <w:szCs w:val="20"/>
          <w:color w:val="auto"/>
        </w:rPr>
      </w:pPr>
    </w:p>
    <w:p>
      <w:pPr>
        <w:ind w:left="3880"/>
        <w:spacing w:after="0"/>
        <w:rPr>
          <w:sz w:val="20"/>
          <w:szCs w:val="20"/>
          <w:color w:val="auto"/>
        </w:rPr>
      </w:pPr>
      <w:r>
        <w:rPr>
          <w:rFonts w:ascii="Arial" w:cs="Arial" w:eastAsia="Arial" w:hAnsi="Arial"/>
          <w:sz w:val="22"/>
          <w:szCs w:val="22"/>
          <w:b w:val="1"/>
          <w:bCs w:val="1"/>
          <w:color w:val="auto"/>
        </w:rPr>
        <w:t>RATIFICATION OF SELECTION OF</w:t>
      </w:r>
    </w:p>
    <w:p>
      <w:pPr>
        <w:spacing w:after="0" w:line="17" w:lineRule="exact"/>
        <w:rPr>
          <w:sz w:val="20"/>
          <w:szCs w:val="20"/>
          <w:color w:val="auto"/>
        </w:rPr>
      </w:pPr>
    </w:p>
    <w:p>
      <w:pPr>
        <w:ind w:left="2720"/>
        <w:spacing w:after="0"/>
        <w:rPr>
          <w:sz w:val="20"/>
          <w:szCs w:val="20"/>
          <w:color w:val="auto"/>
        </w:rPr>
      </w:pPr>
      <w:r>
        <w:rPr>
          <w:rFonts w:ascii="Arial" w:cs="Arial" w:eastAsia="Arial" w:hAnsi="Arial"/>
          <w:sz w:val="22"/>
          <w:szCs w:val="22"/>
          <w:b w:val="1"/>
          <w:bCs w:val="1"/>
          <w:color w:val="auto"/>
        </w:rPr>
        <w:t>INDEPENDENT REGISTERED PUBLIC ACCOUNTING FIRM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1530985</wp:posOffset>
            </wp:positionH>
            <wp:positionV relativeFrom="paragraph">
              <wp:posOffset>177800</wp:posOffset>
            </wp:positionV>
            <wp:extent cx="4097655" cy="79756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4097655" cy="797560"/>
                    </a:xfrm>
                    <a:prstGeom prst="rect">
                      <a:avLst/>
                    </a:prstGeom>
                    <a:noFill/>
                  </pic:spPr>
                </pic:pic>
              </a:graphicData>
            </a:graphic>
          </wp:anchor>
        </w:drawing>
      </w:r>
    </w:p>
    <w:p>
      <w:pPr>
        <w:spacing w:after="0" w:line="268" w:lineRule="exact"/>
        <w:rPr>
          <w:sz w:val="20"/>
          <w:szCs w:val="20"/>
          <w:color w:val="auto"/>
        </w:rPr>
      </w:pPr>
    </w:p>
    <w:p>
      <w:pPr>
        <w:jc w:val="center"/>
        <w:ind w:left="1700"/>
        <w:spacing w:after="0"/>
        <w:rPr>
          <w:sz w:val="20"/>
          <w:szCs w:val="20"/>
          <w:color w:val="auto"/>
        </w:rPr>
      </w:pPr>
      <w:r>
        <w:rPr>
          <w:rFonts w:ascii="Arial" w:cs="Arial" w:eastAsia="Arial" w:hAnsi="Arial"/>
          <w:sz w:val="18"/>
          <w:szCs w:val="18"/>
          <w:b w:val="1"/>
          <w:bCs w:val="1"/>
          <w:color w:val="06185F"/>
        </w:rPr>
        <w:t>The Board recommends that you vote</w:t>
      </w:r>
    </w:p>
    <w:p>
      <w:pPr>
        <w:spacing w:after="0" w:line="10" w:lineRule="exact"/>
        <w:rPr>
          <w:sz w:val="20"/>
          <w:szCs w:val="20"/>
          <w:color w:val="auto"/>
        </w:rPr>
      </w:pPr>
    </w:p>
    <w:p>
      <w:pPr>
        <w:jc w:val="center"/>
        <w:ind w:left="1700"/>
        <w:spacing w:after="0"/>
        <w:rPr>
          <w:sz w:val="20"/>
          <w:szCs w:val="20"/>
          <w:color w:val="auto"/>
        </w:rPr>
      </w:pPr>
      <w:r>
        <w:rPr>
          <w:rFonts w:ascii="Arial" w:cs="Arial" w:eastAsia="Arial" w:hAnsi="Arial"/>
          <w:sz w:val="32"/>
          <w:szCs w:val="32"/>
          <w:b w:val="1"/>
          <w:bCs w:val="1"/>
          <w:color w:val="auto"/>
        </w:rPr>
        <w:t>“For”</w:t>
      </w:r>
    </w:p>
    <w:p>
      <w:pPr>
        <w:jc w:val="center"/>
        <w:ind w:left="1700"/>
        <w:spacing w:after="0" w:line="234" w:lineRule="auto"/>
        <w:rPr>
          <w:sz w:val="20"/>
          <w:szCs w:val="20"/>
          <w:color w:val="auto"/>
        </w:rPr>
      </w:pPr>
      <w:r>
        <w:rPr>
          <w:rFonts w:ascii="Arial" w:cs="Arial" w:eastAsia="Arial" w:hAnsi="Arial"/>
          <w:sz w:val="18"/>
          <w:szCs w:val="18"/>
          <w:b w:val="1"/>
          <w:bCs w:val="1"/>
          <w:color w:val="06185F"/>
        </w:rPr>
        <w:t>ratification of the selection of</w:t>
      </w:r>
    </w:p>
    <w:p>
      <w:pPr>
        <w:jc w:val="center"/>
        <w:ind w:left="1700"/>
        <w:spacing w:after="0" w:line="235" w:lineRule="auto"/>
        <w:rPr>
          <w:sz w:val="20"/>
          <w:szCs w:val="20"/>
          <w:color w:val="auto"/>
        </w:rPr>
      </w:pPr>
      <w:r>
        <w:rPr>
          <w:rFonts w:ascii="Arial" w:cs="Arial" w:eastAsia="Arial" w:hAnsi="Arial"/>
          <w:sz w:val="18"/>
          <w:szCs w:val="18"/>
          <w:b w:val="1"/>
          <w:bCs w:val="1"/>
          <w:color w:val="06185F"/>
        </w:rPr>
        <w:t>PricewaterhouseCoopers, LLP as our independent</w:t>
      </w:r>
    </w:p>
    <w:p>
      <w:pPr>
        <w:spacing w:after="0" w:line="1" w:lineRule="exact"/>
        <w:rPr>
          <w:sz w:val="20"/>
          <w:szCs w:val="20"/>
          <w:color w:val="auto"/>
        </w:rPr>
      </w:pPr>
    </w:p>
    <w:p>
      <w:pPr>
        <w:jc w:val="center"/>
        <w:ind w:left="1700"/>
        <w:spacing w:after="0"/>
        <w:rPr>
          <w:sz w:val="20"/>
          <w:szCs w:val="20"/>
          <w:color w:val="auto"/>
        </w:rPr>
      </w:pPr>
      <w:r>
        <w:rPr>
          <w:rFonts w:ascii="Arial" w:cs="Arial" w:eastAsia="Arial" w:hAnsi="Arial"/>
          <w:sz w:val="18"/>
          <w:szCs w:val="18"/>
          <w:b w:val="1"/>
          <w:bCs w:val="1"/>
          <w:color w:val="06185F"/>
        </w:rPr>
        <w:t>registered accounting firm</w:t>
      </w:r>
    </w:p>
    <w:p>
      <w:pPr>
        <w:spacing w:after="0" w:line="380" w:lineRule="exact"/>
        <w:rPr>
          <w:sz w:val="20"/>
          <w:szCs w:val="20"/>
          <w:color w:val="auto"/>
        </w:rPr>
      </w:pPr>
    </w:p>
    <w:p>
      <w:pPr>
        <w:jc w:val="both"/>
        <w:spacing w:after="0" w:line="262" w:lineRule="auto"/>
        <w:rPr>
          <w:sz w:val="20"/>
          <w:szCs w:val="20"/>
          <w:color w:val="auto"/>
        </w:rPr>
      </w:pPr>
      <w:r>
        <w:rPr>
          <w:rFonts w:ascii="Arial" w:cs="Arial" w:eastAsia="Arial" w:hAnsi="Arial"/>
          <w:sz w:val="20"/>
          <w:szCs w:val="20"/>
          <w:color w:val="auto"/>
        </w:rPr>
        <w:t>PricewaterhouseCoopers LLP, an independent registered public accounting firm, performed an audit of our consolidated financial statements for the fiscal year ended June 30, 2024 and the effectiveness of our internal control over financial reporting as of June 30, 2024. The Audit Committee has selected PricewaterhouseCoopers LLP to serve as our independent registered public accounting firm for the current fiscal year, and the Audit Committee is presenting this selection to stockholders for ratification. Representatives of PricewaterhouseCoopers, LLP are expected to be present at the Annual Meeting with the opportunity to make a statement if they desire to do so and to be available to respond to appropriate questions.</w:t>
      </w:r>
    </w:p>
    <w:p>
      <w:pPr>
        <w:spacing w:after="0" w:line="222" w:lineRule="exact"/>
        <w:rPr>
          <w:sz w:val="20"/>
          <w:szCs w:val="20"/>
          <w:color w:val="auto"/>
        </w:rPr>
      </w:pPr>
    </w:p>
    <w:p>
      <w:pPr>
        <w:jc w:val="both"/>
        <w:spacing w:after="0" w:line="262" w:lineRule="auto"/>
        <w:rPr>
          <w:sz w:val="20"/>
          <w:szCs w:val="20"/>
          <w:color w:val="auto"/>
        </w:rPr>
      </w:pPr>
      <w:r>
        <w:rPr>
          <w:rFonts w:ascii="Arial" w:cs="Arial" w:eastAsia="Arial" w:hAnsi="Arial"/>
          <w:sz w:val="20"/>
          <w:szCs w:val="20"/>
          <w:color w:val="auto"/>
        </w:rPr>
        <w:t>If prior to the Annual Meeting PricewaterhouseCoopers, LLP declines to act as our independent registered public accountant or the Audit Committee decides not to use PricewaterhouseCoopers LLP as our independent registered public accountant, the Audit Committee will appoint another independent registered public accounting firm. The Audit Committee will present any new independent registered public accounting firm for the stockholders to ratify at the Annual Meeting. If the stockholders do not ratify the engagement of PricewaterhouseCoopers LLP at the Annual Meeting, then the Audit Committee will reconsider its selection of PricewaterhouseCoopers LLP. Even if the appointment of PricewaterhouseCoopers LLP is ratified, the Audit Committee in its discretion may direct the appointment of a different independent auditor at any time during the year if it determines that such a change would be in the best interests of the Company and our stockholders.</w:t>
      </w:r>
    </w:p>
    <w:p>
      <w:pPr>
        <w:spacing w:after="0" w:line="206" w:lineRule="exact"/>
        <w:rPr>
          <w:sz w:val="20"/>
          <w:szCs w:val="20"/>
          <w:color w:val="auto"/>
        </w:rPr>
      </w:pPr>
    </w:p>
    <w:p>
      <w:pPr>
        <w:jc w:val="both"/>
        <w:spacing w:after="0" w:line="268" w:lineRule="auto"/>
        <w:rPr>
          <w:sz w:val="20"/>
          <w:szCs w:val="20"/>
          <w:color w:val="auto"/>
        </w:rPr>
      </w:pPr>
      <w:r>
        <w:rPr>
          <w:rFonts w:ascii="Arial" w:cs="Arial" w:eastAsia="Arial" w:hAnsi="Arial"/>
          <w:sz w:val="20"/>
          <w:szCs w:val="20"/>
          <w:color w:val="auto"/>
        </w:rPr>
        <w:t>To ratify the selection of PricewaterhouseCoopers LLP as our independent registered public accounting firm for the fiscal year ending June 30, 2025, a majority of the shares present and entitled to vote must vote to approve. For purposes of determining the vote regarding this proposal, abstentions will have the same impact as a no vote. Unless you specify otherwise in your proxy, the persons you have appointed will vote your shares “For” ratification of the selection of PricewaterhouseCoopers LLP as our independent registered public accounting firm for the fiscal year ending June 30, 2025.</w:t>
      </w:r>
    </w:p>
    <w:p>
      <w:pPr>
        <w:spacing w:after="0" w:line="19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Audit and Non-Audit Fees</w:t>
      </w:r>
    </w:p>
    <w:p>
      <w:pPr>
        <w:spacing w:after="0" w:line="258" w:lineRule="exact"/>
        <w:rPr>
          <w:sz w:val="20"/>
          <w:szCs w:val="20"/>
          <w:color w:val="auto"/>
        </w:rPr>
      </w:pPr>
    </w:p>
    <w:p>
      <w:pPr>
        <w:jc w:val="both"/>
        <w:spacing w:after="0" w:line="268" w:lineRule="auto"/>
        <w:rPr>
          <w:sz w:val="20"/>
          <w:szCs w:val="20"/>
          <w:color w:val="auto"/>
        </w:rPr>
      </w:pPr>
      <w:r>
        <w:rPr>
          <w:rFonts w:ascii="Arial" w:cs="Arial" w:eastAsia="Arial" w:hAnsi="Arial"/>
          <w:sz w:val="20"/>
          <w:szCs w:val="20"/>
          <w:color w:val="auto"/>
        </w:rPr>
        <w:t>The following table presents fees for professional audit services rendered by PricewaterhouseCoopers LLP for the audit of the Company’s annual consolidated financial statements for the fiscal years ended June 30, 2024 and 2023, and reviews of the financial statements included in the Company’s Forms 10-Q for those fiscal years, the audit of the Company’s assessment and effectiveness of internal control over financial reporting under Section 404 of the Sarbanes-Oxley Act of 2002, and fees for other services rendered during those periods.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21590</wp:posOffset>
            </wp:positionV>
            <wp:extent cx="7132320" cy="3511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132320" cy="351155"/>
                    </a:xfrm>
                    <a:prstGeom prst="rect">
                      <a:avLst/>
                    </a:prstGeom>
                    <a:noFill/>
                  </pic:spPr>
                </pic:pic>
              </a:graphicData>
            </a:graphic>
          </wp:anchor>
        </w:drawing>
      </w:r>
    </w:p>
    <w:p>
      <w:pPr>
        <w:spacing w:after="0" w:line="224" w:lineRule="exact"/>
        <w:rPr>
          <w:sz w:val="20"/>
          <w:szCs w:val="20"/>
          <w:color w:val="auto"/>
        </w:rPr>
      </w:pPr>
    </w:p>
    <w:p>
      <w:pPr>
        <w:ind w:left="9000"/>
        <w:spacing w:after="0"/>
        <w:tabs>
          <w:tab w:leader="none" w:pos="11000" w:val="left"/>
        </w:tabs>
        <w:rPr>
          <w:sz w:val="20"/>
          <w:szCs w:val="20"/>
          <w:color w:val="auto"/>
        </w:rPr>
      </w:pPr>
      <w:r>
        <w:rPr>
          <w:rFonts w:ascii="Arial" w:cs="Arial" w:eastAsia="Arial" w:hAnsi="Arial"/>
          <w:sz w:val="18"/>
          <w:szCs w:val="18"/>
          <w:color w:val="auto"/>
        </w:rPr>
        <w:t>2024 Proxy Statement</w:t>
      </w:r>
      <w:r>
        <w:rPr>
          <w:sz w:val="20"/>
          <w:szCs w:val="20"/>
          <w:color w:val="auto"/>
        </w:rPr>
        <w:tab/>
      </w:r>
      <w:r>
        <w:rPr>
          <w:rFonts w:ascii="Arial" w:cs="Arial" w:eastAsia="Arial" w:hAnsi="Arial"/>
          <w:sz w:val="17"/>
          <w:szCs w:val="17"/>
          <w:color w:val="1E3767"/>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262255</wp:posOffset>
            </wp:positionV>
            <wp:extent cx="7157720" cy="425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7" w:right="339" w:bottom="1440" w:gutter="0" w:footer="0" w:header="0"/>
        </w:sectPr>
      </w:pPr>
    </w:p>
    <w:bookmarkStart w:id="74" w:name="page75"/>
    <w:bookmarkEnd w:id="74"/>
    <w:tbl>
      <w:tblPr>
        <w:tblLayout w:type="fixed"/>
        <w:tblInd w:w="2660" w:type="dxa"/>
        <w:tblCellMar>
          <w:top w:w="0" w:type="dxa"/>
          <w:left w:w="0" w:type="dxa"/>
          <w:bottom w:w="0" w:type="dxa"/>
          <w:right w:w="0" w:type="dxa"/>
        </w:tblCellMar>
      </w:tblPr>
      <w:tr>
        <w:trPr>
          <w:trHeight w:val="230"/>
        </w:trPr>
        <w:tc>
          <w:tcPr>
            <w:tcW w:w="2660" w:type="dxa"/>
            <w:vAlign w:val="bottom"/>
            <w:shd w:val="clear" w:color="auto" w:fill="E8F7F7"/>
          </w:tcPr>
          <w:p>
            <w:pPr>
              <w:spacing w:after="0"/>
              <w:rPr>
                <w:sz w:val="19"/>
                <w:szCs w:val="19"/>
                <w:color w:val="auto"/>
              </w:rPr>
            </w:pPr>
          </w:p>
        </w:tc>
        <w:tc>
          <w:tcPr>
            <w:tcW w:w="2020" w:type="dxa"/>
            <w:vAlign w:val="bottom"/>
            <w:gridSpan w:val="3"/>
            <w:shd w:val="clear" w:color="auto" w:fill="E8F7F7"/>
          </w:tcPr>
          <w:p>
            <w:pPr>
              <w:jc w:val="right"/>
              <w:ind w:right="900"/>
              <w:spacing w:after="0"/>
              <w:rPr>
                <w:sz w:val="20"/>
                <w:szCs w:val="20"/>
                <w:color w:val="auto"/>
              </w:rPr>
            </w:pPr>
            <w:r>
              <w:rPr>
                <w:rFonts w:ascii="Arial" w:cs="Arial" w:eastAsia="Arial" w:hAnsi="Arial"/>
                <w:sz w:val="20"/>
                <w:szCs w:val="20"/>
                <w:b w:val="1"/>
                <w:bCs w:val="1"/>
                <w:color w:val="auto"/>
              </w:rPr>
              <w:t>2024</w:t>
            </w:r>
          </w:p>
        </w:tc>
        <w:tc>
          <w:tcPr>
            <w:tcW w:w="1260" w:type="dxa"/>
            <w:vAlign w:val="bottom"/>
            <w:gridSpan w:val="3"/>
            <w:shd w:val="clear" w:color="auto" w:fill="E8F7F7"/>
          </w:tcPr>
          <w:p>
            <w:pPr>
              <w:jc w:val="right"/>
              <w:ind w:right="520"/>
              <w:spacing w:after="0"/>
              <w:rPr>
                <w:sz w:val="20"/>
                <w:szCs w:val="20"/>
                <w:color w:val="auto"/>
              </w:rPr>
            </w:pPr>
            <w:r>
              <w:rPr>
                <w:rFonts w:ascii="Arial" w:cs="Arial" w:eastAsia="Arial" w:hAnsi="Arial"/>
                <w:sz w:val="20"/>
                <w:szCs w:val="20"/>
                <w:b w:val="1"/>
                <w:bCs w:val="1"/>
                <w:color w:val="auto"/>
              </w:rPr>
              <w:t>2023</w:t>
            </w:r>
          </w:p>
        </w:tc>
      </w:tr>
      <w:tr>
        <w:trPr>
          <w:trHeight w:val="48"/>
        </w:trPr>
        <w:tc>
          <w:tcPr>
            <w:tcW w:w="2660" w:type="dxa"/>
            <w:vAlign w:val="bottom"/>
            <w:tcBorders>
              <w:top w:val="single" w:sz="8" w:color="E8F7F7"/>
            </w:tcBorders>
            <w:shd w:val="clear" w:color="auto" w:fill="E8F7F7"/>
          </w:tcPr>
          <w:p>
            <w:pPr>
              <w:spacing w:after="0"/>
              <w:rPr>
                <w:sz w:val="4"/>
                <w:szCs w:val="4"/>
                <w:color w:val="auto"/>
              </w:rPr>
            </w:pPr>
          </w:p>
        </w:tc>
        <w:tc>
          <w:tcPr>
            <w:tcW w:w="680" w:type="dxa"/>
            <w:vAlign w:val="bottom"/>
            <w:tcBorders>
              <w:top w:val="single" w:sz="8" w:color="E8F7F7"/>
            </w:tcBorders>
            <w:shd w:val="clear" w:color="auto" w:fill="E8F7F7"/>
          </w:tcPr>
          <w:p>
            <w:pPr>
              <w:spacing w:after="0"/>
              <w:rPr>
                <w:sz w:val="4"/>
                <w:szCs w:val="4"/>
                <w:color w:val="auto"/>
              </w:rPr>
            </w:pPr>
          </w:p>
        </w:tc>
        <w:tc>
          <w:tcPr>
            <w:tcW w:w="440" w:type="dxa"/>
            <w:vAlign w:val="bottom"/>
            <w:tcBorders>
              <w:top w:val="single" w:sz="8" w:color="auto"/>
            </w:tcBorders>
            <w:shd w:val="clear" w:color="auto" w:fill="E8F7F7"/>
          </w:tcPr>
          <w:p>
            <w:pPr>
              <w:spacing w:after="0"/>
              <w:rPr>
                <w:sz w:val="4"/>
                <w:szCs w:val="4"/>
                <w:color w:val="auto"/>
              </w:rPr>
            </w:pPr>
          </w:p>
        </w:tc>
        <w:tc>
          <w:tcPr>
            <w:tcW w:w="900" w:type="dxa"/>
            <w:vAlign w:val="bottom"/>
            <w:tcBorders>
              <w:top w:val="single" w:sz="8" w:color="E8F7F7"/>
            </w:tcBorders>
            <w:shd w:val="clear" w:color="auto" w:fill="E8F7F7"/>
          </w:tcPr>
          <w:p>
            <w:pPr>
              <w:spacing w:after="0"/>
              <w:rPr>
                <w:sz w:val="4"/>
                <w:szCs w:val="4"/>
                <w:color w:val="auto"/>
              </w:rPr>
            </w:pPr>
          </w:p>
        </w:tc>
        <w:tc>
          <w:tcPr>
            <w:tcW w:w="300" w:type="dxa"/>
            <w:vAlign w:val="bottom"/>
            <w:tcBorders>
              <w:top w:val="single" w:sz="8" w:color="E8F7F7"/>
            </w:tcBorders>
            <w:shd w:val="clear" w:color="auto" w:fill="E8F7F7"/>
          </w:tcPr>
          <w:p>
            <w:pPr>
              <w:spacing w:after="0"/>
              <w:rPr>
                <w:sz w:val="4"/>
                <w:szCs w:val="4"/>
                <w:color w:val="auto"/>
              </w:rPr>
            </w:pPr>
          </w:p>
        </w:tc>
        <w:tc>
          <w:tcPr>
            <w:tcW w:w="440" w:type="dxa"/>
            <w:vAlign w:val="bottom"/>
            <w:tcBorders>
              <w:top w:val="single" w:sz="8" w:color="auto"/>
            </w:tcBorders>
            <w:shd w:val="clear" w:color="auto" w:fill="E8F7F7"/>
          </w:tcPr>
          <w:p>
            <w:pPr>
              <w:spacing w:after="0"/>
              <w:rPr>
                <w:sz w:val="4"/>
                <w:szCs w:val="4"/>
                <w:color w:val="auto"/>
              </w:rPr>
            </w:pPr>
          </w:p>
        </w:tc>
        <w:tc>
          <w:tcPr>
            <w:tcW w:w="520" w:type="dxa"/>
            <w:vAlign w:val="bottom"/>
            <w:tcBorders>
              <w:top w:val="single" w:sz="8" w:color="E8F7F7"/>
            </w:tcBorders>
            <w:shd w:val="clear" w:color="auto" w:fill="E8F7F7"/>
          </w:tcPr>
          <w:p>
            <w:pPr>
              <w:spacing w:after="0"/>
              <w:rPr>
                <w:sz w:val="4"/>
                <w:szCs w:val="4"/>
                <w:color w:val="auto"/>
              </w:rPr>
            </w:pPr>
          </w:p>
        </w:tc>
      </w:tr>
      <w:tr>
        <w:trPr>
          <w:trHeight w:val="275"/>
        </w:trPr>
        <w:tc>
          <w:tcPr>
            <w:tcW w:w="2660" w:type="dxa"/>
            <w:vAlign w:val="bottom"/>
          </w:tcPr>
          <w:p>
            <w:pPr>
              <w:ind w:left="20"/>
              <w:spacing w:after="0"/>
              <w:rPr>
                <w:sz w:val="20"/>
                <w:szCs w:val="20"/>
                <w:color w:val="auto"/>
              </w:rPr>
            </w:pPr>
            <w:r>
              <w:rPr>
                <w:rFonts w:ascii="Arial" w:cs="Arial" w:eastAsia="Arial" w:hAnsi="Arial"/>
                <w:sz w:val="20"/>
                <w:szCs w:val="20"/>
                <w:color w:val="auto"/>
              </w:rPr>
              <w:t>Audit Fees</w:t>
            </w:r>
          </w:p>
        </w:tc>
        <w:tc>
          <w:tcPr>
            <w:tcW w:w="680" w:type="dxa"/>
            <w:vAlign w:val="bottom"/>
          </w:tcPr>
          <w:p>
            <w:pPr>
              <w:spacing w:after="0"/>
              <w:rPr>
                <w:sz w:val="23"/>
                <w:szCs w:val="23"/>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20"/>
                <w:szCs w:val="20"/>
                <w:color w:val="auto"/>
              </w:rPr>
              <w:t>2,289,250</w:t>
            </w:r>
          </w:p>
        </w:tc>
        <w:tc>
          <w:tcPr>
            <w:tcW w:w="1260" w:type="dxa"/>
            <w:vAlign w:val="bottom"/>
            <w:gridSpan w:val="3"/>
          </w:tcPr>
          <w:p>
            <w:pPr>
              <w:jc w:val="right"/>
              <w:ind w:right="40"/>
              <w:spacing w:after="0"/>
              <w:rPr>
                <w:sz w:val="20"/>
                <w:szCs w:val="20"/>
                <w:color w:val="auto"/>
              </w:rPr>
            </w:pPr>
            <w:r>
              <w:rPr>
                <w:rFonts w:ascii="Arial" w:cs="Arial" w:eastAsia="Arial" w:hAnsi="Arial"/>
                <w:sz w:val="20"/>
                <w:szCs w:val="20"/>
                <w:color w:val="auto"/>
              </w:rPr>
              <w:t>2,189,750</w:t>
            </w:r>
          </w:p>
        </w:tc>
      </w:tr>
      <w:tr>
        <w:trPr>
          <w:trHeight w:val="292"/>
        </w:trPr>
        <w:tc>
          <w:tcPr>
            <w:tcW w:w="2660" w:type="dxa"/>
            <w:vAlign w:val="bottom"/>
            <w:shd w:val="clear" w:color="auto" w:fill="E7ECF0"/>
          </w:tcPr>
          <w:p>
            <w:pPr>
              <w:ind w:left="20"/>
              <w:spacing w:after="0"/>
              <w:rPr>
                <w:sz w:val="20"/>
                <w:szCs w:val="20"/>
                <w:color w:val="auto"/>
              </w:rPr>
            </w:pPr>
            <w:r>
              <w:rPr>
                <w:rFonts w:ascii="Arial" w:cs="Arial" w:eastAsia="Arial" w:hAnsi="Arial"/>
                <w:sz w:val="20"/>
                <w:szCs w:val="20"/>
                <w:color w:val="auto"/>
              </w:rPr>
              <w:t>Audit-Related Fees (1)</w:t>
            </w:r>
          </w:p>
        </w:tc>
        <w:tc>
          <w:tcPr>
            <w:tcW w:w="2020" w:type="dxa"/>
            <w:vAlign w:val="bottom"/>
            <w:gridSpan w:val="3"/>
            <w:shd w:val="clear" w:color="auto" w:fill="E7ECF0"/>
          </w:tcPr>
          <w:p>
            <w:pPr>
              <w:jc w:val="right"/>
              <w:ind w:right="240"/>
              <w:spacing w:after="0"/>
              <w:rPr>
                <w:sz w:val="20"/>
                <w:szCs w:val="20"/>
                <w:color w:val="auto"/>
              </w:rPr>
            </w:pPr>
            <w:r>
              <w:rPr>
                <w:rFonts w:ascii="Arial" w:cs="Arial" w:eastAsia="Arial" w:hAnsi="Arial"/>
                <w:sz w:val="20"/>
                <w:szCs w:val="20"/>
                <w:color w:val="auto"/>
              </w:rPr>
              <w:t>2,478,249</w:t>
            </w:r>
          </w:p>
        </w:tc>
        <w:tc>
          <w:tcPr>
            <w:tcW w:w="1260" w:type="dxa"/>
            <w:vAlign w:val="bottom"/>
            <w:gridSpan w:val="3"/>
            <w:shd w:val="clear" w:color="auto" w:fill="E7ECF0"/>
          </w:tcPr>
          <w:p>
            <w:pPr>
              <w:jc w:val="right"/>
              <w:ind w:right="40"/>
              <w:spacing w:after="0"/>
              <w:rPr>
                <w:sz w:val="20"/>
                <w:szCs w:val="20"/>
                <w:color w:val="auto"/>
              </w:rPr>
            </w:pPr>
            <w:r>
              <w:rPr>
                <w:rFonts w:ascii="Arial" w:cs="Arial" w:eastAsia="Arial" w:hAnsi="Arial"/>
                <w:sz w:val="20"/>
                <w:szCs w:val="20"/>
                <w:color w:val="auto"/>
              </w:rPr>
              <w:t>1,825,400</w:t>
            </w:r>
          </w:p>
        </w:tc>
      </w:tr>
      <w:tr>
        <w:trPr>
          <w:trHeight w:val="275"/>
        </w:trPr>
        <w:tc>
          <w:tcPr>
            <w:tcW w:w="2660" w:type="dxa"/>
            <w:vAlign w:val="bottom"/>
          </w:tcPr>
          <w:p>
            <w:pPr>
              <w:ind w:left="20"/>
              <w:spacing w:after="0"/>
              <w:rPr>
                <w:sz w:val="20"/>
                <w:szCs w:val="20"/>
                <w:color w:val="auto"/>
              </w:rPr>
            </w:pPr>
            <w:r>
              <w:rPr>
                <w:rFonts w:ascii="Arial" w:cs="Arial" w:eastAsia="Arial" w:hAnsi="Arial"/>
                <w:sz w:val="20"/>
                <w:szCs w:val="20"/>
                <w:color w:val="auto"/>
              </w:rPr>
              <w:t>Tax Fees (2)</w:t>
            </w:r>
          </w:p>
        </w:tc>
        <w:tc>
          <w:tcPr>
            <w:tcW w:w="2020" w:type="dxa"/>
            <w:vAlign w:val="bottom"/>
            <w:gridSpan w:val="3"/>
          </w:tcPr>
          <w:p>
            <w:pPr>
              <w:jc w:val="right"/>
              <w:ind w:right="240"/>
              <w:spacing w:after="0"/>
              <w:rPr>
                <w:sz w:val="20"/>
                <w:szCs w:val="20"/>
                <w:color w:val="auto"/>
              </w:rPr>
            </w:pPr>
            <w:r>
              <w:rPr>
                <w:rFonts w:ascii="Arial" w:cs="Arial" w:eastAsia="Arial" w:hAnsi="Arial"/>
                <w:sz w:val="20"/>
                <w:szCs w:val="20"/>
                <w:color w:val="auto"/>
              </w:rPr>
              <w:t>27,500</w:t>
            </w:r>
          </w:p>
        </w:tc>
        <w:tc>
          <w:tcPr>
            <w:tcW w:w="1260" w:type="dxa"/>
            <w:vAlign w:val="bottom"/>
            <w:gridSpan w:val="3"/>
          </w:tcPr>
          <w:p>
            <w:pPr>
              <w:jc w:val="right"/>
              <w:ind w:right="40"/>
              <w:spacing w:after="0"/>
              <w:rPr>
                <w:sz w:val="20"/>
                <w:szCs w:val="20"/>
                <w:color w:val="auto"/>
              </w:rPr>
            </w:pPr>
            <w:r>
              <w:rPr>
                <w:rFonts w:ascii="Arial" w:cs="Arial" w:eastAsia="Arial" w:hAnsi="Arial"/>
                <w:sz w:val="20"/>
                <w:szCs w:val="20"/>
                <w:color w:val="auto"/>
              </w:rPr>
              <w:t>22,000</w:t>
            </w:r>
          </w:p>
        </w:tc>
      </w:tr>
      <w:tr>
        <w:trPr>
          <w:trHeight w:val="292"/>
        </w:trPr>
        <w:tc>
          <w:tcPr>
            <w:tcW w:w="2660" w:type="dxa"/>
            <w:vAlign w:val="bottom"/>
            <w:shd w:val="clear" w:color="auto" w:fill="E7ECF0"/>
          </w:tcPr>
          <w:p>
            <w:pPr>
              <w:ind w:left="20"/>
              <w:spacing w:after="0"/>
              <w:rPr>
                <w:sz w:val="20"/>
                <w:szCs w:val="20"/>
                <w:color w:val="auto"/>
              </w:rPr>
            </w:pPr>
            <w:r>
              <w:rPr>
                <w:rFonts w:ascii="Arial" w:cs="Arial" w:eastAsia="Arial" w:hAnsi="Arial"/>
                <w:sz w:val="20"/>
                <w:szCs w:val="20"/>
                <w:color w:val="auto"/>
              </w:rPr>
              <w:t>All Other Fees</w:t>
            </w:r>
          </w:p>
        </w:tc>
        <w:tc>
          <w:tcPr>
            <w:tcW w:w="2020" w:type="dxa"/>
            <w:vAlign w:val="bottom"/>
            <w:tcBorders>
              <w:bottom w:val="single" w:sz="8" w:color="auto"/>
            </w:tcBorders>
            <w:gridSpan w:val="3"/>
            <w:shd w:val="clear" w:color="auto" w:fill="E7ECF0"/>
          </w:tcPr>
          <w:p>
            <w:pPr>
              <w:jc w:val="right"/>
              <w:ind w:right="240"/>
              <w:spacing w:after="0"/>
              <w:rPr>
                <w:sz w:val="20"/>
                <w:szCs w:val="20"/>
                <w:color w:val="auto"/>
              </w:rPr>
            </w:pPr>
            <w:r>
              <w:rPr>
                <w:rFonts w:ascii="Arial" w:cs="Arial" w:eastAsia="Arial" w:hAnsi="Arial"/>
                <w:sz w:val="20"/>
                <w:szCs w:val="20"/>
                <w:color w:val="auto"/>
              </w:rPr>
              <w:t>4,000</w:t>
            </w:r>
          </w:p>
        </w:tc>
        <w:tc>
          <w:tcPr>
            <w:tcW w:w="1260" w:type="dxa"/>
            <w:vAlign w:val="bottom"/>
            <w:tcBorders>
              <w:bottom w:val="single" w:sz="8" w:color="auto"/>
            </w:tcBorders>
            <w:gridSpan w:val="3"/>
            <w:shd w:val="clear" w:color="auto" w:fill="E7ECF0"/>
          </w:tcPr>
          <w:p>
            <w:pPr>
              <w:jc w:val="right"/>
              <w:ind w:right="40"/>
              <w:spacing w:after="0"/>
              <w:rPr>
                <w:sz w:val="20"/>
                <w:szCs w:val="20"/>
                <w:color w:val="auto"/>
              </w:rPr>
            </w:pPr>
            <w:r>
              <w:rPr>
                <w:rFonts w:ascii="Arial" w:cs="Arial" w:eastAsia="Arial" w:hAnsi="Arial"/>
                <w:sz w:val="20"/>
                <w:szCs w:val="20"/>
                <w:color w:val="auto"/>
              </w:rPr>
              <w:t>900</w:t>
            </w:r>
          </w:p>
        </w:tc>
      </w:tr>
      <w:tr>
        <w:trPr>
          <w:trHeight w:val="270"/>
        </w:trPr>
        <w:tc>
          <w:tcPr>
            <w:tcW w:w="2660" w:type="dxa"/>
            <w:vAlign w:val="bottom"/>
          </w:tcPr>
          <w:p>
            <w:pPr>
              <w:ind w:left="20"/>
              <w:spacing w:after="0"/>
              <w:rPr>
                <w:sz w:val="20"/>
                <w:szCs w:val="20"/>
                <w:color w:val="auto"/>
              </w:rPr>
            </w:pPr>
            <w:r>
              <w:rPr>
                <w:rFonts w:ascii="Arial" w:cs="Arial" w:eastAsia="Arial" w:hAnsi="Arial"/>
                <w:sz w:val="20"/>
                <w:szCs w:val="20"/>
                <w:color w:val="auto"/>
              </w:rPr>
              <w:t>Total Fees</w:t>
            </w:r>
          </w:p>
        </w:tc>
        <w:tc>
          <w:tcPr>
            <w:tcW w:w="2020" w:type="dxa"/>
            <w:vAlign w:val="bottom"/>
            <w:tcBorders>
              <w:bottom w:val="single" w:sz="8" w:color="auto"/>
            </w:tcBorders>
            <w:gridSpan w:val="3"/>
          </w:tcPr>
          <w:p>
            <w:pPr>
              <w:jc w:val="right"/>
              <w:ind w:right="240"/>
              <w:spacing w:after="0"/>
              <w:rPr>
                <w:sz w:val="20"/>
                <w:szCs w:val="20"/>
                <w:color w:val="auto"/>
              </w:rPr>
            </w:pPr>
            <w:r>
              <w:rPr>
                <w:rFonts w:ascii="Arial" w:cs="Arial" w:eastAsia="Arial" w:hAnsi="Arial"/>
                <w:sz w:val="20"/>
                <w:szCs w:val="20"/>
                <w:color w:val="auto"/>
              </w:rPr>
              <w:t>$4,798,999</w:t>
            </w:r>
          </w:p>
        </w:tc>
        <w:tc>
          <w:tcPr>
            <w:tcW w:w="126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20"/>
                <w:szCs w:val="20"/>
                <w:color w:val="auto"/>
              </w:rPr>
              <w:t>$4,038,050</w:t>
            </w:r>
          </w:p>
        </w:tc>
      </w:tr>
      <w:tr>
        <w:trPr>
          <w:trHeight w:val="27"/>
        </w:trPr>
        <w:tc>
          <w:tcPr>
            <w:tcW w:w="2660" w:type="dxa"/>
            <w:vAlign w:val="bottom"/>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227" w:lineRule="exact"/>
        <w:rPr>
          <w:sz w:val="20"/>
          <w:szCs w:val="20"/>
          <w:color w:val="auto"/>
        </w:rPr>
      </w:pPr>
    </w:p>
    <w:p>
      <w:pPr>
        <w:jc w:val="both"/>
        <w:ind w:left="980" w:hanging="324"/>
        <w:spacing w:after="0" w:line="276" w:lineRule="auto"/>
        <w:tabs>
          <w:tab w:leader="none" w:pos="997" w:val="left"/>
        </w:tabs>
        <w:numPr>
          <w:ilvl w:val="0"/>
          <w:numId w:val="33"/>
        </w:numPr>
        <w:rPr>
          <w:rFonts w:ascii="Arial" w:cs="Arial" w:eastAsia="Arial" w:hAnsi="Arial"/>
          <w:sz w:val="18"/>
          <w:szCs w:val="18"/>
          <w:color w:val="auto"/>
        </w:rPr>
      </w:pPr>
      <w:r>
        <w:rPr>
          <w:rFonts w:ascii="Arial" w:cs="Arial" w:eastAsia="Arial" w:hAnsi="Arial"/>
          <w:sz w:val="18"/>
          <w:szCs w:val="18"/>
          <w:color w:val="auto"/>
        </w:rPr>
        <w:t>Performed in accordance with system and organization controls reports (SOC 1 and SOC 2) and the review of other SEC filings. SOC 1 and SOC 2 reviews are conducted to evaluate the effectiveness of operational controls in various regulated business operations of the Company, including our data processing service bureaus.</w:t>
      </w:r>
    </w:p>
    <w:p>
      <w:pPr>
        <w:spacing w:after="0" w:line="68" w:lineRule="exact"/>
        <w:rPr>
          <w:rFonts w:ascii="Arial" w:cs="Arial" w:eastAsia="Arial" w:hAnsi="Arial"/>
          <w:sz w:val="18"/>
          <w:szCs w:val="18"/>
          <w:color w:val="auto"/>
        </w:rPr>
      </w:pPr>
    </w:p>
    <w:p>
      <w:pPr>
        <w:ind w:left="960" w:hanging="304"/>
        <w:spacing w:after="0"/>
        <w:tabs>
          <w:tab w:leader="none" w:pos="9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Tax fees for fiscal 2024 and fiscal 2023 relate to U.S. federal, state and local tax planning and compliance.</w:t>
      </w:r>
    </w:p>
    <w:p>
      <w:pPr>
        <w:spacing w:after="0" w:line="263" w:lineRule="exact"/>
        <w:rPr>
          <w:sz w:val="20"/>
          <w:szCs w:val="20"/>
          <w:color w:val="auto"/>
        </w:rPr>
      </w:pPr>
    </w:p>
    <w:p>
      <w:pPr>
        <w:jc w:val="both"/>
        <w:spacing w:after="0" w:line="276" w:lineRule="auto"/>
        <w:rPr>
          <w:sz w:val="20"/>
          <w:szCs w:val="20"/>
          <w:color w:val="auto"/>
        </w:rPr>
      </w:pPr>
      <w:r>
        <w:rPr>
          <w:rFonts w:ascii="Arial" w:cs="Arial" w:eastAsia="Arial" w:hAnsi="Arial"/>
          <w:sz w:val="20"/>
          <w:szCs w:val="20"/>
          <w:color w:val="auto"/>
        </w:rPr>
        <w:t>In making its decision to continue to retain PricewaterhouseCoopers LLP as the Company’s independent registered public accounting firm for the next fiscal year, the Audit Committee has considered the above information to ensure that the provision of non-audit services will not negatively impact the maintenance of the firm’s independence.</w:t>
      </w:r>
    </w:p>
    <w:p>
      <w:pPr>
        <w:spacing w:after="0" w:line="192" w:lineRule="exact"/>
        <w:rPr>
          <w:sz w:val="20"/>
          <w:szCs w:val="20"/>
          <w:color w:val="auto"/>
        </w:rPr>
      </w:pPr>
    </w:p>
    <w:p>
      <w:pPr>
        <w:jc w:val="both"/>
        <w:spacing w:after="0" w:line="269" w:lineRule="auto"/>
        <w:rPr>
          <w:sz w:val="20"/>
          <w:szCs w:val="20"/>
          <w:color w:val="auto"/>
        </w:rPr>
      </w:pPr>
      <w:r>
        <w:rPr>
          <w:rFonts w:ascii="Arial" w:cs="Arial" w:eastAsia="Arial" w:hAnsi="Arial"/>
          <w:sz w:val="20"/>
          <w:szCs w:val="20"/>
          <w:color w:val="auto"/>
        </w:rPr>
        <w:t>The Audit Committee has in its Charter expressed its policy governing the engagement of the Company’s independent registered public accounting firm for audit and non-audit services. Under the terms of the Charter, the Audit Committee is required to pre-approve all audit, audit-related, and non-audit services performed by the Company’s independent registered public accounting firm. All non-audit services for fiscal 2024 were pre-approved by the Audit Committee.</w:t>
      </w:r>
    </w:p>
    <w:p>
      <w:pPr>
        <w:spacing w:after="0" w:line="211"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At the beginning of each fiscal year, the Audit Committee reviews with management and the independent registered public accounting firm the types of services that are likely to be required throughout the year. Those services are comprised of four categories: audit services, audit-related services, tax services, and all other permissible services. The independent registered public accounting firm provides documentation for each proposed specific service to be provided. At that time, the Audit Committee pre-approves a list of specific services that may be provided within each of these categories and sets fee limits for each specific service or project. Management is then authorized to engage the independent registered public accounting firm to perform the pre-approved services as needed throughout the year, subject to providing the Audit Committee with regular updates. The Audit Committee reviews all billings submitted by the independent registered public accounting firm on a regular basis to ensure that their services do not exceed pre-defined limits. The Audit Committee or its Chair reviews and approves in advance, on a case-by-case basis, all other projects, services and fees to be performed by or paid to the independent registered public accounting firm. The Audit Committee also approves in advance any fees for pre-approved services that exceed the pre-established limits, as described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163830</wp:posOffset>
            </wp:positionV>
            <wp:extent cx="7166610" cy="72898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166610" cy="728980"/>
                    </a:xfrm>
                    <a:prstGeom prst="rect">
                      <a:avLst/>
                    </a:prstGeom>
                    <a:noFill/>
                  </pic:spPr>
                </pic:pic>
              </a:graphicData>
            </a:graphic>
          </wp:anchor>
        </w:drawing>
      </w:r>
    </w:p>
    <w:p>
      <w:pPr>
        <w:spacing w:after="0" w:line="309" w:lineRule="exact"/>
        <w:rPr>
          <w:sz w:val="20"/>
          <w:szCs w:val="20"/>
          <w:color w:val="auto"/>
        </w:rPr>
      </w:pPr>
    </w:p>
    <w:p>
      <w:pPr>
        <w:jc w:val="both"/>
        <w:ind w:left="60" w:right="40"/>
        <w:spacing w:after="0" w:line="273" w:lineRule="auto"/>
        <w:rPr>
          <w:sz w:val="20"/>
          <w:szCs w:val="20"/>
          <w:color w:val="auto"/>
        </w:rPr>
      </w:pPr>
      <w:r>
        <w:rPr>
          <w:rFonts w:ascii="Arial" w:cs="Arial" w:eastAsia="Arial" w:hAnsi="Arial"/>
          <w:sz w:val="20"/>
          <w:szCs w:val="20"/>
          <w:b w:val="1"/>
          <w:bCs w:val="1"/>
          <w:color w:val="auto"/>
        </w:rPr>
        <w:t>THE BOARD RECOMMENDS THAT YOU VOTE “FOR” RATIFICATION OF THE SELECTION OF PRICEWATERHOUSECOOPERS LLP AS OUR INDEPENDENT REGISTERED ACCOUNTING FIRM. PROXIES RECEIVED BY THE BOARD WILL BE VOTED FOR THE RATIFICATION UNLESS STOCKHOLDERS SPECIFY IN THEIR PROXY A VOTE OF “AGAINST” OR “ABSTAIN”.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276225</wp:posOffset>
            </wp:positionV>
            <wp:extent cx="7132320" cy="35179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132320" cy="3517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20"/>
        <w:spacing w:after="0"/>
        <w:tabs>
          <w:tab w:leader="none" w:pos="440" w:val="left"/>
        </w:tabs>
        <w:rPr>
          <w:sz w:val="20"/>
          <w:szCs w:val="20"/>
          <w:color w:val="auto"/>
        </w:rPr>
      </w:pPr>
      <w:r>
        <w:rPr>
          <w:rFonts w:ascii="Arial" w:cs="Arial" w:eastAsia="Arial" w:hAnsi="Arial"/>
          <w:sz w:val="18"/>
          <w:szCs w:val="18"/>
          <w:color w:val="auto"/>
        </w:rPr>
        <w:t>72</w:t>
        <w:tab/>
        <w:t>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253365</wp:posOffset>
            </wp:positionV>
            <wp:extent cx="7157720" cy="425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5" w:right="339" w:bottom="1440" w:gutter="0" w:footer="0" w:header="0"/>
        </w:sectPr>
      </w:pPr>
    </w:p>
    <w:bookmarkStart w:id="75" w:name="page76"/>
    <w:bookmarkEnd w:id="75"/>
    <w:p>
      <w:pPr>
        <w:jc w:val="center"/>
        <w:spacing w:after="0"/>
        <w:rPr>
          <w:sz w:val="20"/>
          <w:szCs w:val="20"/>
          <w:color w:val="auto"/>
        </w:rPr>
      </w:pPr>
      <w:r>
        <w:rPr>
          <w:rFonts w:ascii="Arial" w:cs="Arial" w:eastAsia="Arial" w:hAnsi="Arial"/>
          <w:sz w:val="22"/>
          <w:szCs w:val="22"/>
          <w:b w:val="1"/>
          <w:bCs w:val="1"/>
          <w:color w:val="auto"/>
        </w:rPr>
        <w:t>STOCK OWNERSHIP OF CERTAIN BENEFICIAL OWNERS</w:t>
      </w:r>
    </w:p>
    <w:p>
      <w:pPr>
        <w:spacing w:after="0" w:line="267" w:lineRule="exact"/>
        <w:rPr>
          <w:sz w:val="20"/>
          <w:szCs w:val="20"/>
          <w:color w:val="auto"/>
        </w:rPr>
      </w:pPr>
    </w:p>
    <w:p>
      <w:pPr>
        <w:jc w:val="both"/>
        <w:spacing w:after="0" w:line="265" w:lineRule="auto"/>
        <w:rPr>
          <w:sz w:val="20"/>
          <w:szCs w:val="20"/>
          <w:color w:val="auto"/>
        </w:rPr>
      </w:pPr>
      <w:r>
        <w:rPr>
          <w:rFonts w:ascii="Arial" w:cs="Arial" w:eastAsia="Arial" w:hAnsi="Arial"/>
          <w:sz w:val="20"/>
          <w:szCs w:val="20"/>
          <w:color w:val="auto"/>
        </w:rPr>
        <w:t>The following table sets forth information concerning the beneficial ownership of shares of the Company’s common stock of (a) those individuals who are known to be the beneficial owners, as defined in Rule 13d-3 of the Exchange Act, of 5% or more of the Company’s common stock, (b) each director and director nominee, (c) the executive officers named in the Summary Compensation Table and (d) all of our current directors and executive officers as a group. The mailing address of each director, director nominee, and executive officer shown in the table below is c/o Jack Henry &amp; Associates, Inc., 663 Highway 60, Monett, Missouri 65708.</w:t>
      </w:r>
    </w:p>
    <w:p>
      <w:pPr>
        <w:spacing w:after="0" w:line="240" w:lineRule="exact"/>
        <w:rPr>
          <w:sz w:val="20"/>
          <w:szCs w:val="20"/>
          <w:color w:val="auto"/>
        </w:rPr>
      </w:pPr>
    </w:p>
    <w:tbl>
      <w:tblPr>
        <w:tblLayout w:type="fixed"/>
        <w:tblInd w:w="1880" w:type="dxa"/>
        <w:tblCellMar>
          <w:top w:w="0" w:type="dxa"/>
          <w:left w:w="0" w:type="dxa"/>
          <w:bottom w:w="0" w:type="dxa"/>
          <w:right w:w="0" w:type="dxa"/>
        </w:tblCellMar>
      </w:tblPr>
      <w:tr>
        <w:trPr>
          <w:trHeight w:val="224"/>
        </w:trPr>
        <w:tc>
          <w:tcPr>
            <w:tcW w:w="3180" w:type="dxa"/>
            <w:vAlign w:val="bottom"/>
            <w:shd w:val="clear" w:color="auto" w:fill="E8F7F7"/>
          </w:tcPr>
          <w:p>
            <w:pPr>
              <w:spacing w:after="0"/>
              <w:rPr>
                <w:sz w:val="19"/>
                <w:szCs w:val="19"/>
                <w:color w:val="auto"/>
              </w:rPr>
            </w:pPr>
          </w:p>
        </w:tc>
        <w:tc>
          <w:tcPr>
            <w:tcW w:w="1820" w:type="dxa"/>
            <w:vAlign w:val="bottom"/>
            <w:shd w:val="clear" w:color="auto" w:fill="E8F7F7"/>
          </w:tcPr>
          <w:p>
            <w:pPr>
              <w:spacing w:after="0"/>
              <w:rPr>
                <w:sz w:val="19"/>
                <w:szCs w:val="19"/>
                <w:color w:val="auto"/>
              </w:rPr>
            </w:pPr>
          </w:p>
        </w:tc>
        <w:tc>
          <w:tcPr>
            <w:tcW w:w="1300" w:type="dxa"/>
            <w:vAlign w:val="bottom"/>
            <w:shd w:val="clear" w:color="auto" w:fill="E8F7F7"/>
          </w:tcPr>
          <w:p>
            <w:pPr>
              <w:spacing w:after="0"/>
              <w:rPr>
                <w:sz w:val="19"/>
                <w:szCs w:val="19"/>
                <w:color w:val="auto"/>
              </w:rPr>
            </w:pPr>
          </w:p>
        </w:tc>
        <w:tc>
          <w:tcPr>
            <w:tcW w:w="1840" w:type="dxa"/>
            <w:vAlign w:val="bottom"/>
            <w:shd w:val="clear" w:color="auto" w:fill="E8F7F7"/>
          </w:tcPr>
          <w:p>
            <w:pPr>
              <w:ind w:left="140"/>
              <w:spacing w:after="0"/>
              <w:rPr>
                <w:sz w:val="20"/>
                <w:szCs w:val="20"/>
                <w:color w:val="auto"/>
              </w:rPr>
            </w:pPr>
            <w:r>
              <w:rPr>
                <w:rFonts w:ascii="Arial" w:cs="Arial" w:eastAsia="Arial" w:hAnsi="Arial"/>
                <w:sz w:val="18"/>
                <w:szCs w:val="18"/>
                <w:b w:val="1"/>
                <w:bCs w:val="1"/>
                <w:color w:val="221F1F"/>
              </w:rPr>
              <w:t>Percentage of</w:t>
            </w:r>
          </w:p>
        </w:tc>
        <w:tc>
          <w:tcPr>
            <w:tcW w:w="0" w:type="dxa"/>
            <w:vAlign w:val="bottom"/>
          </w:tcPr>
          <w:p>
            <w:pPr>
              <w:spacing w:after="0"/>
              <w:rPr>
                <w:sz w:val="1"/>
                <w:szCs w:val="1"/>
                <w:color w:val="auto"/>
              </w:rPr>
            </w:pPr>
          </w:p>
        </w:tc>
      </w:tr>
      <w:tr>
        <w:trPr>
          <w:trHeight w:val="221"/>
        </w:trPr>
        <w:tc>
          <w:tcPr>
            <w:tcW w:w="3180" w:type="dxa"/>
            <w:vAlign w:val="bottom"/>
            <w:vMerge w:val="restart"/>
            <w:shd w:val="clear" w:color="auto" w:fill="E8F7F7"/>
          </w:tcPr>
          <w:p>
            <w:pPr>
              <w:ind w:left="140"/>
              <w:spacing w:after="0"/>
              <w:rPr>
                <w:sz w:val="20"/>
                <w:szCs w:val="20"/>
                <w:color w:val="auto"/>
              </w:rPr>
            </w:pPr>
            <w:r>
              <w:rPr>
                <w:rFonts w:ascii="Arial" w:cs="Arial" w:eastAsia="Arial" w:hAnsi="Arial"/>
                <w:sz w:val="18"/>
                <w:szCs w:val="18"/>
                <w:b w:val="1"/>
                <w:bCs w:val="1"/>
                <w:color w:val="221F1F"/>
              </w:rPr>
              <w:t>Beneficial Owner</w:t>
            </w:r>
          </w:p>
        </w:tc>
        <w:tc>
          <w:tcPr>
            <w:tcW w:w="3120" w:type="dxa"/>
            <w:vAlign w:val="bottom"/>
            <w:gridSpan w:val="2"/>
            <w:shd w:val="clear" w:color="auto" w:fill="E8F7F7"/>
          </w:tcPr>
          <w:p>
            <w:pPr>
              <w:ind w:left="100"/>
              <w:spacing w:after="0"/>
              <w:rPr>
                <w:sz w:val="20"/>
                <w:szCs w:val="20"/>
                <w:color w:val="auto"/>
              </w:rPr>
            </w:pPr>
            <w:r>
              <w:rPr>
                <w:rFonts w:ascii="Arial" w:cs="Arial" w:eastAsia="Arial" w:hAnsi="Arial"/>
                <w:sz w:val="18"/>
                <w:szCs w:val="18"/>
                <w:b w:val="1"/>
                <w:bCs w:val="1"/>
                <w:color w:val="221F1F"/>
              </w:rPr>
              <w:t>Number of Shares Beneficially</w:t>
            </w:r>
          </w:p>
        </w:tc>
        <w:tc>
          <w:tcPr>
            <w:tcW w:w="1840" w:type="dxa"/>
            <w:vAlign w:val="bottom"/>
            <w:shd w:val="clear" w:color="auto" w:fill="E8F7F7"/>
          </w:tcPr>
          <w:p>
            <w:pPr>
              <w:ind w:left="140"/>
              <w:spacing w:after="0"/>
              <w:rPr>
                <w:sz w:val="20"/>
                <w:szCs w:val="20"/>
                <w:color w:val="auto"/>
              </w:rPr>
            </w:pPr>
            <w:r>
              <w:rPr>
                <w:rFonts w:ascii="Arial" w:cs="Arial" w:eastAsia="Arial" w:hAnsi="Arial"/>
                <w:sz w:val="18"/>
                <w:szCs w:val="18"/>
                <w:b w:val="1"/>
                <w:bCs w:val="1"/>
                <w:color w:val="221F1F"/>
              </w:rPr>
              <w:t>Shares</w:t>
            </w:r>
          </w:p>
        </w:tc>
        <w:tc>
          <w:tcPr>
            <w:tcW w:w="0" w:type="dxa"/>
            <w:vAlign w:val="bottom"/>
          </w:tcPr>
          <w:p>
            <w:pPr>
              <w:spacing w:after="0"/>
              <w:rPr>
                <w:sz w:val="1"/>
                <w:szCs w:val="1"/>
                <w:color w:val="auto"/>
              </w:rPr>
            </w:pPr>
          </w:p>
        </w:tc>
      </w:tr>
      <w:tr>
        <w:trPr>
          <w:trHeight w:val="243"/>
        </w:trPr>
        <w:tc>
          <w:tcPr>
            <w:tcW w:w="3180" w:type="dxa"/>
            <w:vAlign w:val="bottom"/>
            <w:tcBorders>
              <w:bottom w:val="single" w:sz="8" w:color="auto"/>
            </w:tcBorders>
            <w:vMerge w:val="continue"/>
            <w:shd w:val="clear" w:color="auto" w:fill="E8F7F7"/>
          </w:tcPr>
          <w:p>
            <w:pPr>
              <w:spacing w:after="0"/>
              <w:rPr>
                <w:sz w:val="21"/>
                <w:szCs w:val="21"/>
                <w:color w:val="auto"/>
              </w:rPr>
            </w:pPr>
          </w:p>
        </w:tc>
        <w:tc>
          <w:tcPr>
            <w:tcW w:w="1820" w:type="dxa"/>
            <w:vAlign w:val="bottom"/>
            <w:tcBorders>
              <w:bottom w:val="single" w:sz="8" w:color="auto"/>
            </w:tcBorders>
            <w:shd w:val="clear" w:color="auto" w:fill="E8F7F7"/>
          </w:tcPr>
          <w:p>
            <w:pPr>
              <w:ind w:left="100"/>
              <w:spacing w:after="0"/>
              <w:rPr>
                <w:sz w:val="20"/>
                <w:szCs w:val="20"/>
                <w:color w:val="auto"/>
              </w:rPr>
            </w:pPr>
            <w:r>
              <w:rPr>
                <w:rFonts w:ascii="Arial" w:cs="Arial" w:eastAsia="Arial" w:hAnsi="Arial"/>
                <w:sz w:val="18"/>
                <w:szCs w:val="18"/>
                <w:b w:val="1"/>
                <w:bCs w:val="1"/>
                <w:color w:val="221F1F"/>
              </w:rPr>
              <w:t>Owned (1)</w:t>
            </w:r>
          </w:p>
        </w:tc>
        <w:tc>
          <w:tcPr>
            <w:tcW w:w="1300" w:type="dxa"/>
            <w:vAlign w:val="bottom"/>
            <w:tcBorders>
              <w:bottom w:val="single" w:sz="8" w:color="auto"/>
            </w:tcBorders>
            <w:shd w:val="clear" w:color="auto" w:fill="E8F7F7"/>
          </w:tcPr>
          <w:p>
            <w:pPr>
              <w:spacing w:after="0"/>
              <w:rPr>
                <w:sz w:val="21"/>
                <w:szCs w:val="21"/>
                <w:color w:val="auto"/>
              </w:rPr>
            </w:pPr>
          </w:p>
        </w:tc>
        <w:tc>
          <w:tcPr>
            <w:tcW w:w="1840" w:type="dxa"/>
            <w:vAlign w:val="bottom"/>
            <w:tcBorders>
              <w:bottom w:val="single" w:sz="8" w:color="auto"/>
            </w:tcBorders>
            <w:shd w:val="clear" w:color="auto" w:fill="E8F7F7"/>
          </w:tcPr>
          <w:p>
            <w:pPr>
              <w:ind w:left="140"/>
              <w:spacing w:after="0"/>
              <w:rPr>
                <w:sz w:val="20"/>
                <w:szCs w:val="20"/>
                <w:color w:val="auto"/>
              </w:rPr>
            </w:pPr>
            <w:r>
              <w:rPr>
                <w:rFonts w:ascii="Arial" w:cs="Arial" w:eastAsia="Arial" w:hAnsi="Arial"/>
                <w:sz w:val="18"/>
                <w:szCs w:val="18"/>
                <w:b w:val="1"/>
                <w:bCs w:val="1"/>
                <w:color w:val="221F1F"/>
              </w:rPr>
              <w:t>Outstanding (1)</w:t>
            </w:r>
          </w:p>
        </w:tc>
        <w:tc>
          <w:tcPr>
            <w:tcW w:w="0" w:type="dxa"/>
            <w:vAlign w:val="bottom"/>
          </w:tcPr>
          <w:p>
            <w:pPr>
              <w:spacing w:after="0"/>
              <w:rPr>
                <w:sz w:val="1"/>
                <w:szCs w:val="1"/>
                <w:color w:val="auto"/>
              </w:rPr>
            </w:pPr>
          </w:p>
        </w:tc>
      </w:tr>
      <w:tr>
        <w:trPr>
          <w:trHeight w:val="223"/>
        </w:trPr>
        <w:tc>
          <w:tcPr>
            <w:tcW w:w="3180" w:type="dxa"/>
            <w:vAlign w:val="bottom"/>
            <w:tcBorders>
              <w:bottom w:val="single" w:sz="8" w:color="DBDBDB"/>
            </w:tcBorders>
          </w:tcPr>
          <w:p>
            <w:pPr>
              <w:ind w:left="100"/>
              <w:spacing w:after="0"/>
              <w:rPr>
                <w:sz w:val="20"/>
                <w:szCs w:val="20"/>
                <w:color w:val="auto"/>
              </w:rPr>
            </w:pPr>
            <w:r>
              <w:rPr>
                <w:rFonts w:ascii="Arial" w:cs="Arial" w:eastAsia="Arial" w:hAnsi="Arial"/>
                <w:sz w:val="18"/>
                <w:szCs w:val="18"/>
                <w:color w:val="221F1F"/>
              </w:rPr>
              <w:t>The Vanguard Group</w:t>
            </w:r>
          </w:p>
        </w:tc>
        <w:tc>
          <w:tcPr>
            <w:tcW w:w="1820" w:type="dxa"/>
            <w:vAlign w:val="bottom"/>
            <w:tcBorders>
              <w:bottom w:val="single" w:sz="8" w:color="DBDBDB"/>
            </w:tcBorders>
          </w:tcPr>
          <w:p>
            <w:pPr>
              <w:jc w:val="right"/>
              <w:ind w:right="30"/>
              <w:spacing w:after="0"/>
              <w:rPr>
                <w:sz w:val="20"/>
                <w:szCs w:val="20"/>
                <w:color w:val="auto"/>
              </w:rPr>
            </w:pPr>
            <w:r>
              <w:rPr>
                <w:rFonts w:ascii="Arial" w:cs="Arial" w:eastAsia="Arial" w:hAnsi="Arial"/>
                <w:sz w:val="18"/>
                <w:szCs w:val="18"/>
                <w:color w:val="221F1F"/>
              </w:rPr>
              <w:t>8,648,967</w:t>
            </w:r>
          </w:p>
        </w:tc>
        <w:tc>
          <w:tcPr>
            <w:tcW w:w="1300" w:type="dxa"/>
            <w:vAlign w:val="bottom"/>
            <w:tcBorders>
              <w:bottom w:val="single" w:sz="8" w:color="DBDBDB"/>
            </w:tcBorders>
          </w:tcPr>
          <w:p>
            <w:pPr>
              <w:ind w:left="120"/>
              <w:spacing w:after="0"/>
              <w:rPr>
                <w:sz w:val="20"/>
                <w:szCs w:val="20"/>
                <w:color w:val="auto"/>
              </w:rPr>
            </w:pPr>
            <w:r>
              <w:rPr>
                <w:rFonts w:ascii="Arial" w:cs="Arial" w:eastAsia="Arial" w:hAnsi="Arial"/>
                <w:sz w:val="18"/>
                <w:szCs w:val="18"/>
                <w:color w:val="221F1F"/>
              </w:rPr>
              <w:t>(2)</w:t>
            </w:r>
          </w:p>
        </w:tc>
        <w:tc>
          <w:tcPr>
            <w:tcW w:w="1840" w:type="dxa"/>
            <w:vAlign w:val="bottom"/>
            <w:tcBorders>
              <w:bottom w:val="single" w:sz="8" w:color="DBDBDB"/>
            </w:tcBorders>
          </w:tcPr>
          <w:p>
            <w:pPr>
              <w:jc w:val="right"/>
              <w:ind w:right="50"/>
              <w:spacing w:after="0"/>
              <w:rPr>
                <w:sz w:val="20"/>
                <w:szCs w:val="20"/>
                <w:color w:val="auto"/>
              </w:rPr>
            </w:pPr>
            <w:r>
              <w:rPr>
                <w:rFonts w:ascii="Arial" w:cs="Arial" w:eastAsia="Arial" w:hAnsi="Arial"/>
                <w:sz w:val="18"/>
                <w:szCs w:val="18"/>
                <w:color w:val="221F1F"/>
              </w:rPr>
              <w:t>11.9%</w:t>
            </w:r>
          </w:p>
        </w:tc>
        <w:tc>
          <w:tcPr>
            <w:tcW w:w="0" w:type="dxa"/>
            <w:vAlign w:val="bottom"/>
          </w:tcPr>
          <w:p>
            <w:pPr>
              <w:spacing w:after="0"/>
              <w:rPr>
                <w:sz w:val="1"/>
                <w:szCs w:val="1"/>
                <w:color w:val="auto"/>
              </w:rPr>
            </w:pPr>
          </w:p>
        </w:tc>
      </w:tr>
      <w:tr>
        <w:trPr>
          <w:trHeight w:val="223"/>
        </w:trPr>
        <w:tc>
          <w:tcPr>
            <w:tcW w:w="3180" w:type="dxa"/>
            <w:vAlign w:val="bottom"/>
            <w:tcBorders>
              <w:bottom w:val="single" w:sz="8" w:color="DBDBDB"/>
            </w:tcBorders>
            <w:shd w:val="clear" w:color="auto" w:fill="E7ECF0"/>
          </w:tcPr>
          <w:p>
            <w:pPr>
              <w:ind w:left="100"/>
              <w:spacing w:after="0"/>
              <w:rPr>
                <w:sz w:val="20"/>
                <w:szCs w:val="20"/>
                <w:color w:val="auto"/>
              </w:rPr>
            </w:pPr>
            <w:r>
              <w:rPr>
                <w:rFonts w:ascii="Arial" w:cs="Arial" w:eastAsia="Arial" w:hAnsi="Arial"/>
                <w:sz w:val="18"/>
                <w:szCs w:val="18"/>
                <w:color w:val="221F1F"/>
              </w:rPr>
              <w:t>BlackRock Inc.</w:t>
            </w:r>
          </w:p>
        </w:tc>
        <w:tc>
          <w:tcPr>
            <w:tcW w:w="1820" w:type="dxa"/>
            <w:vAlign w:val="bottom"/>
            <w:tcBorders>
              <w:bottom w:val="single" w:sz="8" w:color="DBDBDB"/>
            </w:tcBorders>
            <w:shd w:val="clear" w:color="auto" w:fill="E7ECF0"/>
          </w:tcPr>
          <w:p>
            <w:pPr>
              <w:jc w:val="right"/>
              <w:ind w:right="30"/>
              <w:spacing w:after="0"/>
              <w:rPr>
                <w:sz w:val="20"/>
                <w:szCs w:val="20"/>
                <w:color w:val="auto"/>
              </w:rPr>
            </w:pPr>
            <w:r>
              <w:rPr>
                <w:rFonts w:ascii="Arial" w:cs="Arial" w:eastAsia="Arial" w:hAnsi="Arial"/>
                <w:sz w:val="18"/>
                <w:szCs w:val="18"/>
                <w:color w:val="221F1F"/>
              </w:rPr>
              <w:t>6,201,647</w:t>
            </w:r>
          </w:p>
        </w:tc>
        <w:tc>
          <w:tcPr>
            <w:tcW w:w="1300" w:type="dxa"/>
            <w:vAlign w:val="bottom"/>
            <w:tcBorders>
              <w:bottom w:val="single" w:sz="8" w:color="DBDBDB"/>
            </w:tcBorders>
            <w:shd w:val="clear" w:color="auto" w:fill="E7ECF0"/>
          </w:tcPr>
          <w:p>
            <w:pPr>
              <w:ind w:left="120"/>
              <w:spacing w:after="0"/>
              <w:rPr>
                <w:sz w:val="20"/>
                <w:szCs w:val="20"/>
                <w:color w:val="auto"/>
              </w:rPr>
            </w:pPr>
            <w:r>
              <w:rPr>
                <w:rFonts w:ascii="Arial" w:cs="Arial" w:eastAsia="Arial" w:hAnsi="Arial"/>
                <w:sz w:val="18"/>
                <w:szCs w:val="18"/>
                <w:color w:val="221F1F"/>
              </w:rPr>
              <w:t>(3)</w:t>
            </w:r>
          </w:p>
        </w:tc>
        <w:tc>
          <w:tcPr>
            <w:tcW w:w="1840" w:type="dxa"/>
            <w:vAlign w:val="bottom"/>
            <w:tcBorders>
              <w:bottom w:val="single" w:sz="8" w:color="DBDBDB"/>
            </w:tcBorders>
            <w:shd w:val="clear" w:color="auto" w:fill="E7ECF0"/>
          </w:tcPr>
          <w:p>
            <w:pPr>
              <w:jc w:val="right"/>
              <w:ind w:right="50"/>
              <w:spacing w:after="0"/>
              <w:rPr>
                <w:sz w:val="20"/>
                <w:szCs w:val="20"/>
                <w:color w:val="auto"/>
              </w:rPr>
            </w:pPr>
            <w:r>
              <w:rPr>
                <w:rFonts w:ascii="Arial" w:cs="Arial" w:eastAsia="Arial" w:hAnsi="Arial"/>
                <w:sz w:val="18"/>
                <w:szCs w:val="18"/>
                <w:color w:val="221F1F"/>
              </w:rPr>
              <w:t>8.5%</w:t>
            </w:r>
          </w:p>
        </w:tc>
        <w:tc>
          <w:tcPr>
            <w:tcW w:w="0" w:type="dxa"/>
            <w:vAlign w:val="bottom"/>
          </w:tcPr>
          <w:p>
            <w:pPr>
              <w:spacing w:after="0"/>
              <w:rPr>
                <w:sz w:val="1"/>
                <w:szCs w:val="1"/>
                <w:color w:val="auto"/>
              </w:rPr>
            </w:pPr>
          </w:p>
        </w:tc>
      </w:tr>
      <w:tr>
        <w:trPr>
          <w:trHeight w:val="223"/>
        </w:trPr>
        <w:tc>
          <w:tcPr>
            <w:tcW w:w="3180" w:type="dxa"/>
            <w:vAlign w:val="bottom"/>
            <w:tcBorders>
              <w:bottom w:val="single" w:sz="8" w:color="DBDBDB"/>
            </w:tcBorders>
          </w:tcPr>
          <w:p>
            <w:pPr>
              <w:ind w:left="100"/>
              <w:spacing w:after="0"/>
              <w:rPr>
                <w:sz w:val="20"/>
                <w:szCs w:val="20"/>
                <w:color w:val="auto"/>
              </w:rPr>
            </w:pPr>
            <w:r>
              <w:rPr>
                <w:rFonts w:ascii="Arial" w:cs="Arial" w:eastAsia="Arial" w:hAnsi="Arial"/>
                <w:sz w:val="18"/>
                <w:szCs w:val="18"/>
                <w:color w:val="221F1F"/>
              </w:rPr>
              <w:t>APG Asset Management US Inc.</w:t>
            </w:r>
          </w:p>
        </w:tc>
        <w:tc>
          <w:tcPr>
            <w:tcW w:w="1820" w:type="dxa"/>
            <w:vAlign w:val="bottom"/>
            <w:tcBorders>
              <w:bottom w:val="single" w:sz="8" w:color="DBDBDB"/>
            </w:tcBorders>
          </w:tcPr>
          <w:p>
            <w:pPr>
              <w:jc w:val="right"/>
              <w:ind w:right="30"/>
              <w:spacing w:after="0"/>
              <w:rPr>
                <w:sz w:val="20"/>
                <w:szCs w:val="20"/>
                <w:color w:val="auto"/>
              </w:rPr>
            </w:pPr>
            <w:r>
              <w:rPr>
                <w:rFonts w:ascii="Arial" w:cs="Arial" w:eastAsia="Arial" w:hAnsi="Arial"/>
                <w:sz w:val="18"/>
                <w:szCs w:val="18"/>
                <w:color w:val="221F1F"/>
              </w:rPr>
              <w:t>4,053,278</w:t>
            </w:r>
          </w:p>
        </w:tc>
        <w:tc>
          <w:tcPr>
            <w:tcW w:w="1300" w:type="dxa"/>
            <w:vAlign w:val="bottom"/>
            <w:tcBorders>
              <w:bottom w:val="single" w:sz="8" w:color="DBDBDB"/>
            </w:tcBorders>
          </w:tcPr>
          <w:p>
            <w:pPr>
              <w:ind w:left="120"/>
              <w:spacing w:after="0"/>
              <w:rPr>
                <w:sz w:val="20"/>
                <w:szCs w:val="20"/>
                <w:color w:val="auto"/>
              </w:rPr>
            </w:pPr>
            <w:r>
              <w:rPr>
                <w:rFonts w:ascii="Arial" w:cs="Arial" w:eastAsia="Arial" w:hAnsi="Arial"/>
                <w:sz w:val="18"/>
                <w:szCs w:val="18"/>
                <w:color w:val="221F1F"/>
              </w:rPr>
              <w:t>(4)</w:t>
            </w:r>
          </w:p>
        </w:tc>
        <w:tc>
          <w:tcPr>
            <w:tcW w:w="1840" w:type="dxa"/>
            <w:vAlign w:val="bottom"/>
            <w:tcBorders>
              <w:bottom w:val="single" w:sz="8" w:color="DBDBDB"/>
            </w:tcBorders>
          </w:tcPr>
          <w:p>
            <w:pPr>
              <w:jc w:val="right"/>
              <w:ind w:right="50"/>
              <w:spacing w:after="0"/>
              <w:rPr>
                <w:sz w:val="20"/>
                <w:szCs w:val="20"/>
                <w:color w:val="auto"/>
              </w:rPr>
            </w:pPr>
            <w:r>
              <w:rPr>
                <w:rFonts w:ascii="Arial" w:cs="Arial" w:eastAsia="Arial" w:hAnsi="Arial"/>
                <w:sz w:val="18"/>
                <w:szCs w:val="18"/>
                <w:color w:val="221F1F"/>
              </w:rPr>
              <w:t>5.6%</w:t>
            </w:r>
          </w:p>
        </w:tc>
        <w:tc>
          <w:tcPr>
            <w:tcW w:w="0" w:type="dxa"/>
            <w:vAlign w:val="bottom"/>
          </w:tcPr>
          <w:p>
            <w:pPr>
              <w:spacing w:after="0"/>
              <w:rPr>
                <w:sz w:val="1"/>
                <w:szCs w:val="1"/>
                <w:color w:val="auto"/>
              </w:rPr>
            </w:pPr>
          </w:p>
        </w:tc>
      </w:tr>
      <w:tr>
        <w:trPr>
          <w:trHeight w:val="169"/>
        </w:trPr>
        <w:tc>
          <w:tcPr>
            <w:tcW w:w="3180" w:type="dxa"/>
            <w:vAlign w:val="bottom"/>
            <w:shd w:val="clear" w:color="auto" w:fill="E7ECF0"/>
          </w:tcPr>
          <w:p>
            <w:pPr>
              <w:ind w:left="100"/>
              <w:spacing w:after="0" w:line="169" w:lineRule="exact"/>
              <w:rPr>
                <w:sz w:val="20"/>
                <w:szCs w:val="20"/>
                <w:color w:val="auto"/>
              </w:rPr>
            </w:pPr>
            <w:r>
              <w:rPr>
                <w:rFonts w:ascii="Arial" w:cs="Arial" w:eastAsia="Arial" w:hAnsi="Arial"/>
                <w:sz w:val="18"/>
                <w:szCs w:val="18"/>
                <w:color w:val="221F1F"/>
              </w:rPr>
              <w:t>Kayne Anderson Rudnick Investment</w:t>
            </w:r>
          </w:p>
        </w:tc>
        <w:tc>
          <w:tcPr>
            <w:tcW w:w="1820" w:type="dxa"/>
            <w:vAlign w:val="bottom"/>
            <w:vMerge w:val="restart"/>
            <w:shd w:val="clear" w:color="auto" w:fill="E7ECF0"/>
          </w:tcPr>
          <w:p>
            <w:pPr>
              <w:jc w:val="right"/>
              <w:ind w:right="30"/>
              <w:spacing w:after="0"/>
              <w:rPr>
                <w:sz w:val="20"/>
                <w:szCs w:val="20"/>
                <w:color w:val="auto"/>
              </w:rPr>
            </w:pPr>
            <w:r>
              <w:rPr>
                <w:rFonts w:ascii="Arial" w:cs="Arial" w:eastAsia="Arial" w:hAnsi="Arial"/>
                <w:sz w:val="18"/>
                <w:szCs w:val="18"/>
                <w:color w:val="221F1F"/>
              </w:rPr>
              <w:t>3,742,198</w:t>
            </w:r>
          </w:p>
        </w:tc>
        <w:tc>
          <w:tcPr>
            <w:tcW w:w="1300" w:type="dxa"/>
            <w:vAlign w:val="bottom"/>
            <w:vMerge w:val="restart"/>
            <w:shd w:val="clear" w:color="auto" w:fill="E7ECF0"/>
          </w:tcPr>
          <w:p>
            <w:pPr>
              <w:ind w:left="120"/>
              <w:spacing w:after="0"/>
              <w:rPr>
                <w:sz w:val="20"/>
                <w:szCs w:val="20"/>
                <w:color w:val="auto"/>
              </w:rPr>
            </w:pPr>
            <w:r>
              <w:rPr>
                <w:rFonts w:ascii="Arial" w:cs="Arial" w:eastAsia="Arial" w:hAnsi="Arial"/>
                <w:sz w:val="18"/>
                <w:szCs w:val="18"/>
                <w:color w:val="221F1F"/>
              </w:rPr>
              <w:t>(5)</w:t>
            </w:r>
          </w:p>
        </w:tc>
        <w:tc>
          <w:tcPr>
            <w:tcW w:w="1840" w:type="dxa"/>
            <w:vAlign w:val="bottom"/>
            <w:vMerge w:val="restart"/>
            <w:shd w:val="clear" w:color="auto" w:fill="E7ECF0"/>
          </w:tcPr>
          <w:p>
            <w:pPr>
              <w:jc w:val="right"/>
              <w:ind w:right="50"/>
              <w:spacing w:after="0"/>
              <w:rPr>
                <w:sz w:val="20"/>
                <w:szCs w:val="20"/>
                <w:color w:val="auto"/>
              </w:rPr>
            </w:pPr>
            <w:r>
              <w:rPr>
                <w:rFonts w:ascii="Arial" w:cs="Arial" w:eastAsia="Arial" w:hAnsi="Arial"/>
                <w:sz w:val="18"/>
                <w:szCs w:val="18"/>
                <w:color w:val="221F1F"/>
              </w:rPr>
              <w:t>5.1%</w:t>
            </w:r>
          </w:p>
        </w:tc>
        <w:tc>
          <w:tcPr>
            <w:tcW w:w="0" w:type="dxa"/>
            <w:vAlign w:val="bottom"/>
          </w:tcPr>
          <w:p>
            <w:pPr>
              <w:spacing w:after="0"/>
              <w:rPr>
                <w:sz w:val="1"/>
                <w:szCs w:val="1"/>
                <w:color w:val="auto"/>
              </w:rPr>
            </w:pPr>
          </w:p>
        </w:tc>
      </w:tr>
      <w:tr>
        <w:trPr>
          <w:trHeight w:val="153"/>
        </w:trPr>
        <w:tc>
          <w:tcPr>
            <w:tcW w:w="3180" w:type="dxa"/>
            <w:vAlign w:val="bottom"/>
            <w:vMerge w:val="restart"/>
            <w:shd w:val="clear" w:color="auto" w:fill="E7ECF0"/>
          </w:tcPr>
          <w:p>
            <w:pPr>
              <w:ind w:left="100"/>
              <w:spacing w:after="0"/>
              <w:rPr>
                <w:sz w:val="20"/>
                <w:szCs w:val="20"/>
                <w:color w:val="auto"/>
              </w:rPr>
            </w:pPr>
            <w:r>
              <w:rPr>
                <w:rFonts w:ascii="Arial" w:cs="Arial" w:eastAsia="Arial" w:hAnsi="Arial"/>
                <w:sz w:val="18"/>
                <w:szCs w:val="18"/>
                <w:color w:val="221F1F"/>
              </w:rPr>
              <w:t>Management, LLC</w:t>
            </w:r>
          </w:p>
        </w:tc>
        <w:tc>
          <w:tcPr>
            <w:tcW w:w="1820" w:type="dxa"/>
            <w:vAlign w:val="bottom"/>
            <w:vMerge w:val="continue"/>
            <w:shd w:val="clear" w:color="auto" w:fill="E7ECF0"/>
          </w:tcPr>
          <w:p>
            <w:pPr>
              <w:spacing w:after="0"/>
              <w:rPr>
                <w:sz w:val="13"/>
                <w:szCs w:val="13"/>
                <w:color w:val="auto"/>
              </w:rPr>
            </w:pPr>
          </w:p>
        </w:tc>
        <w:tc>
          <w:tcPr>
            <w:tcW w:w="1300" w:type="dxa"/>
            <w:vAlign w:val="bottom"/>
            <w:vMerge w:val="continue"/>
            <w:shd w:val="clear" w:color="auto" w:fill="E7ECF0"/>
          </w:tcPr>
          <w:p>
            <w:pPr>
              <w:spacing w:after="0"/>
              <w:rPr>
                <w:sz w:val="13"/>
                <w:szCs w:val="13"/>
                <w:color w:val="auto"/>
              </w:rPr>
            </w:pPr>
          </w:p>
        </w:tc>
        <w:tc>
          <w:tcPr>
            <w:tcW w:w="1840" w:type="dxa"/>
            <w:vAlign w:val="bottom"/>
            <w:vMerge w:val="continue"/>
            <w:shd w:val="clear" w:color="auto" w:fill="E7ECF0"/>
          </w:tcPr>
          <w:p>
            <w:pPr>
              <w:spacing w:after="0"/>
              <w:rPr>
                <w:sz w:val="13"/>
                <w:szCs w:val="13"/>
                <w:color w:val="auto"/>
              </w:rPr>
            </w:pPr>
          </w:p>
        </w:tc>
        <w:tc>
          <w:tcPr>
            <w:tcW w:w="0" w:type="dxa"/>
            <w:vAlign w:val="bottom"/>
          </w:tcPr>
          <w:p>
            <w:pPr>
              <w:spacing w:after="0"/>
              <w:rPr>
                <w:sz w:val="1"/>
                <w:szCs w:val="1"/>
                <w:color w:val="auto"/>
              </w:rPr>
            </w:pPr>
          </w:p>
        </w:tc>
      </w:tr>
      <w:tr>
        <w:trPr>
          <w:trHeight w:val="88"/>
        </w:trPr>
        <w:tc>
          <w:tcPr>
            <w:tcW w:w="3180" w:type="dxa"/>
            <w:vAlign w:val="bottom"/>
            <w:tcBorders>
              <w:bottom w:val="single" w:sz="8" w:color="DBDBDB"/>
            </w:tcBorders>
            <w:vMerge w:val="continue"/>
            <w:shd w:val="clear" w:color="auto" w:fill="E7ECF0"/>
          </w:tcPr>
          <w:p>
            <w:pPr>
              <w:spacing w:after="0"/>
              <w:rPr>
                <w:sz w:val="7"/>
                <w:szCs w:val="7"/>
                <w:color w:val="auto"/>
              </w:rPr>
            </w:pPr>
          </w:p>
        </w:tc>
        <w:tc>
          <w:tcPr>
            <w:tcW w:w="1820" w:type="dxa"/>
            <w:vAlign w:val="bottom"/>
            <w:tcBorders>
              <w:bottom w:val="single" w:sz="8" w:color="DBDBDB"/>
            </w:tcBorders>
            <w:shd w:val="clear" w:color="auto" w:fill="E7ECF0"/>
          </w:tcPr>
          <w:p>
            <w:pPr>
              <w:spacing w:after="0"/>
              <w:rPr>
                <w:sz w:val="7"/>
                <w:szCs w:val="7"/>
                <w:color w:val="auto"/>
              </w:rPr>
            </w:pPr>
          </w:p>
        </w:tc>
        <w:tc>
          <w:tcPr>
            <w:tcW w:w="1300" w:type="dxa"/>
            <w:vAlign w:val="bottom"/>
            <w:tcBorders>
              <w:bottom w:val="single" w:sz="8" w:color="DBDBDB"/>
            </w:tcBorders>
            <w:shd w:val="clear" w:color="auto" w:fill="E7ECF0"/>
          </w:tcPr>
          <w:p>
            <w:pPr>
              <w:spacing w:after="0"/>
              <w:rPr>
                <w:sz w:val="7"/>
                <w:szCs w:val="7"/>
                <w:color w:val="auto"/>
              </w:rPr>
            </w:pPr>
          </w:p>
        </w:tc>
        <w:tc>
          <w:tcPr>
            <w:tcW w:w="1840" w:type="dxa"/>
            <w:vAlign w:val="bottom"/>
            <w:tcBorders>
              <w:bottom w:val="single" w:sz="8" w:color="DBDBDB"/>
            </w:tcBorders>
            <w:shd w:val="clear" w:color="auto" w:fill="E7ECF0"/>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3180" w:type="dxa"/>
            <w:vAlign w:val="bottom"/>
            <w:tcBorders>
              <w:bottom w:val="single" w:sz="8" w:color="DBDBDB"/>
            </w:tcBorders>
          </w:tcPr>
          <w:p>
            <w:pPr>
              <w:ind w:left="100"/>
              <w:spacing w:after="0"/>
              <w:rPr>
                <w:sz w:val="20"/>
                <w:szCs w:val="20"/>
                <w:color w:val="auto"/>
              </w:rPr>
            </w:pPr>
            <w:r>
              <w:rPr>
                <w:rFonts w:ascii="Arial" w:cs="Arial" w:eastAsia="Arial" w:hAnsi="Arial"/>
                <w:sz w:val="18"/>
                <w:szCs w:val="18"/>
                <w:color w:val="221F1F"/>
              </w:rPr>
              <w:t>David B. Foss</w:t>
            </w:r>
          </w:p>
        </w:tc>
        <w:tc>
          <w:tcPr>
            <w:tcW w:w="1820" w:type="dxa"/>
            <w:vAlign w:val="bottom"/>
            <w:tcBorders>
              <w:bottom w:val="single" w:sz="8" w:color="DBDBDB"/>
            </w:tcBorders>
          </w:tcPr>
          <w:p>
            <w:pPr>
              <w:jc w:val="right"/>
              <w:ind w:right="30"/>
              <w:spacing w:after="0"/>
              <w:rPr>
                <w:sz w:val="20"/>
                <w:szCs w:val="20"/>
                <w:color w:val="auto"/>
              </w:rPr>
            </w:pPr>
            <w:r>
              <w:rPr>
                <w:rFonts w:ascii="Arial" w:cs="Arial" w:eastAsia="Arial" w:hAnsi="Arial"/>
                <w:sz w:val="18"/>
                <w:szCs w:val="18"/>
                <w:color w:val="221F1F"/>
              </w:rPr>
              <w:t>170,514</w:t>
            </w:r>
          </w:p>
        </w:tc>
        <w:tc>
          <w:tcPr>
            <w:tcW w:w="1300" w:type="dxa"/>
            <w:vAlign w:val="bottom"/>
            <w:tcBorders>
              <w:bottom w:val="single" w:sz="8" w:color="DBDBDB"/>
            </w:tcBorders>
          </w:tcPr>
          <w:p>
            <w:pPr>
              <w:ind w:left="120"/>
              <w:spacing w:after="0"/>
              <w:rPr>
                <w:sz w:val="20"/>
                <w:szCs w:val="20"/>
                <w:color w:val="auto"/>
              </w:rPr>
            </w:pPr>
            <w:r>
              <w:rPr>
                <w:rFonts w:ascii="Arial" w:cs="Arial" w:eastAsia="Arial" w:hAnsi="Arial"/>
                <w:sz w:val="18"/>
                <w:szCs w:val="18"/>
                <w:color w:val="221F1F"/>
              </w:rPr>
              <w:t>(6)</w:t>
            </w:r>
          </w:p>
        </w:tc>
        <w:tc>
          <w:tcPr>
            <w:tcW w:w="1840" w:type="dxa"/>
            <w:vAlign w:val="bottom"/>
            <w:tcBorders>
              <w:bottom w:val="single" w:sz="8" w:color="DBDBDB"/>
            </w:tcBorders>
          </w:tcPr>
          <w:p>
            <w:pPr>
              <w:jc w:val="right"/>
              <w:ind w:right="790"/>
              <w:spacing w:after="0"/>
              <w:rPr>
                <w:sz w:val="20"/>
                <w:szCs w:val="20"/>
                <w:color w:val="auto"/>
              </w:rPr>
            </w:pPr>
            <w:r>
              <w:rPr>
                <w:rFonts w:ascii="Arial" w:cs="Arial" w:eastAsia="Arial" w:hAnsi="Arial"/>
                <w:sz w:val="18"/>
                <w:szCs w:val="18"/>
                <w:color w:val="221F1F"/>
              </w:rPr>
              <w:t>*</w:t>
            </w:r>
          </w:p>
        </w:tc>
        <w:tc>
          <w:tcPr>
            <w:tcW w:w="0" w:type="dxa"/>
            <w:vAlign w:val="bottom"/>
          </w:tcPr>
          <w:p>
            <w:pPr>
              <w:spacing w:after="0"/>
              <w:rPr>
                <w:sz w:val="1"/>
                <w:szCs w:val="1"/>
                <w:color w:val="auto"/>
              </w:rPr>
            </w:pPr>
          </w:p>
        </w:tc>
      </w:tr>
      <w:tr>
        <w:trPr>
          <w:trHeight w:val="223"/>
        </w:trPr>
        <w:tc>
          <w:tcPr>
            <w:tcW w:w="3180" w:type="dxa"/>
            <w:vAlign w:val="bottom"/>
            <w:tcBorders>
              <w:bottom w:val="single" w:sz="8" w:color="DBDBDB"/>
            </w:tcBorders>
            <w:shd w:val="clear" w:color="auto" w:fill="E7ECF0"/>
          </w:tcPr>
          <w:p>
            <w:pPr>
              <w:ind w:left="100"/>
              <w:spacing w:after="0"/>
              <w:rPr>
                <w:sz w:val="20"/>
                <w:szCs w:val="20"/>
                <w:color w:val="auto"/>
              </w:rPr>
            </w:pPr>
            <w:r>
              <w:rPr>
                <w:rFonts w:ascii="Arial" w:cs="Arial" w:eastAsia="Arial" w:hAnsi="Arial"/>
                <w:sz w:val="18"/>
                <w:szCs w:val="18"/>
                <w:color w:val="221F1F"/>
              </w:rPr>
              <w:t>Wesley A. Brown</w:t>
            </w:r>
          </w:p>
        </w:tc>
        <w:tc>
          <w:tcPr>
            <w:tcW w:w="1820" w:type="dxa"/>
            <w:vAlign w:val="bottom"/>
            <w:tcBorders>
              <w:bottom w:val="single" w:sz="8" w:color="DBDBDB"/>
            </w:tcBorders>
            <w:shd w:val="clear" w:color="auto" w:fill="E7ECF0"/>
          </w:tcPr>
          <w:p>
            <w:pPr>
              <w:jc w:val="right"/>
              <w:ind w:right="30"/>
              <w:spacing w:after="0"/>
              <w:rPr>
                <w:sz w:val="20"/>
                <w:szCs w:val="20"/>
                <w:color w:val="auto"/>
              </w:rPr>
            </w:pPr>
            <w:r>
              <w:rPr>
                <w:rFonts w:ascii="Arial" w:cs="Arial" w:eastAsia="Arial" w:hAnsi="Arial"/>
                <w:sz w:val="18"/>
                <w:szCs w:val="18"/>
                <w:color w:val="221F1F"/>
              </w:rPr>
              <w:t>92,590</w:t>
            </w:r>
          </w:p>
        </w:tc>
        <w:tc>
          <w:tcPr>
            <w:tcW w:w="1300" w:type="dxa"/>
            <w:vAlign w:val="bottom"/>
            <w:tcBorders>
              <w:bottom w:val="single" w:sz="8" w:color="DBDBDB"/>
            </w:tcBorders>
            <w:shd w:val="clear" w:color="auto" w:fill="E7ECF0"/>
          </w:tcPr>
          <w:p>
            <w:pPr>
              <w:ind w:left="120"/>
              <w:spacing w:after="0"/>
              <w:rPr>
                <w:sz w:val="20"/>
                <w:szCs w:val="20"/>
                <w:color w:val="auto"/>
              </w:rPr>
            </w:pPr>
            <w:r>
              <w:rPr>
                <w:rFonts w:ascii="Arial" w:cs="Arial" w:eastAsia="Arial" w:hAnsi="Arial"/>
                <w:sz w:val="18"/>
                <w:szCs w:val="18"/>
                <w:color w:val="221F1F"/>
              </w:rPr>
              <w:t>(7)</w:t>
            </w:r>
          </w:p>
        </w:tc>
        <w:tc>
          <w:tcPr>
            <w:tcW w:w="1840" w:type="dxa"/>
            <w:vAlign w:val="bottom"/>
            <w:tcBorders>
              <w:bottom w:val="single" w:sz="8" w:color="DBDBDB"/>
            </w:tcBorders>
            <w:shd w:val="clear" w:color="auto" w:fill="E7ECF0"/>
          </w:tcPr>
          <w:p>
            <w:pPr>
              <w:jc w:val="right"/>
              <w:ind w:right="790"/>
              <w:spacing w:after="0"/>
              <w:rPr>
                <w:sz w:val="20"/>
                <w:szCs w:val="20"/>
                <w:color w:val="auto"/>
              </w:rPr>
            </w:pPr>
            <w:r>
              <w:rPr>
                <w:rFonts w:ascii="Arial" w:cs="Arial" w:eastAsia="Arial" w:hAnsi="Arial"/>
                <w:sz w:val="18"/>
                <w:szCs w:val="18"/>
                <w:color w:val="221F1F"/>
              </w:rPr>
              <w:t>*</w:t>
            </w:r>
          </w:p>
        </w:tc>
        <w:tc>
          <w:tcPr>
            <w:tcW w:w="0" w:type="dxa"/>
            <w:vAlign w:val="bottom"/>
          </w:tcPr>
          <w:p>
            <w:pPr>
              <w:spacing w:after="0"/>
              <w:rPr>
                <w:sz w:val="1"/>
                <w:szCs w:val="1"/>
                <w:color w:val="auto"/>
              </w:rPr>
            </w:pPr>
          </w:p>
        </w:tc>
      </w:tr>
      <w:tr>
        <w:trPr>
          <w:trHeight w:val="223"/>
        </w:trPr>
        <w:tc>
          <w:tcPr>
            <w:tcW w:w="3180" w:type="dxa"/>
            <w:vAlign w:val="bottom"/>
            <w:tcBorders>
              <w:bottom w:val="single" w:sz="8" w:color="DBDBDB"/>
            </w:tcBorders>
          </w:tcPr>
          <w:p>
            <w:pPr>
              <w:ind w:left="100"/>
              <w:spacing w:after="0"/>
              <w:rPr>
                <w:sz w:val="20"/>
                <w:szCs w:val="20"/>
                <w:color w:val="auto"/>
              </w:rPr>
            </w:pPr>
            <w:r>
              <w:rPr>
                <w:rFonts w:ascii="Arial" w:cs="Arial" w:eastAsia="Arial" w:hAnsi="Arial"/>
                <w:sz w:val="18"/>
                <w:szCs w:val="18"/>
                <w:color w:val="221F1F"/>
              </w:rPr>
              <w:t>Matthew C. Flanigan</w:t>
            </w:r>
          </w:p>
        </w:tc>
        <w:tc>
          <w:tcPr>
            <w:tcW w:w="1820" w:type="dxa"/>
            <w:vAlign w:val="bottom"/>
            <w:tcBorders>
              <w:bottom w:val="single" w:sz="8" w:color="DBDBDB"/>
            </w:tcBorders>
          </w:tcPr>
          <w:p>
            <w:pPr>
              <w:jc w:val="right"/>
              <w:ind w:right="30"/>
              <w:spacing w:after="0"/>
              <w:rPr>
                <w:sz w:val="20"/>
                <w:szCs w:val="20"/>
                <w:color w:val="auto"/>
              </w:rPr>
            </w:pPr>
            <w:r>
              <w:rPr>
                <w:rFonts w:ascii="Arial" w:cs="Arial" w:eastAsia="Arial" w:hAnsi="Arial"/>
                <w:sz w:val="18"/>
                <w:szCs w:val="18"/>
                <w:color w:val="221F1F"/>
              </w:rPr>
              <w:t>45,135</w:t>
            </w:r>
          </w:p>
        </w:tc>
        <w:tc>
          <w:tcPr>
            <w:tcW w:w="1300" w:type="dxa"/>
            <w:vAlign w:val="bottom"/>
            <w:tcBorders>
              <w:bottom w:val="single" w:sz="8" w:color="DBDBDB"/>
            </w:tcBorders>
          </w:tcPr>
          <w:p>
            <w:pPr>
              <w:ind w:left="120"/>
              <w:spacing w:after="0"/>
              <w:rPr>
                <w:sz w:val="20"/>
                <w:szCs w:val="20"/>
                <w:color w:val="auto"/>
              </w:rPr>
            </w:pPr>
            <w:r>
              <w:rPr>
                <w:rFonts w:ascii="Arial" w:cs="Arial" w:eastAsia="Arial" w:hAnsi="Arial"/>
                <w:sz w:val="18"/>
                <w:szCs w:val="18"/>
                <w:color w:val="221F1F"/>
              </w:rPr>
              <w:t>(7)</w:t>
            </w:r>
          </w:p>
        </w:tc>
        <w:tc>
          <w:tcPr>
            <w:tcW w:w="1840" w:type="dxa"/>
            <w:vAlign w:val="bottom"/>
            <w:tcBorders>
              <w:bottom w:val="single" w:sz="8" w:color="DBDBDB"/>
            </w:tcBorders>
          </w:tcPr>
          <w:p>
            <w:pPr>
              <w:jc w:val="right"/>
              <w:ind w:right="790"/>
              <w:spacing w:after="0"/>
              <w:rPr>
                <w:sz w:val="20"/>
                <w:szCs w:val="20"/>
                <w:color w:val="auto"/>
              </w:rPr>
            </w:pPr>
            <w:r>
              <w:rPr>
                <w:rFonts w:ascii="Arial" w:cs="Arial" w:eastAsia="Arial" w:hAnsi="Arial"/>
                <w:sz w:val="18"/>
                <w:szCs w:val="18"/>
                <w:color w:val="221F1F"/>
              </w:rPr>
              <w:t>*</w:t>
            </w:r>
          </w:p>
        </w:tc>
        <w:tc>
          <w:tcPr>
            <w:tcW w:w="0" w:type="dxa"/>
            <w:vAlign w:val="bottom"/>
          </w:tcPr>
          <w:p>
            <w:pPr>
              <w:spacing w:after="0"/>
              <w:rPr>
                <w:sz w:val="1"/>
                <w:szCs w:val="1"/>
                <w:color w:val="auto"/>
              </w:rPr>
            </w:pPr>
          </w:p>
        </w:tc>
      </w:tr>
      <w:tr>
        <w:trPr>
          <w:trHeight w:val="223"/>
        </w:trPr>
        <w:tc>
          <w:tcPr>
            <w:tcW w:w="3180" w:type="dxa"/>
            <w:vAlign w:val="bottom"/>
            <w:tcBorders>
              <w:bottom w:val="single" w:sz="8" w:color="DBDBDB"/>
            </w:tcBorders>
            <w:shd w:val="clear" w:color="auto" w:fill="E7ECF0"/>
          </w:tcPr>
          <w:p>
            <w:pPr>
              <w:ind w:left="100"/>
              <w:spacing w:after="0"/>
              <w:rPr>
                <w:sz w:val="20"/>
                <w:szCs w:val="20"/>
                <w:color w:val="auto"/>
              </w:rPr>
            </w:pPr>
            <w:r>
              <w:rPr>
                <w:rFonts w:ascii="Arial" w:cs="Arial" w:eastAsia="Arial" w:hAnsi="Arial"/>
                <w:sz w:val="18"/>
                <w:szCs w:val="18"/>
                <w:color w:val="221F1F"/>
              </w:rPr>
              <w:t>Thomas A. Wimsett</w:t>
            </w:r>
          </w:p>
        </w:tc>
        <w:tc>
          <w:tcPr>
            <w:tcW w:w="1820" w:type="dxa"/>
            <w:vAlign w:val="bottom"/>
            <w:tcBorders>
              <w:bottom w:val="single" w:sz="8" w:color="DBDBDB"/>
            </w:tcBorders>
            <w:shd w:val="clear" w:color="auto" w:fill="E7ECF0"/>
          </w:tcPr>
          <w:p>
            <w:pPr>
              <w:jc w:val="right"/>
              <w:ind w:right="30"/>
              <w:spacing w:after="0"/>
              <w:rPr>
                <w:sz w:val="20"/>
                <w:szCs w:val="20"/>
                <w:color w:val="auto"/>
              </w:rPr>
            </w:pPr>
            <w:r>
              <w:rPr>
                <w:rFonts w:ascii="Arial" w:cs="Arial" w:eastAsia="Arial" w:hAnsi="Arial"/>
                <w:sz w:val="18"/>
                <w:szCs w:val="18"/>
                <w:color w:val="221F1F"/>
              </w:rPr>
              <w:t>39,106</w:t>
            </w:r>
          </w:p>
        </w:tc>
        <w:tc>
          <w:tcPr>
            <w:tcW w:w="1300" w:type="dxa"/>
            <w:vAlign w:val="bottom"/>
            <w:tcBorders>
              <w:bottom w:val="single" w:sz="8" w:color="DBDBDB"/>
            </w:tcBorders>
            <w:shd w:val="clear" w:color="auto" w:fill="E7ECF0"/>
          </w:tcPr>
          <w:p>
            <w:pPr>
              <w:ind w:left="120"/>
              <w:spacing w:after="0"/>
              <w:rPr>
                <w:sz w:val="20"/>
                <w:szCs w:val="20"/>
                <w:color w:val="auto"/>
              </w:rPr>
            </w:pPr>
            <w:r>
              <w:rPr>
                <w:rFonts w:ascii="Arial" w:cs="Arial" w:eastAsia="Arial" w:hAnsi="Arial"/>
                <w:sz w:val="18"/>
                <w:szCs w:val="18"/>
                <w:color w:val="221F1F"/>
              </w:rPr>
              <w:t>(7)</w:t>
            </w:r>
          </w:p>
        </w:tc>
        <w:tc>
          <w:tcPr>
            <w:tcW w:w="1840" w:type="dxa"/>
            <w:vAlign w:val="bottom"/>
            <w:tcBorders>
              <w:bottom w:val="single" w:sz="8" w:color="DBDBDB"/>
            </w:tcBorders>
            <w:shd w:val="clear" w:color="auto" w:fill="E7ECF0"/>
          </w:tcPr>
          <w:p>
            <w:pPr>
              <w:jc w:val="right"/>
              <w:ind w:right="790"/>
              <w:spacing w:after="0"/>
              <w:rPr>
                <w:sz w:val="20"/>
                <w:szCs w:val="20"/>
                <w:color w:val="auto"/>
              </w:rPr>
            </w:pPr>
            <w:r>
              <w:rPr>
                <w:rFonts w:ascii="Arial" w:cs="Arial" w:eastAsia="Arial" w:hAnsi="Arial"/>
                <w:sz w:val="18"/>
                <w:szCs w:val="18"/>
                <w:color w:val="221F1F"/>
              </w:rPr>
              <w:t>*</w:t>
            </w:r>
          </w:p>
        </w:tc>
        <w:tc>
          <w:tcPr>
            <w:tcW w:w="0" w:type="dxa"/>
            <w:vAlign w:val="bottom"/>
          </w:tcPr>
          <w:p>
            <w:pPr>
              <w:spacing w:after="0"/>
              <w:rPr>
                <w:sz w:val="1"/>
                <w:szCs w:val="1"/>
                <w:color w:val="auto"/>
              </w:rPr>
            </w:pPr>
          </w:p>
        </w:tc>
      </w:tr>
      <w:tr>
        <w:trPr>
          <w:trHeight w:val="223"/>
        </w:trPr>
        <w:tc>
          <w:tcPr>
            <w:tcW w:w="3180" w:type="dxa"/>
            <w:vAlign w:val="bottom"/>
            <w:tcBorders>
              <w:bottom w:val="single" w:sz="8" w:color="DBDBDB"/>
            </w:tcBorders>
          </w:tcPr>
          <w:p>
            <w:pPr>
              <w:ind w:left="100"/>
              <w:spacing w:after="0"/>
              <w:rPr>
                <w:sz w:val="20"/>
                <w:szCs w:val="20"/>
                <w:color w:val="auto"/>
              </w:rPr>
            </w:pPr>
            <w:r>
              <w:rPr>
                <w:rFonts w:ascii="Arial" w:cs="Arial" w:eastAsia="Arial" w:hAnsi="Arial"/>
                <w:sz w:val="18"/>
                <w:szCs w:val="18"/>
                <w:color w:val="221F1F"/>
              </w:rPr>
              <w:t>Jacque R. Fiegel</w:t>
            </w:r>
          </w:p>
        </w:tc>
        <w:tc>
          <w:tcPr>
            <w:tcW w:w="1820" w:type="dxa"/>
            <w:vAlign w:val="bottom"/>
            <w:tcBorders>
              <w:bottom w:val="single" w:sz="8" w:color="DBDBDB"/>
            </w:tcBorders>
          </w:tcPr>
          <w:p>
            <w:pPr>
              <w:jc w:val="right"/>
              <w:ind w:right="30"/>
              <w:spacing w:after="0"/>
              <w:rPr>
                <w:sz w:val="20"/>
                <w:szCs w:val="20"/>
                <w:color w:val="auto"/>
              </w:rPr>
            </w:pPr>
            <w:r>
              <w:rPr>
                <w:rFonts w:ascii="Arial" w:cs="Arial" w:eastAsia="Arial" w:hAnsi="Arial"/>
                <w:sz w:val="18"/>
                <w:szCs w:val="18"/>
                <w:color w:val="221F1F"/>
              </w:rPr>
              <w:t>21,414</w:t>
            </w:r>
          </w:p>
        </w:tc>
        <w:tc>
          <w:tcPr>
            <w:tcW w:w="1300" w:type="dxa"/>
            <w:vAlign w:val="bottom"/>
            <w:tcBorders>
              <w:bottom w:val="single" w:sz="8" w:color="DBDBDB"/>
            </w:tcBorders>
          </w:tcPr>
          <w:p>
            <w:pPr>
              <w:ind w:left="120"/>
              <w:spacing w:after="0"/>
              <w:rPr>
                <w:sz w:val="20"/>
                <w:szCs w:val="20"/>
                <w:color w:val="auto"/>
              </w:rPr>
            </w:pPr>
            <w:r>
              <w:rPr>
                <w:rFonts w:ascii="Arial" w:cs="Arial" w:eastAsia="Arial" w:hAnsi="Arial"/>
                <w:sz w:val="18"/>
                <w:szCs w:val="18"/>
                <w:color w:val="221F1F"/>
              </w:rPr>
              <w:t>(7)</w:t>
            </w:r>
          </w:p>
        </w:tc>
        <w:tc>
          <w:tcPr>
            <w:tcW w:w="1840" w:type="dxa"/>
            <w:vAlign w:val="bottom"/>
            <w:tcBorders>
              <w:bottom w:val="single" w:sz="8" w:color="DBDBDB"/>
            </w:tcBorders>
          </w:tcPr>
          <w:p>
            <w:pPr>
              <w:jc w:val="right"/>
              <w:ind w:right="790"/>
              <w:spacing w:after="0"/>
              <w:rPr>
                <w:sz w:val="20"/>
                <w:szCs w:val="20"/>
                <w:color w:val="auto"/>
              </w:rPr>
            </w:pPr>
            <w:r>
              <w:rPr>
                <w:rFonts w:ascii="Arial" w:cs="Arial" w:eastAsia="Arial" w:hAnsi="Arial"/>
                <w:sz w:val="18"/>
                <w:szCs w:val="18"/>
                <w:color w:val="221F1F"/>
              </w:rPr>
              <w:t>*</w:t>
            </w:r>
          </w:p>
        </w:tc>
        <w:tc>
          <w:tcPr>
            <w:tcW w:w="0" w:type="dxa"/>
            <w:vAlign w:val="bottom"/>
          </w:tcPr>
          <w:p>
            <w:pPr>
              <w:spacing w:after="0"/>
              <w:rPr>
                <w:sz w:val="1"/>
                <w:szCs w:val="1"/>
                <w:color w:val="auto"/>
              </w:rPr>
            </w:pPr>
          </w:p>
        </w:tc>
      </w:tr>
      <w:tr>
        <w:trPr>
          <w:trHeight w:val="223"/>
        </w:trPr>
        <w:tc>
          <w:tcPr>
            <w:tcW w:w="3180" w:type="dxa"/>
            <w:vAlign w:val="bottom"/>
            <w:tcBorders>
              <w:bottom w:val="single" w:sz="8" w:color="DBDBDB"/>
            </w:tcBorders>
            <w:shd w:val="clear" w:color="auto" w:fill="E7ECF0"/>
          </w:tcPr>
          <w:p>
            <w:pPr>
              <w:ind w:left="100"/>
              <w:spacing w:after="0"/>
              <w:rPr>
                <w:sz w:val="20"/>
                <w:szCs w:val="20"/>
                <w:color w:val="auto"/>
              </w:rPr>
            </w:pPr>
            <w:r>
              <w:rPr>
                <w:rFonts w:ascii="Arial" w:cs="Arial" w:eastAsia="Arial" w:hAnsi="Arial"/>
                <w:sz w:val="18"/>
                <w:szCs w:val="18"/>
                <w:color w:val="221F1F"/>
              </w:rPr>
              <w:t>Thomas H. Wilson, Jr.</w:t>
            </w:r>
          </w:p>
        </w:tc>
        <w:tc>
          <w:tcPr>
            <w:tcW w:w="1820" w:type="dxa"/>
            <w:vAlign w:val="bottom"/>
            <w:tcBorders>
              <w:bottom w:val="single" w:sz="8" w:color="DBDBDB"/>
            </w:tcBorders>
            <w:shd w:val="clear" w:color="auto" w:fill="E7ECF0"/>
          </w:tcPr>
          <w:p>
            <w:pPr>
              <w:jc w:val="right"/>
              <w:ind w:right="30"/>
              <w:spacing w:after="0"/>
              <w:rPr>
                <w:sz w:val="20"/>
                <w:szCs w:val="20"/>
                <w:color w:val="auto"/>
              </w:rPr>
            </w:pPr>
            <w:r>
              <w:rPr>
                <w:rFonts w:ascii="Arial" w:cs="Arial" w:eastAsia="Arial" w:hAnsi="Arial"/>
                <w:sz w:val="18"/>
                <w:szCs w:val="18"/>
                <w:color w:val="221F1F"/>
              </w:rPr>
              <w:t>15,493</w:t>
            </w:r>
          </w:p>
        </w:tc>
        <w:tc>
          <w:tcPr>
            <w:tcW w:w="1300" w:type="dxa"/>
            <w:vAlign w:val="bottom"/>
            <w:tcBorders>
              <w:bottom w:val="single" w:sz="8" w:color="DBDBDB"/>
            </w:tcBorders>
            <w:shd w:val="clear" w:color="auto" w:fill="E7ECF0"/>
          </w:tcPr>
          <w:p>
            <w:pPr>
              <w:ind w:left="120"/>
              <w:spacing w:after="0"/>
              <w:rPr>
                <w:sz w:val="20"/>
                <w:szCs w:val="20"/>
                <w:color w:val="auto"/>
              </w:rPr>
            </w:pPr>
            <w:r>
              <w:rPr>
                <w:rFonts w:ascii="Arial" w:cs="Arial" w:eastAsia="Arial" w:hAnsi="Arial"/>
                <w:sz w:val="18"/>
                <w:szCs w:val="18"/>
                <w:color w:val="221F1F"/>
              </w:rPr>
              <w:t>(7)(8)</w:t>
            </w:r>
          </w:p>
        </w:tc>
        <w:tc>
          <w:tcPr>
            <w:tcW w:w="1840" w:type="dxa"/>
            <w:vAlign w:val="bottom"/>
            <w:tcBorders>
              <w:bottom w:val="single" w:sz="8" w:color="DBDBDB"/>
            </w:tcBorders>
            <w:shd w:val="clear" w:color="auto" w:fill="E7ECF0"/>
          </w:tcPr>
          <w:p>
            <w:pPr>
              <w:jc w:val="right"/>
              <w:ind w:right="790"/>
              <w:spacing w:after="0"/>
              <w:rPr>
                <w:sz w:val="20"/>
                <w:szCs w:val="20"/>
                <w:color w:val="auto"/>
              </w:rPr>
            </w:pPr>
            <w:r>
              <w:rPr>
                <w:rFonts w:ascii="Arial" w:cs="Arial" w:eastAsia="Arial" w:hAnsi="Arial"/>
                <w:sz w:val="18"/>
                <w:szCs w:val="18"/>
                <w:color w:val="221F1F"/>
              </w:rPr>
              <w:t>*</w:t>
            </w:r>
          </w:p>
        </w:tc>
        <w:tc>
          <w:tcPr>
            <w:tcW w:w="0" w:type="dxa"/>
            <w:vAlign w:val="bottom"/>
          </w:tcPr>
          <w:p>
            <w:pPr>
              <w:spacing w:after="0"/>
              <w:rPr>
                <w:sz w:val="1"/>
                <w:szCs w:val="1"/>
                <w:color w:val="auto"/>
              </w:rPr>
            </w:pPr>
          </w:p>
        </w:tc>
      </w:tr>
      <w:tr>
        <w:trPr>
          <w:trHeight w:val="223"/>
        </w:trPr>
        <w:tc>
          <w:tcPr>
            <w:tcW w:w="3180" w:type="dxa"/>
            <w:vAlign w:val="bottom"/>
            <w:tcBorders>
              <w:bottom w:val="single" w:sz="8" w:color="DBDBDB"/>
            </w:tcBorders>
          </w:tcPr>
          <w:p>
            <w:pPr>
              <w:ind w:left="100"/>
              <w:spacing w:after="0"/>
              <w:rPr>
                <w:sz w:val="20"/>
                <w:szCs w:val="20"/>
                <w:color w:val="auto"/>
              </w:rPr>
            </w:pPr>
            <w:r>
              <w:rPr>
                <w:rFonts w:ascii="Arial" w:cs="Arial" w:eastAsia="Arial" w:hAnsi="Arial"/>
                <w:sz w:val="18"/>
                <w:szCs w:val="18"/>
                <w:color w:val="221F1F"/>
              </w:rPr>
              <w:t>Gregory R. Adelson</w:t>
            </w:r>
          </w:p>
        </w:tc>
        <w:tc>
          <w:tcPr>
            <w:tcW w:w="1820" w:type="dxa"/>
            <w:vAlign w:val="bottom"/>
            <w:tcBorders>
              <w:bottom w:val="single" w:sz="8" w:color="DBDBDB"/>
            </w:tcBorders>
          </w:tcPr>
          <w:p>
            <w:pPr>
              <w:jc w:val="right"/>
              <w:ind w:right="30"/>
              <w:spacing w:after="0"/>
              <w:rPr>
                <w:sz w:val="20"/>
                <w:szCs w:val="20"/>
                <w:color w:val="auto"/>
              </w:rPr>
            </w:pPr>
            <w:r>
              <w:rPr>
                <w:rFonts w:ascii="Arial" w:cs="Arial" w:eastAsia="Arial" w:hAnsi="Arial"/>
                <w:sz w:val="18"/>
                <w:szCs w:val="18"/>
                <w:color w:val="221F1F"/>
              </w:rPr>
              <w:t>15,088</w:t>
            </w:r>
          </w:p>
        </w:tc>
        <w:tc>
          <w:tcPr>
            <w:tcW w:w="1300" w:type="dxa"/>
            <w:vAlign w:val="bottom"/>
            <w:tcBorders>
              <w:bottom w:val="single" w:sz="8" w:color="DBDBDB"/>
            </w:tcBorders>
          </w:tcPr>
          <w:p>
            <w:pPr>
              <w:ind w:left="120"/>
              <w:spacing w:after="0"/>
              <w:rPr>
                <w:sz w:val="20"/>
                <w:szCs w:val="20"/>
                <w:color w:val="auto"/>
              </w:rPr>
            </w:pPr>
            <w:r>
              <w:rPr>
                <w:rFonts w:ascii="Arial" w:cs="Arial" w:eastAsia="Arial" w:hAnsi="Arial"/>
                <w:sz w:val="18"/>
                <w:szCs w:val="18"/>
                <w:color w:val="221F1F"/>
              </w:rPr>
              <w:t>(9)</w:t>
            </w:r>
          </w:p>
        </w:tc>
        <w:tc>
          <w:tcPr>
            <w:tcW w:w="1840" w:type="dxa"/>
            <w:vAlign w:val="bottom"/>
            <w:tcBorders>
              <w:bottom w:val="single" w:sz="8" w:color="DBDBDB"/>
            </w:tcBorders>
          </w:tcPr>
          <w:p>
            <w:pPr>
              <w:jc w:val="right"/>
              <w:ind w:right="790"/>
              <w:spacing w:after="0"/>
              <w:rPr>
                <w:sz w:val="20"/>
                <w:szCs w:val="20"/>
                <w:color w:val="auto"/>
              </w:rPr>
            </w:pPr>
            <w:r>
              <w:rPr>
                <w:rFonts w:ascii="Arial" w:cs="Arial" w:eastAsia="Arial" w:hAnsi="Arial"/>
                <w:sz w:val="18"/>
                <w:szCs w:val="18"/>
                <w:color w:val="221F1F"/>
              </w:rPr>
              <w:t>*</w:t>
            </w:r>
          </w:p>
        </w:tc>
        <w:tc>
          <w:tcPr>
            <w:tcW w:w="0" w:type="dxa"/>
            <w:vAlign w:val="bottom"/>
          </w:tcPr>
          <w:p>
            <w:pPr>
              <w:spacing w:after="0"/>
              <w:rPr>
                <w:sz w:val="1"/>
                <w:szCs w:val="1"/>
                <w:color w:val="auto"/>
              </w:rPr>
            </w:pPr>
          </w:p>
        </w:tc>
      </w:tr>
      <w:tr>
        <w:trPr>
          <w:trHeight w:val="223"/>
        </w:trPr>
        <w:tc>
          <w:tcPr>
            <w:tcW w:w="3180" w:type="dxa"/>
            <w:vAlign w:val="bottom"/>
            <w:shd w:val="clear" w:color="auto" w:fill="E7ECF0"/>
          </w:tcPr>
          <w:p>
            <w:pPr>
              <w:ind w:left="100"/>
              <w:spacing w:after="0"/>
              <w:rPr>
                <w:sz w:val="20"/>
                <w:szCs w:val="20"/>
                <w:color w:val="auto"/>
              </w:rPr>
            </w:pPr>
            <w:r>
              <w:rPr>
                <w:rFonts w:ascii="Arial" w:cs="Arial" w:eastAsia="Arial" w:hAnsi="Arial"/>
                <w:sz w:val="18"/>
                <w:szCs w:val="18"/>
                <w:color w:val="221F1F"/>
              </w:rPr>
              <w:t>Shruti S. Miyashiro</w:t>
            </w:r>
          </w:p>
        </w:tc>
        <w:tc>
          <w:tcPr>
            <w:tcW w:w="1820" w:type="dxa"/>
            <w:vAlign w:val="bottom"/>
            <w:shd w:val="clear" w:color="auto" w:fill="E7ECF0"/>
          </w:tcPr>
          <w:p>
            <w:pPr>
              <w:jc w:val="right"/>
              <w:ind w:right="30"/>
              <w:spacing w:after="0"/>
              <w:rPr>
                <w:sz w:val="20"/>
                <w:szCs w:val="20"/>
                <w:color w:val="auto"/>
              </w:rPr>
            </w:pPr>
            <w:r>
              <w:rPr>
                <w:rFonts w:ascii="Arial" w:cs="Arial" w:eastAsia="Arial" w:hAnsi="Arial"/>
                <w:sz w:val="18"/>
                <w:szCs w:val="18"/>
                <w:color w:val="221F1F"/>
              </w:rPr>
              <w:t>13,128</w:t>
            </w:r>
          </w:p>
        </w:tc>
        <w:tc>
          <w:tcPr>
            <w:tcW w:w="1300" w:type="dxa"/>
            <w:vAlign w:val="bottom"/>
            <w:shd w:val="clear" w:color="auto" w:fill="E7ECF0"/>
          </w:tcPr>
          <w:p>
            <w:pPr>
              <w:ind w:left="120"/>
              <w:spacing w:after="0"/>
              <w:rPr>
                <w:sz w:val="20"/>
                <w:szCs w:val="20"/>
                <w:color w:val="auto"/>
              </w:rPr>
            </w:pPr>
            <w:r>
              <w:rPr>
                <w:rFonts w:ascii="Arial" w:cs="Arial" w:eastAsia="Arial" w:hAnsi="Arial"/>
                <w:sz w:val="18"/>
                <w:szCs w:val="18"/>
                <w:color w:val="221F1F"/>
              </w:rPr>
              <w:t>(7)</w:t>
            </w:r>
          </w:p>
        </w:tc>
        <w:tc>
          <w:tcPr>
            <w:tcW w:w="1840" w:type="dxa"/>
            <w:vAlign w:val="bottom"/>
            <w:tcBorders>
              <w:bottom w:val="single" w:sz="8" w:color="DBDBDB"/>
            </w:tcBorders>
            <w:shd w:val="clear" w:color="auto" w:fill="E7ECF0"/>
          </w:tcPr>
          <w:p>
            <w:pPr>
              <w:jc w:val="right"/>
              <w:ind w:right="790"/>
              <w:spacing w:after="0"/>
              <w:rPr>
                <w:sz w:val="20"/>
                <w:szCs w:val="20"/>
                <w:color w:val="auto"/>
              </w:rPr>
            </w:pPr>
            <w:r>
              <w:rPr>
                <w:rFonts w:ascii="Arial" w:cs="Arial" w:eastAsia="Arial" w:hAnsi="Arial"/>
                <w:sz w:val="18"/>
                <w:szCs w:val="18"/>
                <w:color w:val="221F1F"/>
              </w:rPr>
              <w:t>*</w:t>
            </w:r>
          </w:p>
        </w:tc>
        <w:tc>
          <w:tcPr>
            <w:tcW w:w="0" w:type="dxa"/>
            <w:vAlign w:val="bottom"/>
          </w:tcPr>
          <w:p>
            <w:pPr>
              <w:spacing w:after="0"/>
              <w:rPr>
                <w:sz w:val="1"/>
                <w:szCs w:val="1"/>
                <w:color w:val="auto"/>
              </w:rPr>
            </w:pPr>
          </w:p>
        </w:tc>
      </w:tr>
      <w:tr>
        <w:trPr>
          <w:trHeight w:val="223"/>
        </w:trPr>
        <w:tc>
          <w:tcPr>
            <w:tcW w:w="3180" w:type="dxa"/>
            <w:vAlign w:val="bottom"/>
            <w:tcBorders>
              <w:bottom w:val="single" w:sz="8" w:color="DBDBDB"/>
            </w:tcBorders>
          </w:tcPr>
          <w:p>
            <w:pPr>
              <w:ind w:left="100"/>
              <w:spacing w:after="0"/>
              <w:rPr>
                <w:sz w:val="20"/>
                <w:szCs w:val="20"/>
                <w:color w:val="auto"/>
              </w:rPr>
            </w:pPr>
            <w:r>
              <w:rPr>
                <w:rFonts w:ascii="Arial" w:cs="Arial" w:eastAsia="Arial" w:hAnsi="Arial"/>
                <w:sz w:val="18"/>
                <w:szCs w:val="18"/>
                <w:color w:val="221F1F"/>
              </w:rPr>
              <w:t>Craig K. Morgan</w:t>
            </w:r>
          </w:p>
        </w:tc>
        <w:tc>
          <w:tcPr>
            <w:tcW w:w="1820" w:type="dxa"/>
            <w:vAlign w:val="bottom"/>
            <w:tcBorders>
              <w:bottom w:val="single" w:sz="8" w:color="DBDBDB"/>
            </w:tcBorders>
          </w:tcPr>
          <w:p>
            <w:pPr>
              <w:jc w:val="right"/>
              <w:ind w:right="30"/>
              <w:spacing w:after="0"/>
              <w:rPr>
                <w:sz w:val="20"/>
                <w:szCs w:val="20"/>
                <w:color w:val="auto"/>
              </w:rPr>
            </w:pPr>
            <w:r>
              <w:rPr>
                <w:rFonts w:ascii="Arial" w:cs="Arial" w:eastAsia="Arial" w:hAnsi="Arial"/>
                <w:sz w:val="18"/>
                <w:szCs w:val="18"/>
                <w:color w:val="221F1F"/>
              </w:rPr>
              <w:t>12,902</w:t>
            </w:r>
          </w:p>
        </w:tc>
        <w:tc>
          <w:tcPr>
            <w:tcW w:w="1300" w:type="dxa"/>
            <w:vAlign w:val="bottom"/>
            <w:tcBorders>
              <w:bottom w:val="single" w:sz="8" w:color="DBDBDB"/>
            </w:tcBorders>
          </w:tcPr>
          <w:p>
            <w:pPr>
              <w:ind w:left="120"/>
              <w:spacing w:after="0"/>
              <w:rPr>
                <w:sz w:val="20"/>
                <w:szCs w:val="20"/>
                <w:color w:val="auto"/>
              </w:rPr>
            </w:pPr>
            <w:r>
              <w:rPr>
                <w:rFonts w:ascii="Arial" w:cs="Arial" w:eastAsia="Arial" w:hAnsi="Arial"/>
                <w:sz w:val="18"/>
                <w:szCs w:val="18"/>
                <w:color w:val="221F1F"/>
              </w:rPr>
              <w:t>(10)</w:t>
            </w:r>
          </w:p>
        </w:tc>
        <w:tc>
          <w:tcPr>
            <w:tcW w:w="1840" w:type="dxa"/>
            <w:vAlign w:val="bottom"/>
            <w:tcBorders>
              <w:bottom w:val="single" w:sz="8" w:color="DBDBDB"/>
            </w:tcBorders>
          </w:tcPr>
          <w:p>
            <w:pPr>
              <w:jc w:val="right"/>
              <w:ind w:right="790"/>
              <w:spacing w:after="0"/>
              <w:rPr>
                <w:sz w:val="20"/>
                <w:szCs w:val="20"/>
                <w:color w:val="auto"/>
              </w:rPr>
            </w:pPr>
            <w:r>
              <w:rPr>
                <w:rFonts w:ascii="Arial" w:cs="Arial" w:eastAsia="Arial" w:hAnsi="Arial"/>
                <w:sz w:val="18"/>
                <w:szCs w:val="18"/>
                <w:color w:val="221F1F"/>
              </w:rPr>
              <w:t>*</w:t>
            </w:r>
          </w:p>
        </w:tc>
        <w:tc>
          <w:tcPr>
            <w:tcW w:w="0" w:type="dxa"/>
            <w:vAlign w:val="bottom"/>
          </w:tcPr>
          <w:p>
            <w:pPr>
              <w:spacing w:after="0"/>
              <w:rPr>
                <w:sz w:val="1"/>
                <w:szCs w:val="1"/>
                <w:color w:val="auto"/>
              </w:rPr>
            </w:pPr>
          </w:p>
        </w:tc>
      </w:tr>
      <w:tr>
        <w:trPr>
          <w:trHeight w:val="223"/>
        </w:trPr>
        <w:tc>
          <w:tcPr>
            <w:tcW w:w="3180" w:type="dxa"/>
            <w:vAlign w:val="bottom"/>
            <w:tcBorders>
              <w:bottom w:val="single" w:sz="8" w:color="DBDBDB"/>
            </w:tcBorders>
            <w:shd w:val="clear" w:color="auto" w:fill="E7ECF0"/>
          </w:tcPr>
          <w:p>
            <w:pPr>
              <w:ind w:left="100"/>
              <w:spacing w:after="0"/>
              <w:rPr>
                <w:sz w:val="20"/>
                <w:szCs w:val="20"/>
                <w:color w:val="auto"/>
              </w:rPr>
            </w:pPr>
            <w:r>
              <w:rPr>
                <w:rFonts w:ascii="Arial" w:cs="Arial" w:eastAsia="Arial" w:hAnsi="Arial"/>
                <w:sz w:val="18"/>
                <w:szCs w:val="18"/>
                <w:color w:val="auto"/>
              </w:rPr>
              <w:t>Stacey E. Zengel</w:t>
            </w:r>
          </w:p>
        </w:tc>
        <w:tc>
          <w:tcPr>
            <w:tcW w:w="1820" w:type="dxa"/>
            <w:vAlign w:val="bottom"/>
            <w:tcBorders>
              <w:bottom w:val="single" w:sz="8" w:color="DBDBDB"/>
            </w:tcBorders>
            <w:shd w:val="clear" w:color="auto" w:fill="E7ECF0"/>
          </w:tcPr>
          <w:p>
            <w:pPr>
              <w:jc w:val="right"/>
              <w:ind w:right="30"/>
              <w:spacing w:after="0"/>
              <w:rPr>
                <w:sz w:val="20"/>
                <w:szCs w:val="20"/>
                <w:color w:val="auto"/>
              </w:rPr>
            </w:pPr>
            <w:r>
              <w:rPr>
                <w:rFonts w:ascii="Arial" w:cs="Arial" w:eastAsia="Arial" w:hAnsi="Arial"/>
                <w:sz w:val="18"/>
                <w:szCs w:val="18"/>
                <w:color w:val="auto"/>
              </w:rPr>
              <w:t>5,875</w:t>
            </w:r>
          </w:p>
        </w:tc>
        <w:tc>
          <w:tcPr>
            <w:tcW w:w="1300" w:type="dxa"/>
            <w:vAlign w:val="bottom"/>
            <w:tcBorders>
              <w:bottom w:val="single" w:sz="8" w:color="DBDBDB"/>
            </w:tcBorders>
            <w:shd w:val="clear" w:color="auto" w:fill="E7ECF0"/>
          </w:tcPr>
          <w:p>
            <w:pPr>
              <w:ind w:left="120"/>
              <w:spacing w:after="0"/>
              <w:rPr>
                <w:sz w:val="20"/>
                <w:szCs w:val="20"/>
                <w:color w:val="auto"/>
              </w:rPr>
            </w:pPr>
            <w:r>
              <w:rPr>
                <w:rFonts w:ascii="Arial" w:cs="Arial" w:eastAsia="Arial" w:hAnsi="Arial"/>
                <w:sz w:val="18"/>
                <w:szCs w:val="18"/>
                <w:color w:val="auto"/>
              </w:rPr>
              <w:t>(11)</w:t>
            </w:r>
          </w:p>
        </w:tc>
        <w:tc>
          <w:tcPr>
            <w:tcW w:w="1840" w:type="dxa"/>
            <w:vAlign w:val="bottom"/>
            <w:tcBorders>
              <w:bottom w:val="single" w:sz="8" w:color="DBDBDB"/>
            </w:tcBorders>
            <w:shd w:val="clear" w:color="auto" w:fill="E7ECF0"/>
          </w:tcPr>
          <w:p>
            <w:pPr>
              <w:jc w:val="right"/>
              <w:ind w:right="79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3180" w:type="dxa"/>
            <w:vAlign w:val="bottom"/>
            <w:tcBorders>
              <w:bottom w:val="single" w:sz="8" w:color="DBDBDB"/>
            </w:tcBorders>
          </w:tcPr>
          <w:p>
            <w:pPr>
              <w:ind w:left="100"/>
              <w:spacing w:after="0"/>
              <w:rPr>
                <w:sz w:val="20"/>
                <w:szCs w:val="20"/>
                <w:color w:val="auto"/>
              </w:rPr>
            </w:pPr>
            <w:r>
              <w:rPr>
                <w:rFonts w:ascii="Arial" w:cs="Arial" w:eastAsia="Arial" w:hAnsi="Arial"/>
                <w:sz w:val="18"/>
                <w:szCs w:val="18"/>
                <w:color w:val="221F1F"/>
              </w:rPr>
              <w:t>Mimi L. Carsley</w:t>
            </w:r>
          </w:p>
        </w:tc>
        <w:tc>
          <w:tcPr>
            <w:tcW w:w="1820" w:type="dxa"/>
            <w:vAlign w:val="bottom"/>
            <w:tcBorders>
              <w:bottom w:val="single" w:sz="8" w:color="DBDBDB"/>
            </w:tcBorders>
          </w:tcPr>
          <w:p>
            <w:pPr>
              <w:jc w:val="right"/>
              <w:ind w:right="30"/>
              <w:spacing w:after="0"/>
              <w:rPr>
                <w:sz w:val="20"/>
                <w:szCs w:val="20"/>
                <w:color w:val="auto"/>
              </w:rPr>
            </w:pPr>
            <w:r>
              <w:rPr>
                <w:rFonts w:ascii="Arial" w:cs="Arial" w:eastAsia="Arial" w:hAnsi="Arial"/>
                <w:sz w:val="18"/>
                <w:szCs w:val="18"/>
                <w:color w:val="221F1F"/>
              </w:rPr>
              <w:t>2,695</w:t>
            </w:r>
          </w:p>
        </w:tc>
        <w:tc>
          <w:tcPr>
            <w:tcW w:w="1300" w:type="dxa"/>
            <w:vAlign w:val="bottom"/>
            <w:tcBorders>
              <w:bottom w:val="single" w:sz="8" w:color="DBDBDB"/>
            </w:tcBorders>
          </w:tcPr>
          <w:p>
            <w:pPr>
              <w:spacing w:after="0"/>
              <w:rPr>
                <w:sz w:val="19"/>
                <w:szCs w:val="19"/>
                <w:color w:val="auto"/>
              </w:rPr>
            </w:pPr>
          </w:p>
        </w:tc>
        <w:tc>
          <w:tcPr>
            <w:tcW w:w="1840" w:type="dxa"/>
            <w:vAlign w:val="bottom"/>
            <w:tcBorders>
              <w:bottom w:val="single" w:sz="8" w:color="DBDBDB"/>
            </w:tcBorders>
          </w:tcPr>
          <w:p>
            <w:pPr>
              <w:jc w:val="right"/>
              <w:ind w:right="790"/>
              <w:spacing w:after="0"/>
              <w:rPr>
                <w:sz w:val="20"/>
                <w:szCs w:val="20"/>
                <w:color w:val="auto"/>
              </w:rPr>
            </w:pPr>
            <w:r>
              <w:rPr>
                <w:rFonts w:ascii="Arial" w:cs="Arial" w:eastAsia="Arial" w:hAnsi="Arial"/>
                <w:sz w:val="18"/>
                <w:szCs w:val="18"/>
                <w:color w:val="221F1F"/>
              </w:rPr>
              <w:t>*</w:t>
            </w:r>
          </w:p>
        </w:tc>
        <w:tc>
          <w:tcPr>
            <w:tcW w:w="0" w:type="dxa"/>
            <w:vAlign w:val="bottom"/>
          </w:tcPr>
          <w:p>
            <w:pPr>
              <w:spacing w:after="0"/>
              <w:rPr>
                <w:sz w:val="1"/>
                <w:szCs w:val="1"/>
                <w:color w:val="auto"/>
              </w:rPr>
            </w:pPr>
          </w:p>
        </w:tc>
      </w:tr>
      <w:tr>
        <w:trPr>
          <w:trHeight w:val="223"/>
        </w:trPr>
        <w:tc>
          <w:tcPr>
            <w:tcW w:w="3180" w:type="dxa"/>
            <w:vAlign w:val="bottom"/>
            <w:tcBorders>
              <w:bottom w:val="single" w:sz="8" w:color="DBDBDB"/>
            </w:tcBorders>
            <w:shd w:val="clear" w:color="auto" w:fill="E7ECF0"/>
          </w:tcPr>
          <w:p>
            <w:pPr>
              <w:ind w:left="100"/>
              <w:spacing w:after="0"/>
              <w:rPr>
                <w:sz w:val="20"/>
                <w:szCs w:val="20"/>
                <w:color w:val="auto"/>
              </w:rPr>
            </w:pPr>
            <w:r>
              <w:rPr>
                <w:rFonts w:ascii="Arial" w:cs="Arial" w:eastAsia="Arial" w:hAnsi="Arial"/>
                <w:sz w:val="18"/>
                <w:szCs w:val="18"/>
                <w:color w:val="221F1F"/>
              </w:rPr>
              <w:t>Curtis A. Campbell</w:t>
            </w:r>
          </w:p>
        </w:tc>
        <w:tc>
          <w:tcPr>
            <w:tcW w:w="1820" w:type="dxa"/>
            <w:vAlign w:val="bottom"/>
            <w:tcBorders>
              <w:bottom w:val="single" w:sz="8" w:color="DBDBDB"/>
            </w:tcBorders>
            <w:shd w:val="clear" w:color="auto" w:fill="E7ECF0"/>
          </w:tcPr>
          <w:p>
            <w:pPr>
              <w:jc w:val="right"/>
              <w:ind w:right="30"/>
              <w:spacing w:after="0"/>
              <w:rPr>
                <w:sz w:val="20"/>
                <w:szCs w:val="20"/>
                <w:color w:val="auto"/>
              </w:rPr>
            </w:pPr>
            <w:r>
              <w:rPr>
                <w:rFonts w:ascii="Arial" w:cs="Arial" w:eastAsia="Arial" w:hAnsi="Arial"/>
                <w:sz w:val="18"/>
                <w:szCs w:val="18"/>
                <w:color w:val="221F1F"/>
              </w:rPr>
              <w:t>2,642</w:t>
            </w:r>
          </w:p>
        </w:tc>
        <w:tc>
          <w:tcPr>
            <w:tcW w:w="1300" w:type="dxa"/>
            <w:vAlign w:val="bottom"/>
            <w:tcBorders>
              <w:bottom w:val="single" w:sz="8" w:color="DBDBDB"/>
            </w:tcBorders>
            <w:shd w:val="clear" w:color="auto" w:fill="E7ECF0"/>
          </w:tcPr>
          <w:p>
            <w:pPr>
              <w:ind w:left="120"/>
              <w:spacing w:after="0"/>
              <w:rPr>
                <w:sz w:val="20"/>
                <w:szCs w:val="20"/>
                <w:color w:val="auto"/>
              </w:rPr>
            </w:pPr>
            <w:r>
              <w:rPr>
                <w:rFonts w:ascii="Arial" w:cs="Arial" w:eastAsia="Arial" w:hAnsi="Arial"/>
                <w:sz w:val="18"/>
                <w:szCs w:val="18"/>
                <w:color w:val="221F1F"/>
              </w:rPr>
              <w:t>(7)(12)</w:t>
            </w:r>
          </w:p>
        </w:tc>
        <w:tc>
          <w:tcPr>
            <w:tcW w:w="1840" w:type="dxa"/>
            <w:vAlign w:val="bottom"/>
            <w:tcBorders>
              <w:bottom w:val="single" w:sz="8" w:color="DBDBDB"/>
            </w:tcBorders>
            <w:shd w:val="clear" w:color="auto" w:fill="E7ECF0"/>
          </w:tcPr>
          <w:p>
            <w:pPr>
              <w:jc w:val="right"/>
              <w:ind w:right="790"/>
              <w:spacing w:after="0"/>
              <w:rPr>
                <w:sz w:val="20"/>
                <w:szCs w:val="20"/>
                <w:color w:val="auto"/>
              </w:rPr>
            </w:pPr>
            <w:r>
              <w:rPr>
                <w:rFonts w:ascii="Arial" w:cs="Arial" w:eastAsia="Arial" w:hAnsi="Arial"/>
                <w:sz w:val="18"/>
                <w:szCs w:val="18"/>
                <w:color w:val="221F1F"/>
              </w:rPr>
              <w:t>*</w:t>
            </w:r>
          </w:p>
        </w:tc>
        <w:tc>
          <w:tcPr>
            <w:tcW w:w="0" w:type="dxa"/>
            <w:vAlign w:val="bottom"/>
          </w:tcPr>
          <w:p>
            <w:pPr>
              <w:spacing w:after="0"/>
              <w:rPr>
                <w:sz w:val="1"/>
                <w:szCs w:val="1"/>
                <w:color w:val="auto"/>
              </w:rPr>
            </w:pPr>
          </w:p>
        </w:tc>
      </w:tr>
      <w:tr>
        <w:trPr>
          <w:trHeight w:val="223"/>
        </w:trPr>
        <w:tc>
          <w:tcPr>
            <w:tcW w:w="3180" w:type="dxa"/>
            <w:vAlign w:val="bottom"/>
            <w:tcBorders>
              <w:bottom w:val="single" w:sz="8" w:color="DBDBDB"/>
            </w:tcBorders>
          </w:tcPr>
          <w:p>
            <w:pPr>
              <w:ind w:left="100"/>
              <w:spacing w:after="0"/>
              <w:rPr>
                <w:sz w:val="20"/>
                <w:szCs w:val="20"/>
                <w:color w:val="auto"/>
              </w:rPr>
            </w:pPr>
            <w:r>
              <w:rPr>
                <w:rFonts w:ascii="Arial" w:cs="Arial" w:eastAsia="Arial" w:hAnsi="Arial"/>
                <w:sz w:val="18"/>
                <w:szCs w:val="18"/>
                <w:color w:val="221F1F"/>
              </w:rPr>
              <w:t>Shanon G. McLachlan</w:t>
            </w:r>
          </w:p>
        </w:tc>
        <w:tc>
          <w:tcPr>
            <w:tcW w:w="1820" w:type="dxa"/>
            <w:vAlign w:val="bottom"/>
            <w:tcBorders>
              <w:bottom w:val="single" w:sz="8" w:color="DBDBDB"/>
            </w:tcBorders>
          </w:tcPr>
          <w:p>
            <w:pPr>
              <w:jc w:val="right"/>
              <w:ind w:right="30"/>
              <w:spacing w:after="0"/>
              <w:rPr>
                <w:sz w:val="20"/>
                <w:szCs w:val="20"/>
                <w:color w:val="auto"/>
              </w:rPr>
            </w:pPr>
            <w:r>
              <w:rPr>
                <w:rFonts w:ascii="Arial" w:cs="Arial" w:eastAsia="Arial" w:hAnsi="Arial"/>
                <w:sz w:val="18"/>
                <w:szCs w:val="18"/>
                <w:color w:val="221F1F"/>
              </w:rPr>
              <w:t>927</w:t>
            </w:r>
          </w:p>
        </w:tc>
        <w:tc>
          <w:tcPr>
            <w:tcW w:w="1300" w:type="dxa"/>
            <w:vAlign w:val="bottom"/>
            <w:tcBorders>
              <w:bottom w:val="single" w:sz="8" w:color="DBDBDB"/>
            </w:tcBorders>
          </w:tcPr>
          <w:p>
            <w:pPr>
              <w:ind w:left="120"/>
              <w:spacing w:after="0"/>
              <w:rPr>
                <w:sz w:val="20"/>
                <w:szCs w:val="20"/>
                <w:color w:val="auto"/>
              </w:rPr>
            </w:pPr>
            <w:r>
              <w:rPr>
                <w:rFonts w:ascii="Arial" w:cs="Arial" w:eastAsia="Arial" w:hAnsi="Arial"/>
                <w:sz w:val="18"/>
                <w:szCs w:val="18"/>
                <w:color w:val="221F1F"/>
              </w:rPr>
              <w:t>(13)</w:t>
            </w:r>
          </w:p>
        </w:tc>
        <w:tc>
          <w:tcPr>
            <w:tcW w:w="1840" w:type="dxa"/>
            <w:vAlign w:val="bottom"/>
            <w:tcBorders>
              <w:bottom w:val="single" w:sz="8" w:color="DBDBDB"/>
            </w:tcBorders>
          </w:tcPr>
          <w:p>
            <w:pPr>
              <w:jc w:val="right"/>
              <w:ind w:right="790"/>
              <w:spacing w:after="0"/>
              <w:rPr>
                <w:sz w:val="20"/>
                <w:szCs w:val="20"/>
                <w:color w:val="auto"/>
              </w:rPr>
            </w:pPr>
            <w:r>
              <w:rPr>
                <w:rFonts w:ascii="Arial" w:cs="Arial" w:eastAsia="Arial" w:hAnsi="Arial"/>
                <w:sz w:val="18"/>
                <w:szCs w:val="18"/>
                <w:color w:val="221F1F"/>
              </w:rPr>
              <w:t>*</w:t>
            </w:r>
          </w:p>
        </w:tc>
        <w:tc>
          <w:tcPr>
            <w:tcW w:w="0" w:type="dxa"/>
            <w:vAlign w:val="bottom"/>
          </w:tcPr>
          <w:p>
            <w:pPr>
              <w:spacing w:after="0"/>
              <w:rPr>
                <w:sz w:val="1"/>
                <w:szCs w:val="1"/>
                <w:color w:val="auto"/>
              </w:rPr>
            </w:pPr>
          </w:p>
        </w:tc>
      </w:tr>
      <w:tr>
        <w:trPr>
          <w:trHeight w:val="223"/>
        </w:trPr>
        <w:tc>
          <w:tcPr>
            <w:tcW w:w="3180" w:type="dxa"/>
            <w:vAlign w:val="bottom"/>
            <w:tcBorders>
              <w:bottom w:val="single" w:sz="8" w:color="DBDBDB"/>
            </w:tcBorders>
            <w:shd w:val="clear" w:color="auto" w:fill="E7ECF0"/>
          </w:tcPr>
          <w:p>
            <w:pPr>
              <w:ind w:left="100"/>
              <w:spacing w:after="0"/>
              <w:rPr>
                <w:sz w:val="20"/>
                <w:szCs w:val="20"/>
                <w:color w:val="auto"/>
              </w:rPr>
            </w:pPr>
            <w:r>
              <w:rPr>
                <w:rFonts w:ascii="Arial" w:cs="Arial" w:eastAsia="Arial" w:hAnsi="Arial"/>
                <w:sz w:val="18"/>
                <w:szCs w:val="18"/>
                <w:color w:val="221F1F"/>
              </w:rPr>
              <w:t>Tammy S. LoCascio</w:t>
            </w:r>
          </w:p>
        </w:tc>
        <w:tc>
          <w:tcPr>
            <w:tcW w:w="1820" w:type="dxa"/>
            <w:vAlign w:val="bottom"/>
            <w:tcBorders>
              <w:bottom w:val="single" w:sz="8" w:color="DBDBDB"/>
            </w:tcBorders>
            <w:shd w:val="clear" w:color="auto" w:fill="E7ECF0"/>
          </w:tcPr>
          <w:p>
            <w:pPr>
              <w:jc w:val="right"/>
              <w:ind w:right="30"/>
              <w:spacing w:after="0"/>
              <w:rPr>
                <w:sz w:val="20"/>
                <w:szCs w:val="20"/>
                <w:color w:val="auto"/>
              </w:rPr>
            </w:pPr>
            <w:r>
              <w:rPr>
                <w:rFonts w:ascii="Arial" w:cs="Arial" w:eastAsia="Arial" w:hAnsi="Arial"/>
                <w:sz w:val="18"/>
                <w:szCs w:val="18"/>
                <w:color w:val="221F1F"/>
              </w:rPr>
              <w:t>365</w:t>
            </w:r>
          </w:p>
        </w:tc>
        <w:tc>
          <w:tcPr>
            <w:tcW w:w="1300" w:type="dxa"/>
            <w:vAlign w:val="bottom"/>
            <w:tcBorders>
              <w:bottom w:val="single" w:sz="8" w:color="DBDBDB"/>
            </w:tcBorders>
            <w:shd w:val="clear" w:color="auto" w:fill="E7ECF0"/>
          </w:tcPr>
          <w:p>
            <w:pPr>
              <w:ind w:left="120"/>
              <w:spacing w:after="0"/>
              <w:rPr>
                <w:sz w:val="20"/>
                <w:szCs w:val="20"/>
                <w:color w:val="auto"/>
              </w:rPr>
            </w:pPr>
            <w:r>
              <w:rPr>
                <w:rFonts w:ascii="Arial" w:cs="Arial" w:eastAsia="Arial" w:hAnsi="Arial"/>
                <w:sz w:val="18"/>
                <w:szCs w:val="18"/>
                <w:color w:val="221F1F"/>
              </w:rPr>
              <w:t>(14)</w:t>
            </w:r>
          </w:p>
        </w:tc>
        <w:tc>
          <w:tcPr>
            <w:tcW w:w="1840" w:type="dxa"/>
            <w:vAlign w:val="bottom"/>
            <w:tcBorders>
              <w:bottom w:val="single" w:sz="8" w:color="DBDBDB"/>
            </w:tcBorders>
            <w:shd w:val="clear" w:color="auto" w:fill="E7ECF0"/>
          </w:tcPr>
          <w:p>
            <w:pPr>
              <w:jc w:val="right"/>
              <w:ind w:right="790"/>
              <w:spacing w:after="0"/>
              <w:rPr>
                <w:sz w:val="20"/>
                <w:szCs w:val="20"/>
                <w:color w:val="auto"/>
              </w:rPr>
            </w:pPr>
            <w:r>
              <w:rPr>
                <w:rFonts w:ascii="Arial" w:cs="Arial" w:eastAsia="Arial" w:hAnsi="Arial"/>
                <w:sz w:val="18"/>
                <w:szCs w:val="18"/>
                <w:color w:val="221F1F"/>
              </w:rPr>
              <w:t>*</w:t>
            </w:r>
          </w:p>
        </w:tc>
        <w:tc>
          <w:tcPr>
            <w:tcW w:w="0" w:type="dxa"/>
            <w:vAlign w:val="bottom"/>
          </w:tcPr>
          <w:p>
            <w:pPr>
              <w:spacing w:after="0"/>
              <w:rPr>
                <w:sz w:val="1"/>
                <w:szCs w:val="1"/>
                <w:color w:val="auto"/>
              </w:rPr>
            </w:pPr>
          </w:p>
        </w:tc>
      </w:tr>
      <w:tr>
        <w:trPr>
          <w:trHeight w:val="223"/>
        </w:trPr>
        <w:tc>
          <w:tcPr>
            <w:tcW w:w="3180" w:type="dxa"/>
            <w:vAlign w:val="bottom"/>
            <w:tcBorders>
              <w:bottom w:val="single" w:sz="8" w:color="DBDBDB"/>
            </w:tcBorders>
          </w:tcPr>
          <w:p>
            <w:pPr>
              <w:ind w:left="100"/>
              <w:spacing w:after="0"/>
              <w:rPr>
                <w:sz w:val="20"/>
                <w:szCs w:val="20"/>
                <w:color w:val="auto"/>
              </w:rPr>
            </w:pPr>
            <w:r>
              <w:rPr>
                <w:rFonts w:ascii="Arial" w:cs="Arial" w:eastAsia="Arial" w:hAnsi="Arial"/>
                <w:sz w:val="18"/>
                <w:szCs w:val="18"/>
                <w:color w:val="221F1F"/>
              </w:rPr>
              <w:t>Lisa M. Nelson</w:t>
            </w:r>
          </w:p>
        </w:tc>
        <w:tc>
          <w:tcPr>
            <w:tcW w:w="1820" w:type="dxa"/>
            <w:vAlign w:val="bottom"/>
            <w:tcBorders>
              <w:bottom w:val="single" w:sz="8" w:color="DBDBDB"/>
            </w:tcBorders>
          </w:tcPr>
          <w:p>
            <w:pPr>
              <w:jc w:val="right"/>
              <w:ind w:right="30"/>
              <w:spacing w:after="0"/>
              <w:rPr>
                <w:sz w:val="20"/>
                <w:szCs w:val="20"/>
                <w:color w:val="auto"/>
              </w:rPr>
            </w:pPr>
            <w:r>
              <w:rPr>
                <w:rFonts w:ascii="Arial" w:cs="Arial" w:eastAsia="Arial" w:hAnsi="Arial"/>
                <w:sz w:val="18"/>
                <w:szCs w:val="18"/>
                <w:color w:val="221F1F"/>
              </w:rPr>
              <w:t>365</w:t>
            </w:r>
          </w:p>
        </w:tc>
        <w:tc>
          <w:tcPr>
            <w:tcW w:w="1300" w:type="dxa"/>
            <w:vAlign w:val="bottom"/>
            <w:tcBorders>
              <w:bottom w:val="single" w:sz="8" w:color="DBDBDB"/>
            </w:tcBorders>
          </w:tcPr>
          <w:p>
            <w:pPr>
              <w:ind w:left="120"/>
              <w:spacing w:after="0"/>
              <w:rPr>
                <w:sz w:val="20"/>
                <w:szCs w:val="20"/>
                <w:color w:val="auto"/>
              </w:rPr>
            </w:pPr>
            <w:r>
              <w:rPr>
                <w:rFonts w:ascii="Arial" w:cs="Arial" w:eastAsia="Arial" w:hAnsi="Arial"/>
                <w:sz w:val="18"/>
                <w:szCs w:val="18"/>
                <w:color w:val="221F1F"/>
              </w:rPr>
              <w:t>(14)</w:t>
            </w:r>
          </w:p>
        </w:tc>
        <w:tc>
          <w:tcPr>
            <w:tcW w:w="1840" w:type="dxa"/>
            <w:vAlign w:val="bottom"/>
            <w:tcBorders>
              <w:bottom w:val="single" w:sz="8" w:color="DBDBDB"/>
            </w:tcBorders>
          </w:tcPr>
          <w:p>
            <w:pPr>
              <w:jc w:val="right"/>
              <w:ind w:right="790"/>
              <w:spacing w:after="0"/>
              <w:rPr>
                <w:sz w:val="20"/>
                <w:szCs w:val="20"/>
                <w:color w:val="auto"/>
              </w:rPr>
            </w:pPr>
            <w:r>
              <w:rPr>
                <w:rFonts w:ascii="Arial" w:cs="Arial" w:eastAsia="Arial" w:hAnsi="Arial"/>
                <w:sz w:val="18"/>
                <w:szCs w:val="18"/>
                <w:color w:val="221F1F"/>
              </w:rPr>
              <w:t>*</w:t>
            </w:r>
          </w:p>
        </w:tc>
        <w:tc>
          <w:tcPr>
            <w:tcW w:w="0" w:type="dxa"/>
            <w:vAlign w:val="bottom"/>
          </w:tcPr>
          <w:p>
            <w:pPr>
              <w:spacing w:after="0"/>
              <w:rPr>
                <w:sz w:val="1"/>
                <w:szCs w:val="1"/>
                <w:color w:val="auto"/>
              </w:rPr>
            </w:pPr>
          </w:p>
        </w:tc>
      </w:tr>
      <w:tr>
        <w:trPr>
          <w:trHeight w:val="169"/>
        </w:trPr>
        <w:tc>
          <w:tcPr>
            <w:tcW w:w="3180" w:type="dxa"/>
            <w:vAlign w:val="bottom"/>
            <w:shd w:val="clear" w:color="auto" w:fill="E7ECF0"/>
          </w:tcPr>
          <w:p>
            <w:pPr>
              <w:ind w:left="100"/>
              <w:spacing w:after="0" w:line="169" w:lineRule="exact"/>
              <w:rPr>
                <w:sz w:val="20"/>
                <w:szCs w:val="20"/>
                <w:color w:val="auto"/>
              </w:rPr>
            </w:pPr>
            <w:r>
              <w:rPr>
                <w:rFonts w:ascii="Arial" w:cs="Arial" w:eastAsia="Arial" w:hAnsi="Arial"/>
                <w:sz w:val="18"/>
                <w:szCs w:val="18"/>
                <w:color w:val="221F1F"/>
              </w:rPr>
              <w:t>All current directors and executive</w:t>
            </w:r>
          </w:p>
        </w:tc>
        <w:tc>
          <w:tcPr>
            <w:tcW w:w="1820" w:type="dxa"/>
            <w:vAlign w:val="bottom"/>
            <w:vMerge w:val="restart"/>
            <w:shd w:val="clear" w:color="auto" w:fill="E7ECF0"/>
          </w:tcPr>
          <w:p>
            <w:pPr>
              <w:jc w:val="right"/>
              <w:ind w:right="30"/>
              <w:spacing w:after="0"/>
              <w:rPr>
                <w:sz w:val="20"/>
                <w:szCs w:val="20"/>
                <w:color w:val="auto"/>
              </w:rPr>
            </w:pPr>
            <w:r>
              <w:rPr>
                <w:rFonts w:ascii="Arial" w:cs="Arial" w:eastAsia="Arial" w:hAnsi="Arial"/>
                <w:sz w:val="18"/>
                <w:szCs w:val="18"/>
                <w:color w:val="221F1F"/>
              </w:rPr>
              <w:t>446,703</w:t>
            </w:r>
          </w:p>
        </w:tc>
        <w:tc>
          <w:tcPr>
            <w:tcW w:w="1300" w:type="dxa"/>
            <w:vAlign w:val="bottom"/>
            <w:vMerge w:val="restart"/>
            <w:shd w:val="clear" w:color="auto" w:fill="E7ECF0"/>
          </w:tcPr>
          <w:p>
            <w:pPr>
              <w:ind w:left="120"/>
              <w:spacing w:after="0"/>
              <w:rPr>
                <w:sz w:val="20"/>
                <w:szCs w:val="20"/>
                <w:color w:val="auto"/>
              </w:rPr>
            </w:pPr>
            <w:r>
              <w:rPr>
                <w:rFonts w:ascii="Arial" w:cs="Arial" w:eastAsia="Arial" w:hAnsi="Arial"/>
                <w:sz w:val="18"/>
                <w:szCs w:val="18"/>
                <w:color w:val="221F1F"/>
              </w:rPr>
              <w:t>(15)</w:t>
            </w:r>
          </w:p>
        </w:tc>
        <w:tc>
          <w:tcPr>
            <w:tcW w:w="1840" w:type="dxa"/>
            <w:vAlign w:val="bottom"/>
            <w:vMerge w:val="restart"/>
            <w:shd w:val="clear" w:color="auto" w:fill="E7ECF0"/>
          </w:tcPr>
          <w:p>
            <w:pPr>
              <w:jc w:val="right"/>
              <w:ind w:right="790"/>
              <w:spacing w:after="0"/>
              <w:rPr>
                <w:sz w:val="20"/>
                <w:szCs w:val="20"/>
                <w:color w:val="auto"/>
              </w:rPr>
            </w:pPr>
            <w:r>
              <w:rPr>
                <w:rFonts w:ascii="Arial" w:cs="Arial" w:eastAsia="Arial" w:hAnsi="Arial"/>
                <w:sz w:val="18"/>
                <w:szCs w:val="18"/>
                <w:color w:val="221F1F"/>
              </w:rPr>
              <w:t>*</w:t>
            </w:r>
          </w:p>
        </w:tc>
        <w:tc>
          <w:tcPr>
            <w:tcW w:w="0" w:type="dxa"/>
            <w:vAlign w:val="bottom"/>
          </w:tcPr>
          <w:p>
            <w:pPr>
              <w:spacing w:after="0"/>
              <w:rPr>
                <w:sz w:val="1"/>
                <w:szCs w:val="1"/>
                <w:color w:val="auto"/>
              </w:rPr>
            </w:pPr>
          </w:p>
        </w:tc>
      </w:tr>
      <w:tr>
        <w:trPr>
          <w:trHeight w:val="152"/>
        </w:trPr>
        <w:tc>
          <w:tcPr>
            <w:tcW w:w="3180" w:type="dxa"/>
            <w:vAlign w:val="bottom"/>
            <w:vMerge w:val="restart"/>
            <w:shd w:val="clear" w:color="auto" w:fill="E7ECF0"/>
          </w:tcPr>
          <w:p>
            <w:pPr>
              <w:ind w:left="100"/>
              <w:spacing w:after="0"/>
              <w:rPr>
                <w:sz w:val="20"/>
                <w:szCs w:val="20"/>
                <w:color w:val="auto"/>
              </w:rPr>
            </w:pPr>
            <w:r>
              <w:rPr>
                <w:rFonts w:ascii="Arial" w:cs="Arial" w:eastAsia="Arial" w:hAnsi="Arial"/>
                <w:sz w:val="18"/>
                <w:szCs w:val="18"/>
                <w:color w:val="221F1F"/>
              </w:rPr>
              <w:t>officers as a group (15 persons)</w:t>
            </w:r>
          </w:p>
        </w:tc>
        <w:tc>
          <w:tcPr>
            <w:tcW w:w="1820" w:type="dxa"/>
            <w:vAlign w:val="bottom"/>
            <w:vMerge w:val="continue"/>
            <w:shd w:val="clear" w:color="auto" w:fill="E7ECF0"/>
          </w:tcPr>
          <w:p>
            <w:pPr>
              <w:spacing w:after="0"/>
              <w:rPr>
                <w:sz w:val="13"/>
                <w:szCs w:val="13"/>
                <w:color w:val="auto"/>
              </w:rPr>
            </w:pPr>
          </w:p>
        </w:tc>
        <w:tc>
          <w:tcPr>
            <w:tcW w:w="1300" w:type="dxa"/>
            <w:vAlign w:val="bottom"/>
            <w:vMerge w:val="continue"/>
            <w:shd w:val="clear" w:color="auto" w:fill="E7ECF0"/>
          </w:tcPr>
          <w:p>
            <w:pPr>
              <w:spacing w:after="0"/>
              <w:rPr>
                <w:sz w:val="13"/>
                <w:szCs w:val="13"/>
                <w:color w:val="auto"/>
              </w:rPr>
            </w:pPr>
          </w:p>
        </w:tc>
        <w:tc>
          <w:tcPr>
            <w:tcW w:w="1840" w:type="dxa"/>
            <w:vAlign w:val="bottom"/>
            <w:vMerge w:val="continue"/>
            <w:shd w:val="clear" w:color="auto" w:fill="E7ECF0"/>
          </w:tcPr>
          <w:p>
            <w:pPr>
              <w:spacing w:after="0"/>
              <w:rPr>
                <w:sz w:val="13"/>
                <w:szCs w:val="13"/>
                <w:color w:val="auto"/>
              </w:rPr>
            </w:pPr>
          </w:p>
        </w:tc>
        <w:tc>
          <w:tcPr>
            <w:tcW w:w="0" w:type="dxa"/>
            <w:vAlign w:val="bottom"/>
          </w:tcPr>
          <w:p>
            <w:pPr>
              <w:spacing w:after="0"/>
              <w:rPr>
                <w:sz w:val="1"/>
                <w:szCs w:val="1"/>
                <w:color w:val="auto"/>
              </w:rPr>
            </w:pPr>
          </w:p>
        </w:tc>
      </w:tr>
      <w:tr>
        <w:trPr>
          <w:trHeight w:val="88"/>
        </w:trPr>
        <w:tc>
          <w:tcPr>
            <w:tcW w:w="3180" w:type="dxa"/>
            <w:vAlign w:val="bottom"/>
            <w:tcBorders>
              <w:bottom w:val="single" w:sz="8" w:color="DBDBDB"/>
            </w:tcBorders>
            <w:vMerge w:val="continue"/>
            <w:shd w:val="clear" w:color="auto" w:fill="E7ECF0"/>
          </w:tcPr>
          <w:p>
            <w:pPr>
              <w:spacing w:after="0"/>
              <w:rPr>
                <w:sz w:val="7"/>
                <w:szCs w:val="7"/>
                <w:color w:val="auto"/>
              </w:rPr>
            </w:pPr>
          </w:p>
        </w:tc>
        <w:tc>
          <w:tcPr>
            <w:tcW w:w="1820" w:type="dxa"/>
            <w:vAlign w:val="bottom"/>
            <w:tcBorders>
              <w:bottom w:val="single" w:sz="8" w:color="DBDBDB"/>
            </w:tcBorders>
            <w:shd w:val="clear" w:color="auto" w:fill="E7ECF0"/>
          </w:tcPr>
          <w:p>
            <w:pPr>
              <w:spacing w:after="0"/>
              <w:rPr>
                <w:sz w:val="7"/>
                <w:szCs w:val="7"/>
                <w:color w:val="auto"/>
              </w:rPr>
            </w:pPr>
          </w:p>
        </w:tc>
        <w:tc>
          <w:tcPr>
            <w:tcW w:w="1300" w:type="dxa"/>
            <w:vAlign w:val="bottom"/>
            <w:tcBorders>
              <w:bottom w:val="single" w:sz="8" w:color="DBDBDB"/>
            </w:tcBorders>
            <w:shd w:val="clear" w:color="auto" w:fill="E7ECF0"/>
          </w:tcPr>
          <w:p>
            <w:pPr>
              <w:spacing w:after="0"/>
              <w:rPr>
                <w:sz w:val="7"/>
                <w:szCs w:val="7"/>
                <w:color w:val="auto"/>
              </w:rPr>
            </w:pPr>
          </w:p>
        </w:tc>
        <w:tc>
          <w:tcPr>
            <w:tcW w:w="1840" w:type="dxa"/>
            <w:vAlign w:val="bottom"/>
            <w:tcBorders>
              <w:bottom w:val="single" w:sz="8" w:color="DBDBDB"/>
            </w:tcBorders>
            <w:shd w:val="clear" w:color="auto" w:fill="E7ECF0"/>
          </w:tcPr>
          <w:p>
            <w:pPr>
              <w:spacing w:after="0"/>
              <w:rPr>
                <w:sz w:val="7"/>
                <w:szCs w:val="7"/>
                <w:color w:val="auto"/>
              </w:rPr>
            </w:pPr>
          </w:p>
        </w:tc>
        <w:tc>
          <w:tcPr>
            <w:tcW w:w="0" w:type="dxa"/>
            <w:vAlign w:val="bottom"/>
          </w:tcPr>
          <w:p>
            <w:pPr>
              <w:spacing w:after="0"/>
              <w:rPr>
                <w:sz w:val="1"/>
                <w:szCs w:val="1"/>
                <w:color w:val="auto"/>
              </w:rPr>
            </w:pPr>
          </w:p>
        </w:tc>
      </w:tr>
    </w:tbl>
    <w:p>
      <w:pPr>
        <w:ind w:left="2160" w:hanging="123"/>
        <w:spacing w:after="0"/>
        <w:tabs>
          <w:tab w:leader="none" w:pos="2160" w:val="left"/>
        </w:tabs>
        <w:numPr>
          <w:ilvl w:val="1"/>
          <w:numId w:val="34"/>
        </w:numPr>
        <w:rPr>
          <w:rFonts w:ascii="Arial" w:cs="Arial" w:eastAsia="Arial" w:hAnsi="Arial"/>
          <w:sz w:val="18"/>
          <w:szCs w:val="18"/>
          <w:color w:val="221F1F"/>
        </w:rPr>
      </w:pPr>
      <w:r>
        <w:rPr>
          <w:rFonts w:ascii="Arial" w:cs="Arial" w:eastAsia="Arial" w:hAnsi="Arial"/>
          <w:sz w:val="18"/>
          <w:szCs w:val="18"/>
          <w:color w:val="221F1F"/>
        </w:rPr>
        <w:t>Less than 1%</w:t>
      </w:r>
    </w:p>
    <w:p>
      <w:pPr>
        <w:spacing w:after="0" w:line="206" w:lineRule="exact"/>
        <w:rPr>
          <w:rFonts w:ascii="Arial" w:cs="Arial" w:eastAsia="Arial" w:hAnsi="Arial"/>
          <w:sz w:val="18"/>
          <w:szCs w:val="18"/>
          <w:color w:val="221F1F"/>
        </w:rPr>
      </w:pPr>
    </w:p>
    <w:p>
      <w:pPr>
        <w:jc w:val="both"/>
        <w:ind w:left="980" w:hanging="324"/>
        <w:spacing w:after="0" w:line="267" w:lineRule="auto"/>
        <w:tabs>
          <w:tab w:leader="none" w:pos="997" w:val="left"/>
        </w:tabs>
        <w:numPr>
          <w:ilvl w:val="0"/>
          <w:numId w:val="34"/>
        </w:numPr>
        <w:rPr>
          <w:rFonts w:ascii="Arial" w:cs="Arial" w:eastAsia="Arial" w:hAnsi="Arial"/>
          <w:sz w:val="18"/>
          <w:szCs w:val="18"/>
          <w:color w:val="221F1F"/>
        </w:rPr>
      </w:pPr>
      <w:r>
        <w:rPr>
          <w:rFonts w:ascii="Arial" w:cs="Arial" w:eastAsia="Arial" w:hAnsi="Arial"/>
          <w:sz w:val="18"/>
          <w:szCs w:val="18"/>
          <w:color w:val="auto"/>
        </w:rPr>
        <w:t>Except as otherwise noted in the footnotes, information is set forth as of September 16, 2024. The persons named in the table have sole voting and investment power with respect to all shares of common stock shown as beneficially owned by them, except as noted below. With respect to shares held in the Company’s Retirement Plan, a participant has the right to direct the disposition of shares allocated to their account and a participant is allowed to vote the shares held in their individual account. Calculation of percentage of beneficial ownership includes the assumed exercise of options to purchase common stock by only the respective named stockholder that are vested or that will vest within 60 days of September 16, 2024 and any restricted stock units owned by such person that will vest within 60 days of September 16, 2024.</w:t>
      </w:r>
    </w:p>
    <w:p>
      <w:pPr>
        <w:spacing w:after="0" w:line="62" w:lineRule="exact"/>
        <w:rPr>
          <w:rFonts w:ascii="Arial" w:cs="Arial" w:eastAsia="Arial" w:hAnsi="Arial"/>
          <w:sz w:val="18"/>
          <w:szCs w:val="18"/>
          <w:color w:val="221F1F"/>
        </w:rPr>
      </w:pPr>
    </w:p>
    <w:p>
      <w:pPr>
        <w:ind w:left="980" w:hanging="324"/>
        <w:spacing w:after="0" w:line="303" w:lineRule="auto"/>
        <w:tabs>
          <w:tab w:leader="none" w:pos="957" w:val="left"/>
        </w:tabs>
        <w:numPr>
          <w:ilvl w:val="0"/>
          <w:numId w:val="34"/>
        </w:numPr>
        <w:rPr>
          <w:rFonts w:ascii="Arial" w:cs="Arial" w:eastAsia="Arial" w:hAnsi="Arial"/>
          <w:sz w:val="18"/>
          <w:szCs w:val="18"/>
          <w:color w:val="auto"/>
        </w:rPr>
      </w:pPr>
      <w:r>
        <w:rPr>
          <w:rFonts w:ascii="Arial" w:cs="Arial" w:eastAsia="Arial" w:hAnsi="Arial"/>
          <w:sz w:val="18"/>
          <w:szCs w:val="18"/>
          <w:color w:val="auto"/>
        </w:rPr>
        <w:t>According to a Schedule 13G/A filed February 13, 2024, The Vanguard Group has shared dispositive power with respect to 309,197 shares, sole dispositive power with respect to 8,339,770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35179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132320" cy="351790"/>
                    </a:xfrm>
                    <a:prstGeom prst="rect">
                      <a:avLst/>
                    </a:prstGeom>
                    <a:noFill/>
                  </pic:spPr>
                </pic:pic>
              </a:graphicData>
            </a:graphic>
          </wp:anchor>
        </w:drawing>
      </w:r>
    </w:p>
    <w:p>
      <w:pPr>
        <w:spacing w:after="0" w:line="213" w:lineRule="exact"/>
        <w:rPr>
          <w:sz w:val="20"/>
          <w:szCs w:val="20"/>
          <w:color w:val="auto"/>
        </w:rPr>
      </w:pPr>
    </w:p>
    <w:p>
      <w:pPr>
        <w:ind w:left="9000"/>
        <w:spacing w:after="0"/>
        <w:tabs>
          <w:tab w:leader="none" w:pos="11000" w:val="left"/>
        </w:tabs>
        <w:rPr>
          <w:sz w:val="20"/>
          <w:szCs w:val="20"/>
          <w:color w:val="auto"/>
        </w:rPr>
      </w:pPr>
      <w:r>
        <w:rPr>
          <w:rFonts w:ascii="Arial" w:cs="Arial" w:eastAsia="Arial" w:hAnsi="Arial"/>
          <w:sz w:val="18"/>
          <w:szCs w:val="18"/>
          <w:color w:val="auto"/>
        </w:rPr>
        <w:t>2024 Proxy Statement</w:t>
      </w:r>
      <w:r>
        <w:rPr>
          <w:sz w:val="20"/>
          <w:szCs w:val="20"/>
          <w:color w:val="auto"/>
        </w:rPr>
        <w:tab/>
      </w:r>
      <w:r>
        <w:rPr>
          <w:rFonts w:ascii="Arial" w:cs="Arial" w:eastAsia="Arial" w:hAnsi="Arial"/>
          <w:sz w:val="17"/>
          <w:szCs w:val="17"/>
          <w:color w:val="1E3767"/>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262255</wp:posOffset>
            </wp:positionV>
            <wp:extent cx="7157720" cy="425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7" w:right="339" w:bottom="1440" w:gutter="0" w:footer="0" w:header="0"/>
        </w:sectPr>
      </w:pPr>
    </w:p>
    <w:bookmarkStart w:id="76" w:name="page77"/>
    <w:bookmarkEnd w:id="76"/>
    <w:p>
      <w:pPr>
        <w:ind w:left="960"/>
        <w:spacing w:after="0" w:line="303" w:lineRule="auto"/>
        <w:rPr>
          <w:sz w:val="20"/>
          <w:szCs w:val="20"/>
          <w:color w:val="auto"/>
        </w:rPr>
      </w:pPr>
      <w:r>
        <w:rPr>
          <w:rFonts w:ascii="Arial" w:cs="Arial" w:eastAsia="Arial" w:hAnsi="Arial"/>
          <w:sz w:val="18"/>
          <w:szCs w:val="18"/>
          <w:color w:val="auto"/>
        </w:rPr>
        <w:t>shared voting power with respect to 92,664 shares, and sole voting power with respect to 0 shares. The address for The Vanguard Group is 100 Vanguard Blvd., Malvern, PA 19355.</w:t>
      </w:r>
    </w:p>
    <w:p>
      <w:pPr>
        <w:spacing w:after="0" w:line="31" w:lineRule="exact"/>
        <w:rPr>
          <w:sz w:val="20"/>
          <w:szCs w:val="20"/>
          <w:color w:val="auto"/>
        </w:rPr>
      </w:pPr>
    </w:p>
    <w:p>
      <w:pPr>
        <w:jc w:val="both"/>
        <w:ind w:left="960" w:hanging="324"/>
        <w:spacing w:after="0" w:line="284" w:lineRule="auto"/>
        <w:tabs>
          <w:tab w:leader="none" w:pos="923" w:val="left"/>
        </w:tabs>
        <w:numPr>
          <w:ilvl w:val="0"/>
          <w:numId w:val="35"/>
        </w:numPr>
        <w:rPr>
          <w:rFonts w:ascii="Arial" w:cs="Arial" w:eastAsia="Arial" w:hAnsi="Arial"/>
          <w:sz w:val="18"/>
          <w:szCs w:val="18"/>
          <w:color w:val="auto"/>
        </w:rPr>
      </w:pPr>
      <w:r>
        <w:rPr>
          <w:rFonts w:ascii="Arial" w:cs="Arial" w:eastAsia="Arial" w:hAnsi="Arial"/>
          <w:sz w:val="18"/>
          <w:szCs w:val="18"/>
          <w:color w:val="auto"/>
        </w:rPr>
        <w:t>According to a Schedule 13G/A filed January 25, 2024, BlackRock Inc. has sole voting power with respect to 5,587,616 shares and sole dispositive power with respect to 6,201,647 shares. The address for BlackRock Inc. is 55 East 52nd St., New York, NY 10055.</w:t>
      </w:r>
    </w:p>
    <w:p>
      <w:pPr>
        <w:spacing w:after="0" w:line="48" w:lineRule="exact"/>
        <w:rPr>
          <w:rFonts w:ascii="Arial" w:cs="Arial" w:eastAsia="Arial" w:hAnsi="Arial"/>
          <w:sz w:val="18"/>
          <w:szCs w:val="18"/>
          <w:color w:val="auto"/>
        </w:rPr>
      </w:pPr>
    </w:p>
    <w:p>
      <w:pPr>
        <w:jc w:val="both"/>
        <w:ind w:left="960" w:hanging="324"/>
        <w:spacing w:after="0" w:line="267" w:lineRule="auto"/>
        <w:tabs>
          <w:tab w:leader="none" w:pos="923" w:val="left"/>
        </w:tabs>
        <w:numPr>
          <w:ilvl w:val="0"/>
          <w:numId w:val="35"/>
        </w:numPr>
        <w:rPr>
          <w:rFonts w:ascii="Arial" w:cs="Arial" w:eastAsia="Arial" w:hAnsi="Arial"/>
          <w:sz w:val="18"/>
          <w:szCs w:val="18"/>
          <w:color w:val="auto"/>
        </w:rPr>
      </w:pPr>
      <w:r>
        <w:rPr>
          <w:rFonts w:ascii="Arial" w:cs="Arial" w:eastAsia="Arial" w:hAnsi="Arial"/>
          <w:sz w:val="18"/>
          <w:szCs w:val="18"/>
          <w:color w:val="auto"/>
        </w:rPr>
        <w:t>According to a Schedule 13G/A filed February 7, 2024, APG Asset Management US Inc. (“APG US”) has shared voting power and shared dispositive power with respect to 4,053,278 shares. As reported on such Schedule 13G, APG Asset Management, N.V. (“APG NL”) is wholly-owned by APG Groep, N.C. (“APG Groep”) and is the investment manager with respect to the securities to which the Schedule 13G relates. Pursuant to an Investment Management Agreement, APG NL has delegated its investment and voting power with respect to such securities to APG US, which is its wholly-owned subsidiary. Stichting Pensioenfonds ABP is the majority owner of APG Groep. The address for APG US is 666 3rd Ave., 2nd Floor, New York, NY 10017.</w:t>
      </w:r>
    </w:p>
    <w:p>
      <w:pPr>
        <w:spacing w:after="0" w:line="75" w:lineRule="exact"/>
        <w:rPr>
          <w:rFonts w:ascii="Arial" w:cs="Arial" w:eastAsia="Arial" w:hAnsi="Arial"/>
          <w:sz w:val="18"/>
          <w:szCs w:val="18"/>
          <w:color w:val="auto"/>
        </w:rPr>
      </w:pPr>
    </w:p>
    <w:p>
      <w:pPr>
        <w:jc w:val="both"/>
        <w:ind w:left="960" w:hanging="324"/>
        <w:spacing w:after="0" w:line="273" w:lineRule="auto"/>
        <w:tabs>
          <w:tab w:leader="none" w:pos="923" w:val="left"/>
        </w:tabs>
        <w:numPr>
          <w:ilvl w:val="0"/>
          <w:numId w:val="35"/>
        </w:numPr>
        <w:rPr>
          <w:rFonts w:ascii="Arial" w:cs="Arial" w:eastAsia="Arial" w:hAnsi="Arial"/>
          <w:sz w:val="18"/>
          <w:szCs w:val="18"/>
          <w:color w:val="auto"/>
        </w:rPr>
      </w:pPr>
      <w:r>
        <w:rPr>
          <w:rFonts w:ascii="Arial" w:cs="Arial" w:eastAsia="Arial" w:hAnsi="Arial"/>
          <w:sz w:val="18"/>
          <w:szCs w:val="18"/>
          <w:color w:val="auto"/>
        </w:rPr>
        <w:t>According to a Schedule 13G filed February 13, 2024, Kayne Anderson Rudnick Investment Management, LLC has shared voting power with respect to 584,846 shares, sole voting power with respect to 2,963,907 shares, shared dispositive power with regards to 584,846 shares, and sole dispositive power with respect to 3,157,352 shares. The address for Kayne Anderson Rudnick Investment Management, LLC is 2000 Avenue of the Stars, Suite 1110, Los Angeles, CA 90067.</w:t>
      </w:r>
    </w:p>
    <w:p>
      <w:pPr>
        <w:spacing w:after="0" w:line="70" w:lineRule="exact"/>
        <w:rPr>
          <w:rFonts w:ascii="Arial" w:cs="Arial" w:eastAsia="Arial" w:hAnsi="Arial"/>
          <w:sz w:val="18"/>
          <w:szCs w:val="18"/>
          <w:color w:val="auto"/>
        </w:rPr>
      </w:pPr>
    </w:p>
    <w:p>
      <w:pPr>
        <w:ind w:left="960" w:hanging="324"/>
        <w:spacing w:after="0" w:line="287" w:lineRule="auto"/>
        <w:tabs>
          <w:tab w:leader="none" w:pos="923" w:val="left"/>
        </w:tabs>
        <w:numPr>
          <w:ilvl w:val="0"/>
          <w:numId w:val="35"/>
        </w:numPr>
        <w:rPr>
          <w:rFonts w:ascii="Arial" w:cs="Arial" w:eastAsia="Arial" w:hAnsi="Arial"/>
          <w:sz w:val="18"/>
          <w:szCs w:val="18"/>
          <w:color w:val="auto"/>
        </w:rPr>
      </w:pPr>
      <w:r>
        <w:rPr>
          <w:rFonts w:ascii="Arial" w:cs="Arial" w:eastAsia="Arial" w:hAnsi="Arial"/>
          <w:sz w:val="18"/>
          <w:szCs w:val="18"/>
          <w:color w:val="auto"/>
        </w:rPr>
        <w:t>Includes 11,685 shares that are currently acquirable by exercise of outstanding stock options and 4,887 shares held in the Retirement Plan for Mr. Foss’ account.</w:t>
      </w:r>
    </w:p>
    <w:p>
      <w:pPr>
        <w:spacing w:after="0" w:line="58" w:lineRule="exact"/>
        <w:rPr>
          <w:rFonts w:ascii="Arial" w:cs="Arial" w:eastAsia="Arial" w:hAnsi="Arial"/>
          <w:sz w:val="18"/>
          <w:szCs w:val="18"/>
          <w:color w:val="auto"/>
        </w:rPr>
      </w:pPr>
    </w:p>
    <w:p>
      <w:pPr>
        <w:ind w:left="960" w:hanging="324"/>
        <w:spacing w:after="0" w:line="287" w:lineRule="auto"/>
        <w:tabs>
          <w:tab w:leader="none" w:pos="950" w:val="left"/>
        </w:tabs>
        <w:numPr>
          <w:ilvl w:val="0"/>
          <w:numId w:val="35"/>
        </w:numPr>
        <w:rPr>
          <w:rFonts w:ascii="Arial" w:cs="Arial" w:eastAsia="Arial" w:hAnsi="Arial"/>
          <w:sz w:val="18"/>
          <w:szCs w:val="18"/>
          <w:color w:val="221F1F"/>
        </w:rPr>
      </w:pPr>
      <w:r>
        <w:rPr>
          <w:rFonts w:ascii="Arial" w:cs="Arial" w:eastAsia="Arial" w:hAnsi="Arial"/>
          <w:sz w:val="18"/>
          <w:szCs w:val="18"/>
          <w:color w:val="auto"/>
        </w:rPr>
        <w:t>Includes 1,173 restricted stock units for Mses. Fiegel, and Miyashiro, and Messrs. Flanigan, Wilson, Wimsett, Brown, and Campbell, that will vest on the earlier of (i) the day before the Company’s Annual Meeting or (ii) November 18, 2024.</w:t>
      </w:r>
    </w:p>
    <w:p>
      <w:pPr>
        <w:spacing w:after="0" w:line="58" w:lineRule="exact"/>
        <w:rPr>
          <w:rFonts w:ascii="Arial" w:cs="Arial" w:eastAsia="Arial" w:hAnsi="Arial"/>
          <w:sz w:val="18"/>
          <w:szCs w:val="18"/>
          <w:color w:val="221F1F"/>
        </w:rPr>
      </w:pPr>
    </w:p>
    <w:p>
      <w:pPr>
        <w:jc w:val="both"/>
        <w:ind w:left="960" w:hanging="324"/>
        <w:spacing w:after="0" w:line="273" w:lineRule="auto"/>
        <w:tabs>
          <w:tab w:leader="none" w:pos="923" w:val="left"/>
        </w:tabs>
        <w:numPr>
          <w:ilvl w:val="0"/>
          <w:numId w:val="35"/>
        </w:numPr>
        <w:rPr>
          <w:rFonts w:ascii="Arial" w:cs="Arial" w:eastAsia="Arial" w:hAnsi="Arial"/>
          <w:sz w:val="18"/>
          <w:szCs w:val="18"/>
          <w:color w:val="auto"/>
        </w:rPr>
      </w:pPr>
      <w:r>
        <w:rPr>
          <w:rFonts w:ascii="Arial" w:cs="Arial" w:eastAsia="Arial" w:hAnsi="Arial"/>
          <w:sz w:val="18"/>
          <w:szCs w:val="18"/>
          <w:color w:val="auto"/>
        </w:rPr>
        <w:t>Mr. Wilson has elected to defer receipt of 9,982 restricted stock units, which have fully vested and will become payable, in cash or common stock at the Company’s option, upon Mr. Wilson’s termination of service as a director of the Company pursuant to Mr. Wilson’s deferral elections. Each restricted stock unit is the economic equivalent of one share of common stock. These deferred restricted stock units have been excluded from the amounts set forth in this table.</w:t>
      </w:r>
    </w:p>
    <w:p>
      <w:pPr>
        <w:spacing w:after="0" w:line="70" w:lineRule="exact"/>
        <w:rPr>
          <w:rFonts w:ascii="Arial" w:cs="Arial" w:eastAsia="Arial" w:hAnsi="Arial"/>
          <w:sz w:val="18"/>
          <w:szCs w:val="18"/>
          <w:color w:val="auto"/>
        </w:rPr>
      </w:pPr>
    </w:p>
    <w:p>
      <w:pPr>
        <w:jc w:val="both"/>
        <w:ind w:left="960" w:hanging="324"/>
        <w:spacing w:after="0" w:line="273" w:lineRule="auto"/>
        <w:tabs>
          <w:tab w:leader="none" w:pos="923" w:val="left"/>
        </w:tabs>
        <w:numPr>
          <w:ilvl w:val="0"/>
          <w:numId w:val="35"/>
        </w:numPr>
        <w:rPr>
          <w:rFonts w:ascii="Arial" w:cs="Arial" w:eastAsia="Arial" w:hAnsi="Arial"/>
          <w:sz w:val="18"/>
          <w:szCs w:val="18"/>
          <w:color w:val="221F1F"/>
        </w:rPr>
      </w:pPr>
      <w:r>
        <w:rPr>
          <w:rFonts w:ascii="Arial" w:cs="Arial" w:eastAsia="Arial" w:hAnsi="Arial"/>
          <w:sz w:val="18"/>
          <w:szCs w:val="18"/>
          <w:color w:val="auto"/>
        </w:rPr>
        <w:t>Mr. Adelson has elected to defer receipt of 3,561 performance shares, which have fully vested and will become payable, in cash or common stock, at the Company’s option, upon Mr. Adelson’s termination of service with the Company pursuant to Mr. Adelson’s deferral elections. Each performance share is the economic equivalent of one share of common stock. These deferred performance shares have been excluded from the amounts set forth in this table.</w:t>
      </w:r>
    </w:p>
    <w:p>
      <w:pPr>
        <w:spacing w:after="0" w:line="57" w:lineRule="exact"/>
        <w:rPr>
          <w:rFonts w:ascii="Arial" w:cs="Arial" w:eastAsia="Arial" w:hAnsi="Arial"/>
          <w:sz w:val="18"/>
          <w:szCs w:val="18"/>
          <w:color w:val="221F1F"/>
        </w:rPr>
      </w:pPr>
    </w:p>
    <w:p>
      <w:pPr>
        <w:ind w:left="960" w:hanging="324"/>
        <w:spacing w:after="0"/>
        <w:tabs>
          <w:tab w:leader="none" w:pos="960" w:val="left"/>
        </w:tabs>
        <w:numPr>
          <w:ilvl w:val="0"/>
          <w:numId w:val="35"/>
        </w:numPr>
        <w:rPr>
          <w:rFonts w:ascii="Arial" w:cs="Arial" w:eastAsia="Arial" w:hAnsi="Arial"/>
          <w:sz w:val="18"/>
          <w:szCs w:val="18"/>
          <w:color w:val="221F1F"/>
        </w:rPr>
      </w:pPr>
      <w:r>
        <w:rPr>
          <w:rFonts w:ascii="Arial" w:cs="Arial" w:eastAsia="Arial" w:hAnsi="Arial"/>
          <w:sz w:val="18"/>
          <w:szCs w:val="18"/>
          <w:color w:val="221F1F"/>
        </w:rPr>
        <w:t>Includes 1,184 shares held in the Retirement Plan for Mr. Morgan</w:t>
      </w:r>
      <w:r>
        <w:rPr>
          <w:rFonts w:ascii="Arial" w:cs="Arial" w:eastAsia="Arial" w:hAnsi="Arial"/>
          <w:sz w:val="18"/>
          <w:szCs w:val="18"/>
          <w:color w:val="000000"/>
        </w:rPr>
        <w:t>’s account.</w:t>
      </w:r>
    </w:p>
    <w:p>
      <w:pPr>
        <w:spacing w:after="0" w:line="130" w:lineRule="exact"/>
        <w:rPr>
          <w:rFonts w:ascii="Arial" w:cs="Arial" w:eastAsia="Arial" w:hAnsi="Arial"/>
          <w:sz w:val="18"/>
          <w:szCs w:val="18"/>
          <w:color w:val="221F1F"/>
        </w:rPr>
      </w:pPr>
    </w:p>
    <w:p>
      <w:pPr>
        <w:ind w:left="1020" w:hanging="384"/>
        <w:spacing w:after="0"/>
        <w:tabs>
          <w:tab w:leader="none" w:pos="10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Includes 154 shares held in the Retirement Plan for Mr. Zengel’s account.</w:t>
      </w:r>
    </w:p>
    <w:p>
      <w:pPr>
        <w:spacing w:after="0" w:line="130" w:lineRule="exact"/>
        <w:rPr>
          <w:rFonts w:ascii="Arial" w:cs="Arial" w:eastAsia="Arial" w:hAnsi="Arial"/>
          <w:sz w:val="18"/>
          <w:szCs w:val="18"/>
          <w:color w:val="auto"/>
        </w:rPr>
      </w:pPr>
    </w:p>
    <w:p>
      <w:pPr>
        <w:jc w:val="both"/>
        <w:ind w:left="960" w:hanging="324"/>
        <w:spacing w:after="0" w:line="273" w:lineRule="auto"/>
        <w:tabs>
          <w:tab w:leader="none" w:pos="983" w:val="left"/>
        </w:tabs>
        <w:numPr>
          <w:ilvl w:val="0"/>
          <w:numId w:val="35"/>
        </w:numPr>
        <w:rPr>
          <w:rFonts w:ascii="Arial" w:cs="Arial" w:eastAsia="Arial" w:hAnsi="Arial"/>
          <w:sz w:val="18"/>
          <w:szCs w:val="18"/>
          <w:color w:val="auto"/>
        </w:rPr>
      </w:pPr>
      <w:r>
        <w:rPr>
          <w:rFonts w:ascii="Arial" w:cs="Arial" w:eastAsia="Arial" w:hAnsi="Arial"/>
          <w:sz w:val="18"/>
          <w:szCs w:val="18"/>
          <w:color w:val="auto"/>
        </w:rPr>
        <w:t>Mr. Campbell has elected to defer receipt of 983 restricted stock units, which have fully vested and will become payable, in cash or common stock at the Company’s option, upon Mr. Campbell’s termination of service as a director of the Company pursuant to Mr. Campbell's deferral elections. Each restricted stock unit is the economic equivalent of one share of common stock. These deferred restricted stock units have been excluded from the amounts set forth in this table.</w:t>
      </w:r>
    </w:p>
    <w:p>
      <w:pPr>
        <w:spacing w:after="0" w:line="57" w:lineRule="exact"/>
        <w:rPr>
          <w:rFonts w:ascii="Arial" w:cs="Arial" w:eastAsia="Arial" w:hAnsi="Arial"/>
          <w:sz w:val="18"/>
          <w:szCs w:val="18"/>
          <w:color w:val="auto"/>
        </w:rPr>
      </w:pPr>
    </w:p>
    <w:p>
      <w:pPr>
        <w:jc w:val="both"/>
        <w:ind w:left="960" w:hanging="324"/>
        <w:spacing w:after="0" w:line="273" w:lineRule="auto"/>
        <w:tabs>
          <w:tab w:leader="none" w:pos="983" w:val="left"/>
        </w:tabs>
        <w:numPr>
          <w:ilvl w:val="0"/>
          <w:numId w:val="35"/>
        </w:numPr>
        <w:rPr>
          <w:rFonts w:ascii="Arial" w:cs="Arial" w:eastAsia="Arial" w:hAnsi="Arial"/>
          <w:sz w:val="18"/>
          <w:szCs w:val="18"/>
          <w:color w:val="auto"/>
        </w:rPr>
      </w:pPr>
      <w:r>
        <w:rPr>
          <w:rFonts w:ascii="Arial" w:cs="Arial" w:eastAsia="Arial" w:hAnsi="Arial"/>
          <w:sz w:val="18"/>
          <w:szCs w:val="18"/>
          <w:color w:val="auto"/>
        </w:rPr>
        <w:t>Mr. McLachlan has elected to defer receipt of 269 performance shares, which have fully vested and will become payable, in cash or common stock at the Company’s option, upon Mr. McLachlan’s termination of service as a director of the Company pursuant to Mr. McLachlan's deferral elections. Each restricted stock unit is the economic equivalent of one share of common stock. These deferred restricted stock units have been excluded from the amounts set forth in this table.</w:t>
      </w:r>
    </w:p>
    <w:p>
      <w:pPr>
        <w:spacing w:after="0" w:line="70" w:lineRule="exact"/>
        <w:rPr>
          <w:rFonts w:ascii="Arial" w:cs="Arial" w:eastAsia="Arial" w:hAnsi="Arial"/>
          <w:sz w:val="18"/>
          <w:szCs w:val="18"/>
          <w:color w:val="auto"/>
        </w:rPr>
      </w:pPr>
    </w:p>
    <w:p>
      <w:pPr>
        <w:ind w:left="960" w:hanging="324"/>
        <w:spacing w:after="0"/>
        <w:tabs>
          <w:tab w:leader="none" w:pos="960" w:val="left"/>
        </w:tabs>
        <w:numPr>
          <w:ilvl w:val="0"/>
          <w:numId w:val="35"/>
        </w:numPr>
        <w:rPr>
          <w:rFonts w:ascii="Arial" w:cs="Arial" w:eastAsia="Arial" w:hAnsi="Arial"/>
          <w:sz w:val="18"/>
          <w:szCs w:val="18"/>
          <w:color w:val="221F1F"/>
        </w:rPr>
      </w:pPr>
      <w:r>
        <w:rPr>
          <w:rFonts w:ascii="Arial" w:cs="Arial" w:eastAsia="Arial" w:hAnsi="Arial"/>
          <w:sz w:val="18"/>
          <w:szCs w:val="18"/>
          <w:color w:val="auto"/>
        </w:rPr>
        <w:t>Includes 365 restricted stock units for Mses. LoCascio and Nelson, each non-employee directors, that will vest on the earlier of</w:t>
      </w:r>
    </w:p>
    <w:p>
      <w:pPr>
        <w:spacing w:after="0" w:line="31" w:lineRule="exact"/>
        <w:rPr>
          <w:rFonts w:ascii="Arial" w:cs="Arial" w:eastAsia="Arial" w:hAnsi="Arial"/>
          <w:sz w:val="18"/>
          <w:szCs w:val="18"/>
          <w:color w:val="221F1F"/>
        </w:rPr>
      </w:pPr>
    </w:p>
    <w:p>
      <w:pPr>
        <w:ind w:left="960"/>
        <w:spacing w:after="0"/>
        <w:rPr>
          <w:rFonts w:ascii="Arial" w:cs="Arial" w:eastAsia="Arial" w:hAnsi="Arial"/>
          <w:sz w:val="18"/>
          <w:szCs w:val="18"/>
          <w:color w:val="221F1F"/>
        </w:rPr>
      </w:pPr>
      <w:r>
        <w:rPr>
          <w:rFonts w:ascii="Arial" w:cs="Arial" w:eastAsia="Arial" w:hAnsi="Arial"/>
          <w:sz w:val="18"/>
          <w:szCs w:val="18"/>
          <w:color w:val="auto"/>
        </w:rPr>
        <w:t>(i) the day before the Company’s Annual Meeting or (ii) November 18,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132320" cy="3511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132320" cy="351155"/>
                    </a:xfrm>
                    <a:prstGeom prst="rect">
                      <a:avLst/>
                    </a:prstGeom>
                    <a:noFill/>
                  </pic:spPr>
                </pic:pic>
              </a:graphicData>
            </a:graphic>
          </wp:anchor>
        </w:drawing>
      </w:r>
    </w:p>
    <w:p>
      <w:pPr>
        <w:spacing w:after="0" w:line="290" w:lineRule="exact"/>
        <w:rPr>
          <w:sz w:val="20"/>
          <w:szCs w:val="20"/>
          <w:color w:val="auto"/>
        </w:rPr>
      </w:pPr>
    </w:p>
    <w:p>
      <w:pPr>
        <w:spacing w:after="0"/>
        <w:tabs>
          <w:tab w:leader="none" w:pos="420" w:val="left"/>
        </w:tabs>
        <w:rPr>
          <w:sz w:val="20"/>
          <w:szCs w:val="20"/>
          <w:color w:val="auto"/>
        </w:rPr>
      </w:pPr>
      <w:r>
        <w:rPr>
          <w:rFonts w:ascii="Arial" w:cs="Arial" w:eastAsia="Arial" w:hAnsi="Arial"/>
          <w:sz w:val="18"/>
          <w:szCs w:val="18"/>
          <w:color w:val="auto"/>
        </w:rPr>
        <w:t>74</w:t>
        <w:tab/>
        <w:t>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253365</wp:posOffset>
            </wp:positionV>
            <wp:extent cx="7157720" cy="425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40" w:top="998" w:right="339" w:bottom="1440" w:gutter="0" w:footer="0" w:header="0"/>
        </w:sectPr>
      </w:pPr>
    </w:p>
    <w:bookmarkStart w:id="77" w:name="page78"/>
    <w:bookmarkEnd w:id="77"/>
    <w:p>
      <w:pPr>
        <w:ind w:left="980" w:hanging="324"/>
        <w:spacing w:after="0" w:line="303" w:lineRule="auto"/>
        <w:tabs>
          <w:tab w:leader="none" w:pos="989" w:val="left"/>
        </w:tabs>
        <w:numPr>
          <w:ilvl w:val="0"/>
          <w:numId w:val="36"/>
        </w:numPr>
        <w:rPr>
          <w:rFonts w:ascii="Arial" w:cs="Arial" w:eastAsia="Arial" w:hAnsi="Arial"/>
          <w:sz w:val="18"/>
          <w:szCs w:val="18"/>
          <w:color w:val="auto"/>
        </w:rPr>
      </w:pPr>
      <w:r>
        <w:rPr>
          <w:rFonts w:ascii="Arial" w:cs="Arial" w:eastAsia="Arial" w:hAnsi="Arial"/>
          <w:sz w:val="18"/>
          <w:szCs w:val="18"/>
          <w:color w:val="auto"/>
        </w:rPr>
        <w:t>Includes 14,339 shares beneficially owned by other executive officers. Mr. Zengel retired effective June 30, 2024, and is not included in the group total.</w:t>
      </w:r>
    </w:p>
    <w:p>
      <w:pPr>
        <w:spacing w:after="0" w:line="8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STOCKHOLDER PROPOSALS AND NOMINATIONS</w:t>
      </w:r>
    </w:p>
    <w:p>
      <w:pPr>
        <w:spacing w:after="0" w:line="267" w:lineRule="exact"/>
        <w:rPr>
          <w:sz w:val="20"/>
          <w:szCs w:val="20"/>
          <w:color w:val="auto"/>
        </w:rPr>
      </w:pPr>
    </w:p>
    <w:p>
      <w:pPr>
        <w:jc w:val="both"/>
        <w:spacing w:after="0" w:line="268" w:lineRule="auto"/>
        <w:rPr>
          <w:sz w:val="20"/>
          <w:szCs w:val="20"/>
          <w:color w:val="auto"/>
        </w:rPr>
      </w:pPr>
      <w:r>
        <w:rPr>
          <w:rFonts w:ascii="Arial" w:cs="Arial" w:eastAsia="Arial" w:hAnsi="Arial"/>
          <w:sz w:val="20"/>
          <w:szCs w:val="20"/>
          <w:color w:val="auto"/>
        </w:rPr>
        <w:t>Stockholders who intend to present proposals for inclusion in the proxy statement and form of proxy for the 2025 Annual Meeting of Stockholders must submit their proposals to the Company’s Secretary on or before June 6, 2025. A stockholder who wishes to present a proposal at the 2025 Annual Meeting, but who does not request inclusion in the proxy statement, must submit the proposal to the Company’s Secretary by August 14, 2025. The Company’s Bylaws specify requirements for the content of the notice that stockholders must provide.</w:t>
      </w:r>
    </w:p>
    <w:p>
      <w:pPr>
        <w:spacing w:after="0" w:line="201" w:lineRule="exact"/>
        <w:rPr>
          <w:sz w:val="20"/>
          <w:szCs w:val="20"/>
          <w:color w:val="auto"/>
        </w:rPr>
      </w:pPr>
    </w:p>
    <w:p>
      <w:pPr>
        <w:jc w:val="both"/>
        <w:spacing w:after="0" w:line="263" w:lineRule="auto"/>
        <w:rPr>
          <w:sz w:val="20"/>
          <w:szCs w:val="20"/>
          <w:color w:val="auto"/>
        </w:rPr>
      </w:pPr>
      <w:r>
        <w:rPr>
          <w:rFonts w:ascii="Arial" w:cs="Arial" w:eastAsia="Arial" w:hAnsi="Arial"/>
          <w:sz w:val="20"/>
          <w:szCs w:val="20"/>
          <w:color w:val="auto"/>
        </w:rPr>
        <w:t>In addition, any stockholder who intends to nominate a candidate for election to the Board at the Company’s 2025 Annual Meeting pursuant to the advance notice provisions of the Bylaws, must give notice to the Company’s Secretary on or before August 14, 2025. Notice of proxy access director nominees by stockholders who meet the eligibility requirements in the Company’s Bylaws must be received by the Company’s Secretary no earlier than the close of business on May 7, 2025 and no later than the close of business on June 6, 2025. In each case, the notice must include information specified in the Company’s Bylaws, including information concerning the nominee and information about the stockholder’s ownership of, and agreements related to, the Company’s common stock.</w:t>
      </w:r>
    </w:p>
    <w:p>
      <w:pPr>
        <w:spacing w:after="0" w:line="207" w:lineRule="exact"/>
        <w:rPr>
          <w:sz w:val="20"/>
          <w:szCs w:val="20"/>
          <w:color w:val="auto"/>
        </w:rPr>
      </w:pPr>
    </w:p>
    <w:p>
      <w:pPr>
        <w:jc w:val="both"/>
        <w:spacing w:after="0" w:line="269" w:lineRule="auto"/>
        <w:rPr>
          <w:sz w:val="20"/>
          <w:szCs w:val="20"/>
          <w:color w:val="auto"/>
        </w:rPr>
      </w:pPr>
      <w:r>
        <w:rPr>
          <w:rFonts w:ascii="Arial" w:cs="Arial" w:eastAsia="Arial" w:hAnsi="Arial"/>
          <w:sz w:val="20"/>
          <w:szCs w:val="20"/>
          <w:color w:val="auto"/>
        </w:rPr>
        <w:t>In addition to satisfying the foregoing advance notice requirements under our Bylaws, to comply with the universal proxy rules under the Exchange Act, stockholders who intend to solicit proxies in support of director nominees other than our nominees must provide notice that sets forth the information required by Rule 14a-19 under the Exchange Act no later than September 14, 2025.</w:t>
      </w:r>
    </w:p>
    <w:p>
      <w:pPr>
        <w:spacing w:after="0" w:line="211" w:lineRule="exact"/>
        <w:rPr>
          <w:sz w:val="20"/>
          <w:szCs w:val="20"/>
          <w:color w:val="auto"/>
        </w:rPr>
      </w:pPr>
    </w:p>
    <w:p>
      <w:pPr>
        <w:jc w:val="both"/>
        <w:spacing w:after="0" w:line="263" w:lineRule="auto"/>
        <w:rPr>
          <w:sz w:val="20"/>
          <w:szCs w:val="20"/>
          <w:color w:val="auto"/>
        </w:rPr>
      </w:pPr>
      <w:r>
        <w:rPr>
          <w:rFonts w:ascii="Arial" w:cs="Arial" w:eastAsia="Arial" w:hAnsi="Arial"/>
          <w:sz w:val="20"/>
          <w:szCs w:val="20"/>
          <w:color w:val="auto"/>
        </w:rPr>
        <w:t>The Company will not entertain any proposals or nominations at the 2025 Annual Meeting that do not meet the requirements set forth in the Company’s Bylaws. If the stockholder does not also comply with the requirements of Rule 14a-4(c)(2) under the Exchange Act, as amended, the Company may exercise discretionary voting authority under proxies that it solicits to vote in accordance with the Company’s best judgment on any such stockholder proposal or nomination. The Bylaws are posted on our web site at https://ir.jackhenry.com/corporate-governance/overview. To make a submission or to request a copy of our Bylaws, stockholders should contact the Company’s Secretary. We strongly encourage stockholders to seek advice from knowledgeable counsel before submitting a proposal or a nomination.</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FINANCIAL STATEMENTS</w:t>
      </w:r>
    </w:p>
    <w:p>
      <w:pPr>
        <w:spacing w:after="0" w:line="267" w:lineRule="exact"/>
        <w:rPr>
          <w:sz w:val="20"/>
          <w:szCs w:val="20"/>
          <w:color w:val="auto"/>
        </w:rPr>
      </w:pPr>
    </w:p>
    <w:p>
      <w:pPr>
        <w:jc w:val="both"/>
        <w:ind w:right="20"/>
        <w:spacing w:after="0" w:line="286" w:lineRule="auto"/>
        <w:rPr>
          <w:sz w:val="20"/>
          <w:szCs w:val="20"/>
          <w:color w:val="auto"/>
        </w:rPr>
      </w:pPr>
      <w:r>
        <w:rPr>
          <w:rFonts w:ascii="Arial" w:cs="Arial" w:eastAsia="Arial" w:hAnsi="Arial"/>
          <w:sz w:val="20"/>
          <w:szCs w:val="20"/>
          <w:color w:val="auto"/>
        </w:rPr>
        <w:t>Consolidated financial statements of the Company are contained in the 2024 Annual Report to Stockholders which accompanies this Proxy Statement.</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OTHER MATTERS</w:t>
      </w:r>
    </w:p>
    <w:p>
      <w:pPr>
        <w:spacing w:after="0" w:line="253" w:lineRule="exact"/>
        <w:rPr>
          <w:sz w:val="20"/>
          <w:szCs w:val="20"/>
          <w:color w:val="auto"/>
        </w:rPr>
      </w:pPr>
    </w:p>
    <w:p>
      <w:pPr>
        <w:spacing w:after="0"/>
        <w:rPr>
          <w:sz w:val="20"/>
          <w:szCs w:val="20"/>
          <w:color w:val="auto"/>
        </w:rPr>
      </w:pPr>
      <w:r>
        <w:rPr>
          <w:rFonts w:ascii="Arial" w:cs="Arial" w:eastAsia="Arial" w:hAnsi="Arial"/>
          <w:sz w:val="20"/>
          <w:szCs w:val="20"/>
          <w:u w:val="single" w:color="auto"/>
          <w:color w:val="085CE5"/>
        </w:rPr>
        <w:t>Why am I receiving these materials?</w:t>
      </w:r>
    </w:p>
    <w:p>
      <w:pPr>
        <w:spacing w:after="0" w:line="31" w:lineRule="exact"/>
        <w:rPr>
          <w:sz w:val="20"/>
          <w:szCs w:val="20"/>
          <w:color w:val="auto"/>
        </w:rPr>
      </w:pPr>
    </w:p>
    <w:p>
      <w:pPr>
        <w:jc w:val="both"/>
        <w:spacing w:after="0" w:line="267" w:lineRule="auto"/>
        <w:rPr>
          <w:sz w:val="20"/>
          <w:szCs w:val="20"/>
          <w:color w:val="auto"/>
        </w:rPr>
      </w:pPr>
      <w:r>
        <w:rPr>
          <w:rFonts w:ascii="Arial" w:cs="Arial" w:eastAsia="Arial" w:hAnsi="Arial"/>
          <w:sz w:val="20"/>
          <w:szCs w:val="20"/>
          <w:color w:val="auto"/>
        </w:rPr>
        <w:t>You have received these materials because the Board is soliciting your proxy to vote your shares at the Annual Meeting. This Proxy Statement includes information that the Company is required to provide you under the SEC rules and is designed to assist you in voting your shares.</w:t>
      </w:r>
    </w:p>
    <w:p>
      <w:pPr>
        <w:spacing w:after="0" w:line="200" w:lineRule="exact"/>
        <w:rPr>
          <w:sz w:val="20"/>
          <w:szCs w:val="20"/>
          <w:color w:val="auto"/>
        </w:rPr>
      </w:pPr>
    </w:p>
    <w:p>
      <w:pPr>
        <w:spacing w:after="0"/>
        <w:rPr>
          <w:sz w:val="20"/>
          <w:szCs w:val="20"/>
          <w:color w:val="auto"/>
        </w:rPr>
      </w:pPr>
      <w:r>
        <w:rPr>
          <w:rFonts w:ascii="Arial" w:cs="Arial" w:eastAsia="Arial" w:hAnsi="Arial"/>
          <w:sz w:val="20"/>
          <w:szCs w:val="20"/>
          <w:u w:val="single" w:color="auto"/>
          <w:color w:val="085CE5"/>
        </w:rPr>
        <w:t>What matters will be voted on at the Annual Meeting?</w:t>
      </w:r>
    </w:p>
    <w:p>
      <w:pPr>
        <w:spacing w:after="0" w:line="31" w:lineRule="exact"/>
        <w:rPr>
          <w:sz w:val="20"/>
          <w:szCs w:val="20"/>
          <w:color w:val="auto"/>
        </w:rPr>
      </w:pPr>
    </w:p>
    <w:p>
      <w:pPr>
        <w:spacing w:after="0"/>
        <w:rPr>
          <w:sz w:val="20"/>
          <w:szCs w:val="20"/>
          <w:color w:val="auto"/>
        </w:rPr>
      </w:pPr>
      <w:r>
        <w:rPr>
          <w:rFonts w:ascii="Arial" w:cs="Arial" w:eastAsia="Arial" w:hAnsi="Arial"/>
          <w:sz w:val="20"/>
          <w:szCs w:val="20"/>
          <w:color w:val="auto"/>
        </w:rPr>
        <w:t>At the Annual Meeting, stockholders will consider and vote upon the following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53340</wp:posOffset>
            </wp:positionV>
            <wp:extent cx="7132320" cy="35115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132320" cy="351155"/>
                    </a:xfrm>
                    <a:prstGeom prst="rect">
                      <a:avLst/>
                    </a:prstGeom>
                    <a:noFill/>
                  </pic:spPr>
                </pic:pic>
              </a:graphicData>
            </a:graphic>
          </wp:anchor>
        </w:drawing>
      </w:r>
    </w:p>
    <w:p>
      <w:pPr>
        <w:spacing w:after="0" w:line="275" w:lineRule="exact"/>
        <w:rPr>
          <w:sz w:val="20"/>
          <w:szCs w:val="20"/>
          <w:color w:val="auto"/>
        </w:rPr>
      </w:pPr>
    </w:p>
    <w:p>
      <w:pPr>
        <w:ind w:left="9000"/>
        <w:spacing w:after="0"/>
        <w:tabs>
          <w:tab w:leader="none" w:pos="11000" w:val="left"/>
        </w:tabs>
        <w:rPr>
          <w:sz w:val="20"/>
          <w:szCs w:val="20"/>
          <w:color w:val="auto"/>
        </w:rPr>
      </w:pPr>
      <w:r>
        <w:rPr>
          <w:rFonts w:ascii="Arial" w:cs="Arial" w:eastAsia="Arial" w:hAnsi="Arial"/>
          <w:sz w:val="18"/>
          <w:szCs w:val="18"/>
          <w:color w:val="auto"/>
        </w:rPr>
        <w:t>2024 Proxy Statement</w:t>
      </w:r>
      <w:r>
        <w:rPr>
          <w:sz w:val="20"/>
          <w:szCs w:val="20"/>
          <w:color w:val="auto"/>
        </w:rPr>
        <w:tab/>
      </w:r>
      <w:r>
        <w:rPr>
          <w:rFonts w:ascii="Arial" w:cs="Arial" w:eastAsia="Arial" w:hAnsi="Arial"/>
          <w:sz w:val="17"/>
          <w:szCs w:val="17"/>
          <w:color w:val="1E3767"/>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262255</wp:posOffset>
            </wp:positionV>
            <wp:extent cx="7157720" cy="4254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8" w:right="339" w:bottom="1440" w:gutter="0" w:footer="0" w:header="0"/>
        </w:sectPr>
      </w:pPr>
    </w:p>
    <w:bookmarkStart w:id="78" w:name="page79"/>
    <w:bookmarkEnd w:id="78"/>
    <w:tbl>
      <w:tblPr>
        <w:tblLayout w:type="fixed"/>
        <w:tblInd w:w="500" w:type="dxa"/>
        <w:tblCellMar>
          <w:top w:w="0" w:type="dxa"/>
          <w:left w:w="0" w:type="dxa"/>
          <w:bottom w:w="0" w:type="dxa"/>
          <w:right w:w="0" w:type="dxa"/>
        </w:tblCellMar>
      </w:tblPr>
      <w:tr>
        <w:trPr>
          <w:trHeight w:val="207"/>
        </w:trPr>
        <w:tc>
          <w:tcPr>
            <w:tcW w:w="6840" w:type="dxa"/>
            <w:vAlign w:val="bottom"/>
            <w:tcBorders>
              <w:bottom w:val="single" w:sz="8" w:color="auto"/>
            </w:tcBorders>
            <w:gridSpan w:val="2"/>
            <w:shd w:val="clear" w:color="auto" w:fill="DBE5F1"/>
          </w:tcPr>
          <w:p>
            <w:pPr>
              <w:ind w:left="20"/>
              <w:spacing w:after="0"/>
              <w:rPr>
                <w:sz w:val="20"/>
                <w:szCs w:val="20"/>
                <w:color w:val="auto"/>
              </w:rPr>
            </w:pPr>
            <w:r>
              <w:rPr>
                <w:rFonts w:ascii="Arial" w:cs="Arial" w:eastAsia="Arial" w:hAnsi="Arial"/>
                <w:sz w:val="18"/>
                <w:szCs w:val="18"/>
                <w:b w:val="1"/>
                <w:bCs w:val="1"/>
                <w:color w:val="auto"/>
              </w:rPr>
              <w:t>Proposal</w:t>
            </w:r>
          </w:p>
        </w:tc>
        <w:tc>
          <w:tcPr>
            <w:tcW w:w="2420" w:type="dxa"/>
            <w:vAlign w:val="bottom"/>
            <w:tcBorders>
              <w:bottom w:val="single" w:sz="8" w:color="auto"/>
            </w:tcBorders>
            <w:shd w:val="clear" w:color="auto" w:fill="DBE5F1"/>
          </w:tcPr>
          <w:p>
            <w:pPr>
              <w:jc w:val="center"/>
              <w:ind w:right="10"/>
              <w:spacing w:after="0"/>
              <w:rPr>
                <w:sz w:val="20"/>
                <w:szCs w:val="20"/>
                <w:color w:val="auto"/>
              </w:rPr>
            </w:pPr>
            <w:r>
              <w:rPr>
                <w:rFonts w:ascii="Arial" w:cs="Arial" w:eastAsia="Arial" w:hAnsi="Arial"/>
                <w:sz w:val="18"/>
                <w:szCs w:val="18"/>
                <w:b w:val="1"/>
                <w:bCs w:val="1"/>
                <w:color w:val="auto"/>
                <w:w w:val="99"/>
              </w:rPr>
              <w:t>Board Recommendation</w:t>
            </w:r>
          </w:p>
        </w:tc>
        <w:tc>
          <w:tcPr>
            <w:tcW w:w="1000" w:type="dxa"/>
            <w:vAlign w:val="bottom"/>
            <w:tcBorders>
              <w:bottom w:val="single" w:sz="8" w:color="auto"/>
            </w:tcBorders>
            <w:shd w:val="clear" w:color="auto" w:fill="DBE5F1"/>
          </w:tcPr>
          <w:p>
            <w:pPr>
              <w:jc w:val="right"/>
              <w:ind w:right="210"/>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155"/>
        </w:trPr>
        <w:tc>
          <w:tcPr>
            <w:tcW w:w="260" w:type="dxa"/>
            <w:vAlign w:val="bottom"/>
          </w:tcPr>
          <w:p>
            <w:pPr>
              <w:ind w:left="20"/>
              <w:spacing w:after="0" w:line="156" w:lineRule="exact"/>
              <w:rPr>
                <w:sz w:val="20"/>
                <w:szCs w:val="20"/>
                <w:color w:val="auto"/>
              </w:rPr>
            </w:pPr>
            <w:r>
              <w:rPr>
                <w:rFonts w:ascii="Arial" w:cs="Arial" w:eastAsia="Arial" w:hAnsi="Arial"/>
                <w:sz w:val="18"/>
                <w:szCs w:val="18"/>
                <w:color w:val="auto"/>
                <w:w w:val="99"/>
              </w:rPr>
              <w:t>(1)</w:t>
            </w:r>
          </w:p>
        </w:tc>
        <w:tc>
          <w:tcPr>
            <w:tcW w:w="6580" w:type="dxa"/>
            <w:vAlign w:val="bottom"/>
          </w:tcPr>
          <w:p>
            <w:pPr>
              <w:ind w:left="20"/>
              <w:spacing w:after="0" w:line="156" w:lineRule="exact"/>
              <w:rPr>
                <w:sz w:val="20"/>
                <w:szCs w:val="20"/>
                <w:color w:val="auto"/>
              </w:rPr>
            </w:pPr>
            <w:r>
              <w:rPr>
                <w:rFonts w:ascii="Arial" w:cs="Arial" w:eastAsia="Arial" w:hAnsi="Arial"/>
                <w:sz w:val="18"/>
                <w:szCs w:val="18"/>
                <w:color w:val="auto"/>
              </w:rPr>
              <w:t>The election of nine directors to serve until the 2025 Annual Meeting of</w:t>
            </w:r>
          </w:p>
        </w:tc>
        <w:tc>
          <w:tcPr>
            <w:tcW w:w="2420" w:type="dxa"/>
            <w:vAlign w:val="bottom"/>
            <w:vMerge w:val="restart"/>
          </w:tcPr>
          <w:p>
            <w:pPr>
              <w:jc w:val="center"/>
              <w:ind w:right="30"/>
              <w:spacing w:after="0"/>
              <w:rPr>
                <w:sz w:val="20"/>
                <w:szCs w:val="20"/>
                <w:color w:val="auto"/>
              </w:rPr>
            </w:pPr>
            <w:r>
              <w:rPr>
                <w:rFonts w:ascii="Arial" w:cs="Arial" w:eastAsia="Arial" w:hAnsi="Arial"/>
                <w:sz w:val="18"/>
                <w:szCs w:val="18"/>
                <w:b w:val="1"/>
                <w:bCs w:val="1"/>
                <w:color w:val="auto"/>
                <w:w w:val="99"/>
              </w:rPr>
              <w:t>FOR each nominee</w:t>
            </w:r>
          </w:p>
        </w:tc>
        <w:tc>
          <w:tcPr>
            <w:tcW w:w="1000" w:type="dxa"/>
            <w:vAlign w:val="bottom"/>
          </w:tcPr>
          <w:p>
            <w:pPr>
              <w:jc w:val="right"/>
              <w:ind w:right="370"/>
              <w:spacing w:after="0" w:line="156"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30"/>
        </w:trPr>
        <w:tc>
          <w:tcPr>
            <w:tcW w:w="260" w:type="dxa"/>
            <w:vAlign w:val="bottom"/>
            <w:tcBorders>
              <w:bottom w:val="single" w:sz="8" w:color="DBDBDB"/>
            </w:tcBorders>
          </w:tcPr>
          <w:p>
            <w:pPr>
              <w:spacing w:after="0"/>
              <w:rPr>
                <w:sz w:val="19"/>
                <w:szCs w:val="19"/>
                <w:color w:val="auto"/>
              </w:rPr>
            </w:pPr>
          </w:p>
        </w:tc>
        <w:tc>
          <w:tcPr>
            <w:tcW w:w="6580" w:type="dxa"/>
            <w:vAlign w:val="bottom"/>
            <w:tcBorders>
              <w:bottom w:val="single" w:sz="8" w:color="DBDBDB"/>
            </w:tcBorders>
          </w:tcPr>
          <w:p>
            <w:pPr>
              <w:ind w:left="80"/>
              <w:spacing w:after="0"/>
              <w:rPr>
                <w:sz w:val="20"/>
                <w:szCs w:val="20"/>
                <w:color w:val="auto"/>
              </w:rPr>
            </w:pPr>
            <w:r>
              <w:rPr>
                <w:rFonts w:ascii="Arial" w:cs="Arial" w:eastAsia="Arial" w:hAnsi="Arial"/>
                <w:sz w:val="18"/>
                <w:szCs w:val="18"/>
                <w:color w:val="auto"/>
              </w:rPr>
              <w:t>Stockholders;</w:t>
            </w:r>
          </w:p>
        </w:tc>
        <w:tc>
          <w:tcPr>
            <w:tcW w:w="2420" w:type="dxa"/>
            <w:vAlign w:val="bottom"/>
            <w:tcBorders>
              <w:bottom w:val="single" w:sz="8" w:color="DBDBDB"/>
            </w:tcBorders>
            <w:vMerge w:val="continue"/>
          </w:tcPr>
          <w:p>
            <w:pPr>
              <w:spacing w:after="0"/>
              <w:rPr>
                <w:sz w:val="19"/>
                <w:szCs w:val="19"/>
                <w:color w:val="auto"/>
              </w:rPr>
            </w:pPr>
          </w:p>
        </w:tc>
        <w:tc>
          <w:tcPr>
            <w:tcW w:w="1000" w:type="dxa"/>
            <w:vAlign w:val="bottom"/>
            <w:tcBorders>
              <w:bottom w:val="single" w:sz="8" w:color="DBDBDB"/>
            </w:tcBorders>
          </w:tcPr>
          <w:p>
            <w:pPr>
              <w:spacing w:after="0"/>
              <w:rPr>
                <w:sz w:val="19"/>
                <w:szCs w:val="19"/>
                <w:color w:val="auto"/>
              </w:rPr>
            </w:pPr>
          </w:p>
        </w:tc>
        <w:tc>
          <w:tcPr>
            <w:tcW w:w="0" w:type="dxa"/>
            <w:vAlign w:val="bottom"/>
          </w:tcPr>
          <w:p>
            <w:pPr>
              <w:spacing w:after="0"/>
              <w:rPr>
                <w:sz w:val="1"/>
                <w:szCs w:val="1"/>
                <w:color w:val="auto"/>
              </w:rPr>
            </w:pPr>
          </w:p>
        </w:tc>
      </w:tr>
      <w:tr>
        <w:trPr>
          <w:trHeight w:val="155"/>
        </w:trPr>
        <w:tc>
          <w:tcPr>
            <w:tcW w:w="260" w:type="dxa"/>
            <w:vAlign w:val="bottom"/>
            <w:shd w:val="clear" w:color="auto" w:fill="F2F2F2"/>
          </w:tcPr>
          <w:p>
            <w:pPr>
              <w:ind w:left="20"/>
              <w:spacing w:after="0" w:line="156" w:lineRule="exact"/>
              <w:rPr>
                <w:sz w:val="20"/>
                <w:szCs w:val="20"/>
                <w:color w:val="auto"/>
              </w:rPr>
            </w:pPr>
            <w:r>
              <w:rPr>
                <w:rFonts w:ascii="Arial" w:cs="Arial" w:eastAsia="Arial" w:hAnsi="Arial"/>
                <w:sz w:val="18"/>
                <w:szCs w:val="18"/>
                <w:color w:val="221F1F"/>
                <w:w w:val="99"/>
              </w:rPr>
              <w:t>(2)</w:t>
            </w:r>
          </w:p>
        </w:tc>
        <w:tc>
          <w:tcPr>
            <w:tcW w:w="6580" w:type="dxa"/>
            <w:vAlign w:val="bottom"/>
            <w:shd w:val="clear" w:color="auto" w:fill="F2F2F2"/>
          </w:tcPr>
          <w:p>
            <w:pPr>
              <w:ind w:left="20"/>
              <w:spacing w:after="0" w:line="156" w:lineRule="exact"/>
              <w:rPr>
                <w:sz w:val="20"/>
                <w:szCs w:val="20"/>
                <w:color w:val="auto"/>
              </w:rPr>
            </w:pPr>
            <w:r>
              <w:rPr>
                <w:rFonts w:ascii="Arial" w:cs="Arial" w:eastAsia="Arial" w:hAnsi="Arial"/>
                <w:sz w:val="18"/>
                <w:szCs w:val="18"/>
                <w:color w:val="221F1F"/>
              </w:rPr>
              <w:t>Approval, on an advisory basis, of the compensation of our named executive</w:t>
            </w:r>
          </w:p>
        </w:tc>
        <w:tc>
          <w:tcPr>
            <w:tcW w:w="2420" w:type="dxa"/>
            <w:vAlign w:val="bottom"/>
            <w:vMerge w:val="restart"/>
            <w:shd w:val="clear" w:color="auto" w:fill="F2F2F2"/>
          </w:tcPr>
          <w:p>
            <w:pPr>
              <w:jc w:val="center"/>
              <w:ind w:right="30"/>
              <w:spacing w:after="0"/>
              <w:rPr>
                <w:sz w:val="20"/>
                <w:szCs w:val="20"/>
                <w:color w:val="auto"/>
              </w:rPr>
            </w:pPr>
            <w:r>
              <w:rPr>
                <w:rFonts w:ascii="Arial" w:cs="Arial" w:eastAsia="Arial" w:hAnsi="Arial"/>
                <w:sz w:val="18"/>
                <w:szCs w:val="18"/>
                <w:b w:val="1"/>
                <w:bCs w:val="1"/>
                <w:color w:val="auto"/>
                <w:w w:val="99"/>
              </w:rPr>
              <w:t>FOR</w:t>
            </w:r>
          </w:p>
        </w:tc>
        <w:tc>
          <w:tcPr>
            <w:tcW w:w="1000" w:type="dxa"/>
            <w:vAlign w:val="bottom"/>
            <w:vMerge w:val="restart"/>
            <w:shd w:val="clear" w:color="auto" w:fill="F2F2F2"/>
          </w:tcPr>
          <w:p>
            <w:pPr>
              <w:jc w:val="right"/>
              <w:ind w:right="490"/>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30"/>
        </w:trPr>
        <w:tc>
          <w:tcPr>
            <w:tcW w:w="260" w:type="dxa"/>
            <w:vAlign w:val="bottom"/>
            <w:tcBorders>
              <w:bottom w:val="single" w:sz="8" w:color="DBDBDB"/>
            </w:tcBorders>
            <w:shd w:val="clear" w:color="auto" w:fill="F2F2F2"/>
          </w:tcPr>
          <w:p>
            <w:pPr>
              <w:spacing w:after="0"/>
              <w:rPr>
                <w:sz w:val="19"/>
                <w:szCs w:val="19"/>
                <w:color w:val="auto"/>
              </w:rPr>
            </w:pPr>
          </w:p>
        </w:tc>
        <w:tc>
          <w:tcPr>
            <w:tcW w:w="6580" w:type="dxa"/>
            <w:vAlign w:val="bottom"/>
            <w:tcBorders>
              <w:bottom w:val="single" w:sz="8" w:color="DBDBDB"/>
            </w:tcBorders>
            <w:shd w:val="clear" w:color="auto" w:fill="F2F2F2"/>
          </w:tcPr>
          <w:p>
            <w:pPr>
              <w:ind w:left="80"/>
              <w:spacing w:after="0"/>
              <w:rPr>
                <w:sz w:val="20"/>
                <w:szCs w:val="20"/>
                <w:color w:val="auto"/>
              </w:rPr>
            </w:pPr>
            <w:r>
              <w:rPr>
                <w:rFonts w:ascii="Arial" w:cs="Arial" w:eastAsia="Arial" w:hAnsi="Arial"/>
                <w:sz w:val="18"/>
                <w:szCs w:val="18"/>
                <w:color w:val="221F1F"/>
              </w:rPr>
              <w:t>officers;</w:t>
            </w:r>
          </w:p>
        </w:tc>
        <w:tc>
          <w:tcPr>
            <w:tcW w:w="2420" w:type="dxa"/>
            <w:vAlign w:val="bottom"/>
            <w:tcBorders>
              <w:bottom w:val="single" w:sz="8" w:color="DBDBDB"/>
            </w:tcBorders>
            <w:vMerge w:val="continue"/>
            <w:shd w:val="clear" w:color="auto" w:fill="F2F2F2"/>
          </w:tcPr>
          <w:p>
            <w:pPr>
              <w:spacing w:after="0"/>
              <w:rPr>
                <w:sz w:val="19"/>
                <w:szCs w:val="19"/>
                <w:color w:val="auto"/>
              </w:rPr>
            </w:pPr>
          </w:p>
        </w:tc>
        <w:tc>
          <w:tcPr>
            <w:tcW w:w="1000" w:type="dxa"/>
            <w:vAlign w:val="bottom"/>
            <w:tcBorders>
              <w:bottom w:val="single" w:sz="8" w:color="DBDBDB"/>
            </w:tcBorders>
            <w:vMerge w:val="continue"/>
            <w:shd w:val="clear" w:color="auto" w:fill="F2F2F2"/>
          </w:tcPr>
          <w:p>
            <w:pPr>
              <w:spacing w:after="0"/>
              <w:rPr>
                <w:sz w:val="19"/>
                <w:szCs w:val="19"/>
                <w:color w:val="auto"/>
              </w:rPr>
            </w:pPr>
          </w:p>
        </w:tc>
        <w:tc>
          <w:tcPr>
            <w:tcW w:w="0" w:type="dxa"/>
            <w:vAlign w:val="bottom"/>
          </w:tcPr>
          <w:p>
            <w:pPr>
              <w:spacing w:after="0"/>
              <w:rPr>
                <w:sz w:val="1"/>
                <w:szCs w:val="1"/>
                <w:color w:val="auto"/>
              </w:rPr>
            </w:pPr>
          </w:p>
        </w:tc>
      </w:tr>
      <w:tr>
        <w:trPr>
          <w:trHeight w:val="155"/>
        </w:trPr>
        <w:tc>
          <w:tcPr>
            <w:tcW w:w="260" w:type="dxa"/>
            <w:vAlign w:val="bottom"/>
          </w:tcPr>
          <w:p>
            <w:pPr>
              <w:ind w:left="20"/>
              <w:spacing w:after="0" w:line="156" w:lineRule="exact"/>
              <w:rPr>
                <w:sz w:val="20"/>
                <w:szCs w:val="20"/>
                <w:color w:val="auto"/>
              </w:rPr>
            </w:pPr>
            <w:r>
              <w:rPr>
                <w:rFonts w:ascii="Arial" w:cs="Arial" w:eastAsia="Arial" w:hAnsi="Arial"/>
                <w:sz w:val="18"/>
                <w:szCs w:val="18"/>
                <w:color w:val="auto"/>
                <w:w w:val="99"/>
              </w:rPr>
              <w:t>(3)</w:t>
            </w:r>
          </w:p>
        </w:tc>
        <w:tc>
          <w:tcPr>
            <w:tcW w:w="6580" w:type="dxa"/>
            <w:vAlign w:val="bottom"/>
          </w:tcPr>
          <w:p>
            <w:pPr>
              <w:ind w:left="20"/>
              <w:spacing w:after="0" w:line="156" w:lineRule="exact"/>
              <w:rPr>
                <w:sz w:val="20"/>
                <w:szCs w:val="20"/>
                <w:color w:val="auto"/>
              </w:rPr>
            </w:pPr>
            <w:r>
              <w:rPr>
                <w:rFonts w:ascii="Arial" w:cs="Arial" w:eastAsia="Arial" w:hAnsi="Arial"/>
                <w:sz w:val="18"/>
                <w:szCs w:val="18"/>
                <w:color w:val="auto"/>
              </w:rPr>
              <w:t>Approval of an amendment to the Company’s certificate of incorporation to</w:t>
            </w:r>
          </w:p>
        </w:tc>
        <w:tc>
          <w:tcPr>
            <w:tcW w:w="2420" w:type="dxa"/>
            <w:vAlign w:val="bottom"/>
            <w:vMerge w:val="restart"/>
          </w:tcPr>
          <w:p>
            <w:pPr>
              <w:jc w:val="center"/>
              <w:ind w:right="30"/>
              <w:spacing w:after="0"/>
              <w:rPr>
                <w:sz w:val="20"/>
                <w:szCs w:val="20"/>
                <w:color w:val="auto"/>
              </w:rPr>
            </w:pPr>
            <w:r>
              <w:rPr>
                <w:rFonts w:ascii="Arial" w:cs="Arial" w:eastAsia="Arial" w:hAnsi="Arial"/>
                <w:sz w:val="18"/>
                <w:szCs w:val="18"/>
                <w:b w:val="1"/>
                <w:bCs w:val="1"/>
                <w:color w:val="auto"/>
                <w:w w:val="99"/>
              </w:rPr>
              <w:t>FOR</w:t>
            </w:r>
          </w:p>
        </w:tc>
        <w:tc>
          <w:tcPr>
            <w:tcW w:w="1000" w:type="dxa"/>
            <w:vAlign w:val="bottom"/>
          </w:tcPr>
          <w:p>
            <w:pPr>
              <w:jc w:val="right"/>
              <w:ind w:right="330"/>
              <w:spacing w:after="0" w:line="156" w:lineRule="exact"/>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30"/>
        </w:trPr>
        <w:tc>
          <w:tcPr>
            <w:tcW w:w="260" w:type="dxa"/>
            <w:vAlign w:val="bottom"/>
            <w:tcBorders>
              <w:bottom w:val="single" w:sz="8" w:color="DBDBDB"/>
            </w:tcBorders>
          </w:tcPr>
          <w:p>
            <w:pPr>
              <w:spacing w:after="0"/>
              <w:rPr>
                <w:sz w:val="19"/>
                <w:szCs w:val="19"/>
                <w:color w:val="auto"/>
              </w:rPr>
            </w:pPr>
          </w:p>
        </w:tc>
        <w:tc>
          <w:tcPr>
            <w:tcW w:w="6580" w:type="dxa"/>
            <w:vAlign w:val="bottom"/>
            <w:tcBorders>
              <w:bottom w:val="single" w:sz="8" w:color="DBDBDB"/>
            </w:tcBorders>
          </w:tcPr>
          <w:p>
            <w:pPr>
              <w:ind w:left="80"/>
              <w:spacing w:after="0"/>
              <w:rPr>
                <w:sz w:val="20"/>
                <w:szCs w:val="20"/>
                <w:color w:val="auto"/>
              </w:rPr>
            </w:pPr>
            <w:r>
              <w:rPr>
                <w:rFonts w:ascii="Arial" w:cs="Arial" w:eastAsia="Arial" w:hAnsi="Arial"/>
                <w:sz w:val="18"/>
                <w:szCs w:val="18"/>
                <w:color w:val="auto"/>
              </w:rPr>
              <w:t>reduce stockholder voting thresholds.</w:t>
            </w:r>
          </w:p>
        </w:tc>
        <w:tc>
          <w:tcPr>
            <w:tcW w:w="2420" w:type="dxa"/>
            <w:vAlign w:val="bottom"/>
            <w:tcBorders>
              <w:bottom w:val="single" w:sz="8" w:color="DBDBDB"/>
            </w:tcBorders>
            <w:vMerge w:val="continue"/>
          </w:tcPr>
          <w:p>
            <w:pPr>
              <w:spacing w:after="0"/>
              <w:rPr>
                <w:sz w:val="19"/>
                <w:szCs w:val="19"/>
                <w:color w:val="auto"/>
              </w:rPr>
            </w:pPr>
          </w:p>
        </w:tc>
        <w:tc>
          <w:tcPr>
            <w:tcW w:w="1000" w:type="dxa"/>
            <w:vAlign w:val="bottom"/>
            <w:tcBorders>
              <w:bottom w:val="single" w:sz="8" w:color="DBDBDB"/>
            </w:tcBorders>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260" w:type="dxa"/>
            <w:vAlign w:val="bottom"/>
            <w:shd w:val="clear" w:color="auto" w:fill="F2F2F2"/>
          </w:tcPr>
          <w:p>
            <w:pPr>
              <w:ind w:left="20"/>
              <w:spacing w:after="0" w:line="169" w:lineRule="exact"/>
              <w:rPr>
                <w:sz w:val="20"/>
                <w:szCs w:val="20"/>
                <w:color w:val="auto"/>
              </w:rPr>
            </w:pPr>
            <w:r>
              <w:rPr>
                <w:rFonts w:ascii="Arial" w:cs="Arial" w:eastAsia="Arial" w:hAnsi="Arial"/>
                <w:sz w:val="18"/>
                <w:szCs w:val="18"/>
                <w:color w:val="auto"/>
                <w:w w:val="99"/>
              </w:rPr>
              <w:t>(4)</w:t>
            </w:r>
          </w:p>
        </w:tc>
        <w:tc>
          <w:tcPr>
            <w:tcW w:w="6580" w:type="dxa"/>
            <w:vAlign w:val="bottom"/>
            <w:shd w:val="clear" w:color="auto" w:fill="F2F2F2"/>
          </w:tcPr>
          <w:p>
            <w:pPr>
              <w:ind w:left="20"/>
              <w:spacing w:after="0" w:line="169" w:lineRule="exact"/>
              <w:rPr>
                <w:sz w:val="20"/>
                <w:szCs w:val="20"/>
                <w:color w:val="auto"/>
              </w:rPr>
            </w:pPr>
            <w:r>
              <w:rPr>
                <w:rFonts w:ascii="Arial" w:cs="Arial" w:eastAsia="Arial" w:hAnsi="Arial"/>
                <w:sz w:val="18"/>
                <w:szCs w:val="18"/>
                <w:color w:val="auto"/>
              </w:rPr>
              <w:t>To ratify the selection of PricewaterhouseCoopers LLP as the Company’s</w:t>
            </w:r>
          </w:p>
        </w:tc>
        <w:tc>
          <w:tcPr>
            <w:tcW w:w="2420" w:type="dxa"/>
            <w:vAlign w:val="bottom"/>
            <w:vMerge w:val="restart"/>
            <w:shd w:val="clear" w:color="auto" w:fill="F2F2F2"/>
          </w:tcPr>
          <w:p>
            <w:pPr>
              <w:jc w:val="center"/>
              <w:ind w:right="30"/>
              <w:spacing w:after="0"/>
              <w:rPr>
                <w:sz w:val="20"/>
                <w:szCs w:val="20"/>
                <w:color w:val="auto"/>
              </w:rPr>
            </w:pPr>
            <w:r>
              <w:rPr>
                <w:rFonts w:ascii="Arial" w:cs="Arial" w:eastAsia="Arial" w:hAnsi="Arial"/>
                <w:sz w:val="18"/>
                <w:szCs w:val="18"/>
                <w:b w:val="1"/>
                <w:bCs w:val="1"/>
                <w:color w:val="auto"/>
                <w:w w:val="99"/>
              </w:rPr>
              <w:t>FOR</w:t>
            </w:r>
          </w:p>
        </w:tc>
        <w:tc>
          <w:tcPr>
            <w:tcW w:w="1000" w:type="dxa"/>
            <w:vAlign w:val="bottom"/>
            <w:vMerge w:val="restart"/>
            <w:shd w:val="clear" w:color="auto" w:fill="F2F2F2"/>
          </w:tcPr>
          <w:p>
            <w:pPr>
              <w:jc w:val="right"/>
              <w:ind w:right="490"/>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184"/>
        </w:trPr>
        <w:tc>
          <w:tcPr>
            <w:tcW w:w="260" w:type="dxa"/>
            <w:vAlign w:val="bottom"/>
            <w:shd w:val="clear" w:color="auto" w:fill="F2F2F2"/>
          </w:tcPr>
          <w:p>
            <w:pPr>
              <w:spacing w:after="0"/>
              <w:rPr>
                <w:sz w:val="15"/>
                <w:szCs w:val="15"/>
                <w:color w:val="auto"/>
              </w:rPr>
            </w:pPr>
          </w:p>
        </w:tc>
        <w:tc>
          <w:tcPr>
            <w:tcW w:w="6580" w:type="dxa"/>
            <w:vAlign w:val="bottom"/>
            <w:shd w:val="clear" w:color="auto" w:fill="F2F2F2"/>
          </w:tcPr>
          <w:p>
            <w:pPr>
              <w:ind w:left="80"/>
              <w:spacing w:after="0" w:line="183" w:lineRule="exact"/>
              <w:rPr>
                <w:sz w:val="20"/>
                <w:szCs w:val="20"/>
                <w:color w:val="auto"/>
              </w:rPr>
            </w:pPr>
            <w:r>
              <w:rPr>
                <w:rFonts w:ascii="Arial" w:cs="Arial" w:eastAsia="Arial" w:hAnsi="Arial"/>
                <w:sz w:val="18"/>
                <w:szCs w:val="18"/>
                <w:color w:val="auto"/>
              </w:rPr>
              <w:t>independent registered public accounting firm for the fiscal year ending June 30,</w:t>
            </w:r>
          </w:p>
        </w:tc>
        <w:tc>
          <w:tcPr>
            <w:tcW w:w="2420" w:type="dxa"/>
            <w:vAlign w:val="bottom"/>
            <w:vMerge w:val="continue"/>
            <w:shd w:val="clear" w:color="auto" w:fill="F2F2F2"/>
          </w:tcPr>
          <w:p>
            <w:pPr>
              <w:spacing w:after="0"/>
              <w:rPr>
                <w:sz w:val="15"/>
                <w:szCs w:val="15"/>
                <w:color w:val="auto"/>
              </w:rPr>
            </w:pPr>
          </w:p>
        </w:tc>
        <w:tc>
          <w:tcPr>
            <w:tcW w:w="1000" w:type="dxa"/>
            <w:vAlign w:val="bottom"/>
            <w:vMerge w:val="continue"/>
            <w:shd w:val="clear" w:color="auto" w:fill="F2F2F2"/>
          </w:tcPr>
          <w:p>
            <w:pPr>
              <w:spacing w:after="0"/>
              <w:rPr>
                <w:sz w:val="15"/>
                <w:szCs w:val="15"/>
                <w:color w:val="auto"/>
              </w:rPr>
            </w:pPr>
          </w:p>
        </w:tc>
        <w:tc>
          <w:tcPr>
            <w:tcW w:w="0" w:type="dxa"/>
            <w:vAlign w:val="bottom"/>
          </w:tcPr>
          <w:p>
            <w:pPr>
              <w:spacing w:after="0"/>
              <w:rPr>
                <w:sz w:val="1"/>
                <w:szCs w:val="1"/>
                <w:color w:val="auto"/>
              </w:rPr>
            </w:pPr>
          </w:p>
        </w:tc>
      </w:tr>
      <w:tr>
        <w:trPr>
          <w:trHeight w:val="235"/>
        </w:trPr>
        <w:tc>
          <w:tcPr>
            <w:tcW w:w="260" w:type="dxa"/>
            <w:vAlign w:val="bottom"/>
            <w:tcBorders>
              <w:bottom w:val="single" w:sz="8" w:color="DBDBDB"/>
            </w:tcBorders>
            <w:shd w:val="clear" w:color="auto" w:fill="F2F2F2"/>
          </w:tcPr>
          <w:p>
            <w:pPr>
              <w:spacing w:after="0"/>
              <w:rPr>
                <w:sz w:val="20"/>
                <w:szCs w:val="20"/>
                <w:color w:val="auto"/>
              </w:rPr>
            </w:pPr>
          </w:p>
        </w:tc>
        <w:tc>
          <w:tcPr>
            <w:tcW w:w="6580" w:type="dxa"/>
            <w:vAlign w:val="bottom"/>
            <w:tcBorders>
              <w:bottom w:val="single" w:sz="8" w:color="DBDBDB"/>
            </w:tcBorders>
            <w:shd w:val="clear" w:color="auto" w:fill="F2F2F2"/>
          </w:tcPr>
          <w:p>
            <w:pPr>
              <w:ind w:left="80"/>
              <w:spacing w:after="0"/>
              <w:rPr>
                <w:sz w:val="20"/>
                <w:szCs w:val="20"/>
                <w:color w:val="auto"/>
              </w:rPr>
            </w:pPr>
            <w:r>
              <w:rPr>
                <w:rFonts w:ascii="Arial" w:cs="Arial" w:eastAsia="Arial" w:hAnsi="Arial"/>
                <w:sz w:val="18"/>
                <w:szCs w:val="18"/>
                <w:color w:val="auto"/>
              </w:rPr>
              <w:t>2025.</w:t>
            </w:r>
          </w:p>
        </w:tc>
        <w:tc>
          <w:tcPr>
            <w:tcW w:w="2420" w:type="dxa"/>
            <w:vAlign w:val="bottom"/>
            <w:tcBorders>
              <w:bottom w:val="single" w:sz="8" w:color="DBDBDB"/>
            </w:tcBorders>
            <w:shd w:val="clear" w:color="auto" w:fill="F2F2F2"/>
          </w:tcPr>
          <w:p>
            <w:pPr>
              <w:spacing w:after="0"/>
              <w:rPr>
                <w:sz w:val="20"/>
                <w:szCs w:val="20"/>
                <w:color w:val="auto"/>
              </w:rPr>
            </w:pPr>
          </w:p>
        </w:tc>
        <w:tc>
          <w:tcPr>
            <w:tcW w:w="1000" w:type="dxa"/>
            <w:vAlign w:val="bottom"/>
            <w:tcBorders>
              <w:bottom w:val="single" w:sz="8" w:color="DBDBDB"/>
            </w:tcBorders>
            <w:shd w:val="clear" w:color="auto" w:fill="F2F2F2"/>
          </w:tcPr>
          <w:p>
            <w:pPr>
              <w:spacing w:after="0"/>
              <w:rPr>
                <w:sz w:val="20"/>
                <w:szCs w:val="20"/>
                <w:color w:val="auto"/>
              </w:rPr>
            </w:pPr>
          </w:p>
        </w:tc>
        <w:tc>
          <w:tcPr>
            <w:tcW w:w="0" w:type="dxa"/>
            <w:vAlign w:val="bottom"/>
          </w:tcPr>
          <w:p>
            <w:pPr>
              <w:spacing w:after="0"/>
              <w:rPr>
                <w:sz w:val="1"/>
                <w:szCs w:val="1"/>
                <w:color w:val="auto"/>
              </w:rPr>
            </w:pPr>
          </w:p>
        </w:tc>
      </w:tr>
    </w:tbl>
    <w:p>
      <w:pPr>
        <w:spacing w:after="0" w:line="329" w:lineRule="exact"/>
        <w:rPr>
          <w:sz w:val="20"/>
          <w:szCs w:val="20"/>
          <w:color w:val="auto"/>
        </w:rPr>
      </w:pPr>
    </w:p>
    <w:p>
      <w:pPr>
        <w:jc w:val="both"/>
        <w:ind w:right="20"/>
        <w:spacing w:after="0" w:line="286" w:lineRule="auto"/>
        <w:rPr>
          <w:sz w:val="20"/>
          <w:szCs w:val="20"/>
          <w:color w:val="auto"/>
        </w:rPr>
      </w:pPr>
      <w:r>
        <w:rPr>
          <w:rFonts w:ascii="Arial" w:cs="Arial" w:eastAsia="Arial" w:hAnsi="Arial"/>
          <w:sz w:val="20"/>
          <w:szCs w:val="20"/>
          <w:color w:val="auto"/>
        </w:rPr>
        <w:t>In addition, the stockholders will consider and vote upon such other business as may properly come before the Annual Meeting and any adjournments thereof.</w:t>
      </w:r>
    </w:p>
    <w:p>
      <w:pPr>
        <w:spacing w:after="0" w:line="181" w:lineRule="exact"/>
        <w:rPr>
          <w:sz w:val="20"/>
          <w:szCs w:val="20"/>
          <w:color w:val="auto"/>
        </w:rPr>
      </w:pPr>
    </w:p>
    <w:p>
      <w:pPr>
        <w:spacing w:after="0"/>
        <w:rPr>
          <w:sz w:val="20"/>
          <w:szCs w:val="20"/>
          <w:color w:val="auto"/>
        </w:rPr>
      </w:pPr>
      <w:r>
        <w:rPr>
          <w:rFonts w:ascii="Arial" w:cs="Arial" w:eastAsia="Arial" w:hAnsi="Arial"/>
          <w:sz w:val="20"/>
          <w:szCs w:val="20"/>
          <w:u w:val="single" w:color="auto"/>
          <w:color w:val="085CE5"/>
        </w:rPr>
        <w:t>When and Where is the Annual Meeting?</w:t>
      </w:r>
    </w:p>
    <w:p>
      <w:pPr>
        <w:spacing w:after="0" w:line="31" w:lineRule="exact"/>
        <w:rPr>
          <w:sz w:val="20"/>
          <w:szCs w:val="20"/>
          <w:color w:val="auto"/>
        </w:rPr>
      </w:pPr>
    </w:p>
    <w:p>
      <w:pPr>
        <w:jc w:val="both"/>
        <w:spacing w:after="0" w:line="267" w:lineRule="auto"/>
        <w:rPr>
          <w:sz w:val="20"/>
          <w:szCs w:val="20"/>
          <w:color w:val="auto"/>
        </w:rPr>
      </w:pPr>
      <w:r>
        <w:rPr>
          <w:rFonts w:ascii="Arial" w:cs="Arial" w:eastAsia="Arial" w:hAnsi="Arial"/>
          <w:sz w:val="20"/>
          <w:szCs w:val="20"/>
          <w:color w:val="auto"/>
        </w:rPr>
        <w:t>The Annual Meeting will be held at the Company’s Headquarters, 663 Highway 60, Monett, Missouri, on Tuesday, November 12, 2024, 11:00 a.m., Central Time. The Annual Meeting will be in the Company’s Executive Conference Center in the lower level (Building J-7).</w:t>
      </w:r>
    </w:p>
    <w:p>
      <w:pPr>
        <w:spacing w:after="0" w:line="213" w:lineRule="exact"/>
        <w:rPr>
          <w:sz w:val="20"/>
          <w:szCs w:val="20"/>
          <w:color w:val="auto"/>
        </w:rPr>
      </w:pPr>
    </w:p>
    <w:p>
      <w:pPr>
        <w:spacing w:after="0"/>
        <w:rPr>
          <w:sz w:val="20"/>
          <w:szCs w:val="20"/>
          <w:color w:val="auto"/>
        </w:rPr>
      </w:pPr>
      <w:r>
        <w:rPr>
          <w:rFonts w:ascii="Arial" w:cs="Arial" w:eastAsia="Arial" w:hAnsi="Arial"/>
          <w:sz w:val="20"/>
          <w:szCs w:val="20"/>
          <w:u w:val="single" w:color="auto"/>
          <w:color w:val="085CE5"/>
        </w:rPr>
        <w:t>Who can attend and vote at the Annual Meeting?</w:t>
      </w:r>
    </w:p>
    <w:p>
      <w:pPr>
        <w:spacing w:after="0" w:line="31" w:lineRule="exact"/>
        <w:rPr>
          <w:sz w:val="20"/>
          <w:szCs w:val="20"/>
          <w:color w:val="auto"/>
        </w:rPr>
      </w:pPr>
    </w:p>
    <w:p>
      <w:pPr>
        <w:jc w:val="both"/>
        <w:spacing w:after="0" w:line="267" w:lineRule="auto"/>
        <w:rPr>
          <w:sz w:val="20"/>
          <w:szCs w:val="20"/>
          <w:color w:val="auto"/>
        </w:rPr>
      </w:pPr>
      <w:r>
        <w:rPr>
          <w:rFonts w:ascii="Arial" w:cs="Arial" w:eastAsia="Arial" w:hAnsi="Arial"/>
          <w:sz w:val="20"/>
          <w:szCs w:val="20"/>
          <w:color w:val="auto"/>
        </w:rPr>
        <w:t>Only stockholders of record at the close of business on September 16, 2024, the record date set by the Board for the Annual Meeting, are entitled to notice of and to vote at such meeting. A list of these stockholders will be available during the ten days prior to the meeting at the Company’s headquarters at 663 Highway 60, Monett, Missouri.</w:t>
      </w:r>
    </w:p>
    <w:p>
      <w:pPr>
        <w:spacing w:after="0" w:line="200" w:lineRule="exact"/>
        <w:rPr>
          <w:sz w:val="20"/>
          <w:szCs w:val="20"/>
          <w:color w:val="auto"/>
        </w:rPr>
      </w:pPr>
    </w:p>
    <w:p>
      <w:pPr>
        <w:jc w:val="both"/>
        <w:spacing w:after="0" w:line="282" w:lineRule="auto"/>
        <w:rPr>
          <w:sz w:val="20"/>
          <w:szCs w:val="20"/>
          <w:color w:val="auto"/>
        </w:rPr>
      </w:pPr>
      <w:r>
        <w:rPr>
          <w:rFonts w:ascii="Arial" w:cs="Arial" w:eastAsia="Arial" w:hAnsi="Arial"/>
          <w:sz w:val="19"/>
          <w:szCs w:val="19"/>
          <w:color w:val="auto"/>
        </w:rPr>
        <w:t>The Company’s authorized capital stock currently consists of 250,000,000 shares of common stock, par value $.01 per share, and 500,000 shares of preferred stock, par value $1.00 per share. As of September 16, 2024, there were 72,917,394 shares of common stock outstanding and no shares of preferred stock outstanding. At such date, our executive officers and directors were entitled to vote, or to direct the voting of, shares of Common Stock representing less than 1% of the shares entitled to vote at the Annual Meeting. Each share of our common stock outstanding on the record date will be entitled to one vote on each matter.</w:t>
      </w:r>
    </w:p>
    <w:p>
      <w:pPr>
        <w:spacing w:after="0" w:line="201" w:lineRule="exact"/>
        <w:rPr>
          <w:sz w:val="20"/>
          <w:szCs w:val="20"/>
          <w:color w:val="auto"/>
        </w:rPr>
      </w:pPr>
    </w:p>
    <w:p>
      <w:pPr>
        <w:spacing w:after="0"/>
        <w:rPr>
          <w:sz w:val="20"/>
          <w:szCs w:val="20"/>
          <w:color w:val="auto"/>
        </w:rPr>
      </w:pPr>
      <w:r>
        <w:rPr>
          <w:rFonts w:ascii="Arial" w:cs="Arial" w:eastAsia="Arial" w:hAnsi="Arial"/>
          <w:sz w:val="20"/>
          <w:szCs w:val="20"/>
          <w:u w:val="single" w:color="auto"/>
          <w:color w:val="085CE5"/>
        </w:rPr>
        <w:t>How will the Annual Meeting be conducted?</w:t>
      </w:r>
    </w:p>
    <w:p>
      <w:pPr>
        <w:spacing w:after="0" w:line="31"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Stockholders and guests may attend the Annual Meeting in person. The Company will hold a question and answer session with management immediately following the conclusion of the business to be conducted at the Annual Meeting. To help ensure that the Annual Meeting is productive and efficient, and in fairness to all stockholders in attendance, the Company requests that meeting participants limit participation to one question or comment and that remarks are respectful of fellow stockholders and meeting participants. Questions may be ruled as out of order if they are, among other things: irrelevant to our business; related to legal matters, ongoing negotiations or potential transactions, or other matters upon which the Company does not comment on; disorderly; repetitious of statements already made; or in furtherance of the speaker’s own personal, political, or business interests. The Company reserves the right to eject participants or cut off speaking privileges for failure to comply with reasonable requests or the rules of conduct for the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335915</wp:posOffset>
            </wp:positionV>
            <wp:extent cx="7132320" cy="35115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132320" cy="3511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20"/>
        <w:spacing w:after="0"/>
        <w:tabs>
          <w:tab w:leader="none" w:pos="440" w:val="left"/>
        </w:tabs>
        <w:rPr>
          <w:sz w:val="20"/>
          <w:szCs w:val="20"/>
          <w:color w:val="auto"/>
        </w:rPr>
      </w:pPr>
      <w:r>
        <w:rPr>
          <w:rFonts w:ascii="Arial" w:cs="Arial" w:eastAsia="Arial" w:hAnsi="Arial"/>
          <w:sz w:val="18"/>
          <w:szCs w:val="18"/>
          <w:color w:val="auto"/>
        </w:rPr>
        <w:t>76</w:t>
        <w:tab/>
        <w:t>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262255</wp:posOffset>
            </wp:positionV>
            <wp:extent cx="7157720" cy="4254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5" w:right="339" w:bottom="1440" w:gutter="0" w:footer="0" w:header="0"/>
        </w:sectPr>
      </w:pPr>
    </w:p>
    <w:bookmarkStart w:id="79" w:name="page80"/>
    <w:bookmarkEnd w:id="79"/>
    <w:p>
      <w:pPr>
        <w:spacing w:after="0"/>
        <w:rPr>
          <w:sz w:val="20"/>
          <w:szCs w:val="20"/>
          <w:color w:val="auto"/>
        </w:rPr>
      </w:pPr>
      <w:r>
        <w:rPr>
          <w:rFonts w:ascii="Arial" w:cs="Arial" w:eastAsia="Arial" w:hAnsi="Arial"/>
          <w:sz w:val="20"/>
          <w:szCs w:val="20"/>
          <w:u w:val="single" w:color="auto"/>
          <w:color w:val="085CE5"/>
        </w:rPr>
        <w:t>How can I vote?</w:t>
      </w:r>
    </w:p>
    <w:p>
      <w:pPr>
        <w:spacing w:after="0" w:line="31" w:lineRule="exact"/>
        <w:rPr>
          <w:sz w:val="20"/>
          <w:szCs w:val="20"/>
          <w:color w:val="auto"/>
        </w:rPr>
      </w:pPr>
    </w:p>
    <w:p>
      <w:pPr>
        <w:spacing w:after="0"/>
        <w:rPr>
          <w:sz w:val="20"/>
          <w:szCs w:val="20"/>
          <w:color w:val="auto"/>
        </w:rPr>
      </w:pPr>
      <w:r>
        <w:rPr>
          <w:rFonts w:ascii="Arial" w:cs="Arial" w:eastAsia="Arial" w:hAnsi="Arial"/>
          <w:sz w:val="20"/>
          <w:szCs w:val="20"/>
          <w:color w:val="auto"/>
        </w:rPr>
        <w:t>Stockholders may submit their votes in the following ways:</w:t>
      </w:r>
    </w:p>
    <w:p>
      <w:pPr>
        <w:spacing w:after="0" w:line="22" w:lineRule="exact"/>
        <w:rPr>
          <w:sz w:val="20"/>
          <w:szCs w:val="20"/>
          <w:color w:val="auto"/>
        </w:rPr>
      </w:pPr>
    </w:p>
    <w:p>
      <w:pPr>
        <w:ind w:left="1380" w:hanging="724"/>
        <w:spacing w:after="0"/>
        <w:tabs>
          <w:tab w:leader="none" w:pos="1380" w:val="left"/>
        </w:tabs>
        <w:numPr>
          <w:ilvl w:val="0"/>
          <w:numId w:val="37"/>
        </w:numPr>
        <w:rPr>
          <w:rFonts w:ascii="Arial" w:cs="Arial" w:eastAsia="Arial" w:hAnsi="Arial"/>
          <w:sz w:val="22"/>
          <w:szCs w:val="22"/>
          <w:color w:val="auto"/>
        </w:rPr>
      </w:pPr>
      <w:r>
        <w:rPr>
          <w:rFonts w:ascii="Arial" w:cs="Arial" w:eastAsia="Arial" w:hAnsi="Arial"/>
          <w:sz w:val="20"/>
          <w:szCs w:val="20"/>
          <w:i w:val="1"/>
          <w:iCs w:val="1"/>
          <w:color w:val="auto"/>
        </w:rPr>
        <w:t>At the Annual Meeting</w:t>
      </w:r>
      <w:r>
        <w:rPr>
          <w:rFonts w:ascii="Arial" w:cs="Arial" w:eastAsia="Arial" w:hAnsi="Arial"/>
          <w:sz w:val="20"/>
          <w:szCs w:val="20"/>
          <w:color w:val="auto"/>
        </w:rPr>
        <w:t>. Stockholders of record may vote in person at the Annual Meeting; or</w:t>
      </w:r>
    </w:p>
    <w:p>
      <w:pPr>
        <w:spacing w:after="0" w:line="12" w:lineRule="exact"/>
        <w:rPr>
          <w:rFonts w:ascii="Arial" w:cs="Arial" w:eastAsia="Arial" w:hAnsi="Arial"/>
          <w:sz w:val="22"/>
          <w:szCs w:val="22"/>
          <w:color w:val="auto"/>
        </w:rPr>
      </w:pPr>
    </w:p>
    <w:p>
      <w:pPr>
        <w:ind w:left="1320" w:hanging="664"/>
        <w:spacing w:after="0"/>
        <w:tabs>
          <w:tab w:leader="none" w:pos="1320" w:val="left"/>
        </w:tabs>
        <w:numPr>
          <w:ilvl w:val="0"/>
          <w:numId w:val="37"/>
        </w:numPr>
        <w:rPr>
          <w:rFonts w:ascii="Arial" w:cs="Arial" w:eastAsia="Arial" w:hAnsi="Arial"/>
          <w:sz w:val="20"/>
          <w:szCs w:val="20"/>
          <w:color w:val="auto"/>
        </w:rPr>
      </w:pPr>
      <w:r>
        <w:rPr>
          <w:rFonts w:ascii="Arial" w:cs="Arial" w:eastAsia="Arial" w:hAnsi="Arial"/>
          <w:sz w:val="20"/>
          <w:szCs w:val="20"/>
          <w:i w:val="1"/>
          <w:iCs w:val="1"/>
          <w:color w:val="auto"/>
        </w:rPr>
        <w:t>By Proxy</w:t>
      </w:r>
      <w:r>
        <w:rPr>
          <w:rFonts w:ascii="Arial" w:cs="Arial" w:eastAsia="Arial" w:hAnsi="Arial"/>
          <w:sz w:val="20"/>
          <w:szCs w:val="20"/>
          <w:color w:val="auto"/>
        </w:rPr>
        <w:t>. There are three ways to vote by proxy:</w:t>
      </w:r>
    </w:p>
    <w:p>
      <w:pPr>
        <w:spacing w:after="0" w:line="22" w:lineRule="exact"/>
        <w:rPr>
          <w:rFonts w:ascii="Arial" w:cs="Arial" w:eastAsia="Arial" w:hAnsi="Arial"/>
          <w:sz w:val="20"/>
          <w:szCs w:val="20"/>
          <w:color w:val="auto"/>
        </w:rPr>
      </w:pPr>
    </w:p>
    <w:p>
      <w:pPr>
        <w:ind w:left="1940" w:hanging="312"/>
        <w:spacing w:after="0"/>
        <w:tabs>
          <w:tab w:leader="none" w:pos="1940" w:val="left"/>
        </w:tabs>
        <w:numPr>
          <w:ilvl w:val="1"/>
          <w:numId w:val="37"/>
        </w:numPr>
        <w:rPr>
          <w:rFonts w:ascii="Arial" w:cs="Arial" w:eastAsia="Arial" w:hAnsi="Arial"/>
          <w:sz w:val="22"/>
          <w:szCs w:val="22"/>
          <w:color w:val="auto"/>
        </w:rPr>
      </w:pPr>
      <w:r>
        <w:rPr>
          <w:rFonts w:ascii="Arial" w:cs="Arial" w:eastAsia="Arial" w:hAnsi="Arial"/>
          <w:sz w:val="20"/>
          <w:szCs w:val="20"/>
          <w:color w:val="auto"/>
        </w:rPr>
        <w:t>by internet, following the instructions on the enclosed Proxy Card;</w:t>
      </w:r>
    </w:p>
    <w:p>
      <w:pPr>
        <w:spacing w:after="0" w:line="12" w:lineRule="exact"/>
        <w:rPr>
          <w:rFonts w:ascii="Arial" w:cs="Arial" w:eastAsia="Arial" w:hAnsi="Arial"/>
          <w:sz w:val="22"/>
          <w:szCs w:val="22"/>
          <w:color w:val="auto"/>
        </w:rPr>
      </w:pPr>
    </w:p>
    <w:p>
      <w:pPr>
        <w:ind w:left="1940" w:hanging="312"/>
        <w:spacing w:after="0"/>
        <w:tabs>
          <w:tab w:leader="none" w:pos="1940" w:val="left"/>
        </w:tabs>
        <w:numPr>
          <w:ilvl w:val="1"/>
          <w:numId w:val="37"/>
        </w:numPr>
        <w:rPr>
          <w:rFonts w:ascii="Arial" w:cs="Arial" w:eastAsia="Arial" w:hAnsi="Arial"/>
          <w:sz w:val="22"/>
          <w:szCs w:val="22"/>
          <w:color w:val="auto"/>
        </w:rPr>
      </w:pPr>
      <w:r>
        <w:rPr>
          <w:rFonts w:ascii="Arial" w:cs="Arial" w:eastAsia="Arial" w:hAnsi="Arial"/>
          <w:sz w:val="20"/>
          <w:szCs w:val="20"/>
          <w:color w:val="auto"/>
        </w:rPr>
        <w:t>by mail, using the enclosed Proxy Card and return envelope; or</w:t>
      </w:r>
    </w:p>
    <w:p>
      <w:pPr>
        <w:spacing w:after="0" w:line="17" w:lineRule="exact"/>
        <w:rPr>
          <w:rFonts w:ascii="Arial" w:cs="Arial" w:eastAsia="Arial" w:hAnsi="Arial"/>
          <w:sz w:val="22"/>
          <w:szCs w:val="22"/>
          <w:color w:val="auto"/>
        </w:rPr>
      </w:pPr>
    </w:p>
    <w:p>
      <w:pPr>
        <w:ind w:left="1940" w:hanging="312"/>
        <w:spacing w:after="0"/>
        <w:tabs>
          <w:tab w:leader="none" w:pos="1940" w:val="left"/>
        </w:tabs>
        <w:numPr>
          <w:ilvl w:val="1"/>
          <w:numId w:val="37"/>
        </w:numPr>
        <w:rPr>
          <w:rFonts w:ascii="Arial" w:cs="Arial" w:eastAsia="Arial" w:hAnsi="Arial"/>
          <w:sz w:val="22"/>
          <w:szCs w:val="22"/>
          <w:color w:val="auto"/>
        </w:rPr>
      </w:pPr>
      <w:r>
        <w:rPr>
          <w:rFonts w:ascii="Arial" w:cs="Arial" w:eastAsia="Arial" w:hAnsi="Arial"/>
          <w:sz w:val="20"/>
          <w:szCs w:val="20"/>
          <w:color w:val="auto"/>
        </w:rPr>
        <w:t>by telephone, using the telephone number and instructions on the enclosed Proxy Card.</w:t>
      </w:r>
    </w:p>
    <w:p>
      <w:pPr>
        <w:spacing w:after="0" w:line="247" w:lineRule="exact"/>
        <w:rPr>
          <w:sz w:val="20"/>
          <w:szCs w:val="20"/>
          <w:color w:val="auto"/>
        </w:rPr>
      </w:pPr>
    </w:p>
    <w:p>
      <w:pPr>
        <w:jc w:val="both"/>
        <w:spacing w:after="0" w:line="286" w:lineRule="auto"/>
        <w:rPr>
          <w:sz w:val="20"/>
          <w:szCs w:val="20"/>
          <w:color w:val="auto"/>
        </w:rPr>
      </w:pPr>
      <w:r>
        <w:rPr>
          <w:rFonts w:ascii="Arial" w:cs="Arial" w:eastAsia="Arial" w:hAnsi="Arial"/>
          <w:sz w:val="20"/>
          <w:szCs w:val="20"/>
          <w:color w:val="auto"/>
        </w:rPr>
        <w:t>Even if a stockholder expects to attend the Annual Meeting, it is advisable to vote by proxy to ensure such stockholder’s vote is represented.</w:t>
      </w:r>
    </w:p>
    <w:p>
      <w:pPr>
        <w:spacing w:after="0" w:line="194" w:lineRule="exact"/>
        <w:rPr>
          <w:sz w:val="20"/>
          <w:szCs w:val="20"/>
          <w:color w:val="auto"/>
        </w:rPr>
      </w:pPr>
    </w:p>
    <w:p>
      <w:pPr>
        <w:spacing w:after="0"/>
        <w:rPr>
          <w:sz w:val="20"/>
          <w:szCs w:val="20"/>
          <w:color w:val="auto"/>
        </w:rPr>
      </w:pPr>
      <w:r>
        <w:rPr>
          <w:rFonts w:ascii="Arial" w:cs="Arial" w:eastAsia="Arial" w:hAnsi="Arial"/>
          <w:sz w:val="20"/>
          <w:szCs w:val="20"/>
          <w:u w:val="single" w:color="auto"/>
          <w:color w:val="085CE5"/>
        </w:rPr>
        <w:t>What is the voting requirement to approve the proposals?</w:t>
      </w:r>
    </w:p>
    <w:p>
      <w:pPr>
        <w:spacing w:after="0" w:line="31" w:lineRule="exact"/>
        <w:rPr>
          <w:sz w:val="20"/>
          <w:szCs w:val="20"/>
          <w:color w:val="auto"/>
        </w:rPr>
      </w:pPr>
    </w:p>
    <w:p>
      <w:pPr>
        <w:jc w:val="both"/>
        <w:spacing w:after="0" w:line="277" w:lineRule="auto"/>
        <w:rPr>
          <w:sz w:val="20"/>
          <w:szCs w:val="20"/>
          <w:color w:val="auto"/>
        </w:rPr>
      </w:pPr>
      <w:r>
        <w:rPr>
          <w:rFonts w:ascii="Arial" w:cs="Arial" w:eastAsia="Arial" w:hAnsi="Arial"/>
          <w:sz w:val="19"/>
          <w:szCs w:val="19"/>
          <w:color w:val="auto"/>
        </w:rPr>
        <w:t>In an uncontested election, a director nominee must be elected by a majority of the votes cast, in person or by proxy, regarding the election of that director nominee. A “majority of the votes cast” for the purposes of director elections means that the number of votes cast “For” a director nominee’s election exceeds the number of votes cast as “Withhold” for that director nominee. If an incumbent director is not re-elected in an uncontested election and no successor is elected at the same meeting, the Company’s Corporate Governance Guidelines require that such director must offer to tender his or her resignation to the Board.</w:t>
      </w:r>
    </w:p>
    <w:p>
      <w:pPr>
        <w:spacing w:after="0" w:line="206" w:lineRule="exact"/>
        <w:rPr>
          <w:sz w:val="20"/>
          <w:szCs w:val="20"/>
          <w:color w:val="auto"/>
        </w:rPr>
      </w:pPr>
    </w:p>
    <w:p>
      <w:pPr>
        <w:jc w:val="both"/>
        <w:spacing w:after="0" w:line="269" w:lineRule="auto"/>
        <w:rPr>
          <w:sz w:val="20"/>
          <w:szCs w:val="20"/>
          <w:color w:val="auto"/>
        </w:rPr>
      </w:pPr>
      <w:r>
        <w:rPr>
          <w:rFonts w:ascii="Arial" w:cs="Arial" w:eastAsia="Arial" w:hAnsi="Arial"/>
          <w:sz w:val="20"/>
          <w:szCs w:val="20"/>
          <w:color w:val="auto"/>
        </w:rPr>
        <w:t>In a contested election, which occurs when the number of director nominees exceeds the number of open seats on the Board, director nominees will be elected by a plurality of the shares represented in person or by proxy at the meeting. A “plurality” means that the open seats on the Board will be filled by those director nominees who received the most affirmative votes, regardless of whether those director nominees received a majority of the votes cast with respect to their election.</w:t>
      </w:r>
    </w:p>
    <w:p>
      <w:pPr>
        <w:spacing w:after="0" w:line="197" w:lineRule="exact"/>
        <w:rPr>
          <w:sz w:val="20"/>
          <w:szCs w:val="20"/>
          <w:color w:val="auto"/>
        </w:rPr>
      </w:pPr>
    </w:p>
    <w:p>
      <w:pPr>
        <w:jc w:val="both"/>
        <w:spacing w:after="0" w:line="276" w:lineRule="auto"/>
        <w:rPr>
          <w:sz w:val="20"/>
          <w:szCs w:val="20"/>
          <w:color w:val="auto"/>
        </w:rPr>
      </w:pPr>
      <w:r>
        <w:rPr>
          <w:rFonts w:ascii="Arial" w:cs="Arial" w:eastAsia="Arial" w:hAnsi="Arial"/>
          <w:sz w:val="20"/>
          <w:szCs w:val="20"/>
          <w:color w:val="auto"/>
        </w:rPr>
        <w:t>At the Annual Meeting, the election of directors is considered to be uncontested because we have not been notified of any other nominees as required by our Bylaws. To be elected, each director nominee must receive a majority of votes cast regarding that nominee.</w:t>
      </w:r>
    </w:p>
    <w:p>
      <w:pPr>
        <w:spacing w:after="0" w:line="192" w:lineRule="exact"/>
        <w:rPr>
          <w:sz w:val="20"/>
          <w:szCs w:val="20"/>
          <w:color w:val="auto"/>
        </w:rPr>
      </w:pPr>
    </w:p>
    <w:p>
      <w:pPr>
        <w:spacing w:after="0"/>
        <w:rPr>
          <w:sz w:val="20"/>
          <w:szCs w:val="20"/>
          <w:color w:val="auto"/>
        </w:rPr>
      </w:pPr>
      <w:r>
        <w:rPr>
          <w:rFonts w:ascii="Arial" w:cs="Arial" w:eastAsia="Arial" w:hAnsi="Arial"/>
          <w:sz w:val="20"/>
          <w:szCs w:val="20"/>
          <w:color w:val="auto"/>
        </w:rPr>
        <w:t>The approval of Proposal 3 requires the approval of at least two-thirds of the outstanding shares of Common Stock.</w:t>
      </w:r>
    </w:p>
    <w:p>
      <w:pPr>
        <w:spacing w:after="0" w:line="256" w:lineRule="exact"/>
        <w:rPr>
          <w:sz w:val="20"/>
          <w:szCs w:val="20"/>
          <w:color w:val="auto"/>
        </w:rPr>
      </w:pPr>
    </w:p>
    <w:p>
      <w:pPr>
        <w:jc w:val="both"/>
        <w:ind w:right="20"/>
        <w:spacing w:after="0" w:line="300" w:lineRule="auto"/>
        <w:rPr>
          <w:sz w:val="20"/>
          <w:szCs w:val="20"/>
          <w:color w:val="auto"/>
        </w:rPr>
      </w:pPr>
      <w:r>
        <w:rPr>
          <w:rFonts w:ascii="Arial" w:cs="Arial" w:eastAsia="Arial" w:hAnsi="Arial"/>
          <w:sz w:val="20"/>
          <w:szCs w:val="20"/>
          <w:color w:val="auto"/>
        </w:rPr>
        <w:t>The approval of all other matters to be voted on at the Annual Meeting will require the affirmative vote of a majority of the shares of common stock present at the Annual Meeting in person or by proxy and entitled to vote.</w:t>
      </w:r>
    </w:p>
    <w:p>
      <w:pPr>
        <w:spacing w:after="0" w:line="168" w:lineRule="exact"/>
        <w:rPr>
          <w:sz w:val="20"/>
          <w:szCs w:val="20"/>
          <w:color w:val="auto"/>
        </w:rPr>
      </w:pPr>
    </w:p>
    <w:p>
      <w:pPr>
        <w:jc w:val="both"/>
        <w:spacing w:after="0" w:line="262" w:lineRule="auto"/>
        <w:rPr>
          <w:sz w:val="20"/>
          <w:szCs w:val="20"/>
          <w:color w:val="auto"/>
        </w:rPr>
      </w:pPr>
      <w:r>
        <w:rPr>
          <w:rFonts w:ascii="Arial" w:cs="Arial" w:eastAsia="Arial" w:hAnsi="Arial"/>
          <w:sz w:val="20"/>
          <w:szCs w:val="20"/>
          <w:color w:val="auto"/>
        </w:rPr>
        <w:t>Abstentions and broker non-votes will have no effect on the election of directors. For the purpose of determining whether the stockholders have approved other matters, abstentions are treated as shares present or represented and voting, so abstaining has the same effect as a negative vote. Shares held by brokers that do not have discretionary authority to vote on a particular matter and that have not received voting instructions from their clients are not counted or deemed to be present or represented for the purpose of determining whether stockholders have approved that matter, but they are counted as present for the purpose of determining the existence of a quorum at the Annual Meeting. Please note that banks and brokers that have not received voting instructions from their clients cannot vote on their clients’ behalf on “non-routine” proposals. The election of directors (Proposal 1), the advisory votes on the compensation of our named executive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33020</wp:posOffset>
            </wp:positionV>
            <wp:extent cx="7132320" cy="35115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132320" cy="351155"/>
                    </a:xfrm>
                    <a:prstGeom prst="rect">
                      <a:avLst/>
                    </a:prstGeom>
                    <a:noFill/>
                  </pic:spPr>
                </pic:pic>
              </a:graphicData>
            </a:graphic>
          </wp:anchor>
        </w:drawing>
      </w:r>
    </w:p>
    <w:p>
      <w:pPr>
        <w:spacing w:after="0" w:line="242" w:lineRule="exact"/>
        <w:rPr>
          <w:sz w:val="20"/>
          <w:szCs w:val="20"/>
          <w:color w:val="auto"/>
        </w:rPr>
      </w:pPr>
    </w:p>
    <w:p>
      <w:pPr>
        <w:ind w:left="9000"/>
        <w:spacing w:after="0"/>
        <w:tabs>
          <w:tab w:leader="none" w:pos="11000" w:val="left"/>
        </w:tabs>
        <w:rPr>
          <w:sz w:val="20"/>
          <w:szCs w:val="20"/>
          <w:color w:val="auto"/>
        </w:rPr>
      </w:pPr>
      <w:r>
        <w:rPr>
          <w:rFonts w:ascii="Arial" w:cs="Arial" w:eastAsia="Arial" w:hAnsi="Arial"/>
          <w:sz w:val="18"/>
          <w:szCs w:val="18"/>
          <w:color w:val="auto"/>
        </w:rPr>
        <w:t>2024 Proxy Statement</w:t>
      </w:r>
      <w:r>
        <w:rPr>
          <w:sz w:val="20"/>
          <w:szCs w:val="20"/>
          <w:color w:val="auto"/>
        </w:rPr>
        <w:tab/>
      </w:r>
      <w:r>
        <w:rPr>
          <w:rFonts w:ascii="Arial" w:cs="Arial" w:eastAsia="Arial" w:hAnsi="Arial"/>
          <w:sz w:val="17"/>
          <w:szCs w:val="17"/>
          <w:color w:val="1E3767"/>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262255</wp:posOffset>
            </wp:positionV>
            <wp:extent cx="7157720" cy="4254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01" w:right="339" w:bottom="1440" w:gutter="0" w:footer="0" w:header="0"/>
        </w:sectPr>
      </w:pPr>
    </w:p>
    <w:bookmarkStart w:id="80" w:name="page81"/>
    <w:bookmarkEnd w:id="80"/>
    <w:p>
      <w:pPr>
        <w:jc w:val="both"/>
        <w:spacing w:after="0" w:line="286" w:lineRule="auto"/>
        <w:rPr>
          <w:sz w:val="20"/>
          <w:szCs w:val="20"/>
          <w:color w:val="auto"/>
        </w:rPr>
      </w:pPr>
      <w:r>
        <w:rPr>
          <w:rFonts w:ascii="Arial" w:cs="Arial" w:eastAsia="Arial" w:hAnsi="Arial"/>
          <w:sz w:val="20"/>
          <w:szCs w:val="20"/>
          <w:color w:val="auto"/>
        </w:rPr>
        <w:t>officers (Proposal 2), and the amendment to our Certificate of Incorporation (Proposal 3) are considered to be “non-routine” proposals.</w:t>
      </w:r>
    </w:p>
    <w:p>
      <w:pPr>
        <w:spacing w:after="0" w:line="194" w:lineRule="exact"/>
        <w:rPr>
          <w:sz w:val="20"/>
          <w:szCs w:val="20"/>
          <w:color w:val="auto"/>
        </w:rPr>
      </w:pPr>
    </w:p>
    <w:p>
      <w:pPr>
        <w:spacing w:after="0"/>
        <w:rPr>
          <w:sz w:val="20"/>
          <w:szCs w:val="20"/>
          <w:color w:val="auto"/>
        </w:rPr>
      </w:pPr>
      <w:r>
        <w:rPr>
          <w:rFonts w:ascii="Arial" w:cs="Arial" w:eastAsia="Arial" w:hAnsi="Arial"/>
          <w:sz w:val="20"/>
          <w:szCs w:val="20"/>
          <w:u w:val="single" w:color="auto"/>
          <w:color w:val="085CE5"/>
        </w:rPr>
        <w:t>How are Proxy Materials being distributed?</w:t>
      </w:r>
    </w:p>
    <w:p>
      <w:pPr>
        <w:spacing w:after="0" w:line="31"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We are furnishing proxy materials to our stockholders primarily via “Notice and Access” delivery. On or about October 4, 2024, we mailed to our stockholders (other than those who previously requested email or paper delivery) a Notice of Internet Availability containing instructions on how to access the proxy materials via the Internet. If you receive the Notice of Internet Availability by mail, you will not receive a printed copy of the proxy materials in the mail. Instead, the Notice of Internet Availability instructs you on how to access the proxy materials and vote by going to a secure website.</w:t>
      </w:r>
    </w:p>
    <w:p>
      <w:pPr>
        <w:spacing w:after="0" w:line="221" w:lineRule="exact"/>
        <w:rPr>
          <w:sz w:val="20"/>
          <w:szCs w:val="20"/>
          <w:color w:val="auto"/>
        </w:rPr>
      </w:pPr>
    </w:p>
    <w:p>
      <w:pPr>
        <w:jc w:val="both"/>
        <w:spacing w:after="0" w:line="269" w:lineRule="auto"/>
        <w:rPr>
          <w:sz w:val="20"/>
          <w:szCs w:val="20"/>
          <w:color w:val="auto"/>
        </w:rPr>
      </w:pPr>
      <w:r>
        <w:rPr>
          <w:rFonts w:ascii="Arial" w:cs="Arial" w:eastAsia="Arial" w:hAnsi="Arial"/>
          <w:sz w:val="20"/>
          <w:szCs w:val="20"/>
          <w:color w:val="auto"/>
        </w:rPr>
        <w:t>If you received the Notice of Internet Availability by mail and would like to receive paper copies of the proxy materials in the mail on a one-time or ongoing basis, follow the instructions in the Notice of Internet Availability for making this request. If you would like to receive an electronic copy of the proxy materials by email on a one-time or ongoing basis, follow the instructions in the Notice of Internet Availability for making this request.</w:t>
      </w:r>
    </w:p>
    <w:p>
      <w:pPr>
        <w:spacing w:after="0" w:line="197" w:lineRule="exact"/>
        <w:rPr>
          <w:sz w:val="20"/>
          <w:szCs w:val="20"/>
          <w:color w:val="auto"/>
        </w:rPr>
      </w:pPr>
    </w:p>
    <w:p>
      <w:pPr>
        <w:spacing w:after="0"/>
        <w:rPr>
          <w:sz w:val="20"/>
          <w:szCs w:val="20"/>
          <w:color w:val="auto"/>
        </w:rPr>
      </w:pPr>
      <w:r>
        <w:rPr>
          <w:rFonts w:ascii="Arial" w:cs="Arial" w:eastAsia="Arial" w:hAnsi="Arial"/>
          <w:sz w:val="20"/>
          <w:szCs w:val="20"/>
          <w:u w:val="single" w:color="auto"/>
          <w:color w:val="085CE5"/>
        </w:rPr>
        <w:t>What if I share a household with another Company Stockholder?</w:t>
      </w:r>
    </w:p>
    <w:p>
      <w:pPr>
        <w:spacing w:after="0" w:line="31"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If you and other residents at your mailing address own shares in street name, your broker, bank, or other nominee may have sent you a notice that your household will receive only one annual report and proxy statement for each company in which you hold shares through that broker, bank, or nominee. This practice is called “householding.” If you did not respond that you did not want to participate in householding, you are deemed to have consented to that process. If these procedures apply to you, your broker, bank, or other nominee will have sent one copy of our 2024 Annual Report to Stockholders and Proxy Statement to your address. You may revoke your consent to householding at any time by contacting your broker, bank, or other nominee. If you did not receive an individual copy of our 2024 Annual Report to Stockholders and Proxy Statement, we will send copies to you if you contact us at 663 Highway 60, Post Office Box 807, Monett, Missouri, 65708, (417) 235-6652, Attention: Investor Relations. If you and other residents at your address have been receiving multiple copies of our 2024 Annual Report to Stockholders and Proxy Statement and desire to receive only a single copy of these materials, you may contact your broker, bank, or other nominee or contact us at the above address or telephone number.</w:t>
      </w:r>
    </w:p>
    <w:p>
      <w:pPr>
        <w:spacing w:after="0" w:line="211" w:lineRule="exact"/>
        <w:rPr>
          <w:sz w:val="20"/>
          <w:szCs w:val="20"/>
          <w:color w:val="auto"/>
        </w:rPr>
      </w:pPr>
    </w:p>
    <w:p>
      <w:pPr>
        <w:spacing w:after="0"/>
        <w:rPr>
          <w:sz w:val="20"/>
          <w:szCs w:val="20"/>
          <w:color w:val="auto"/>
        </w:rPr>
      </w:pPr>
      <w:r>
        <w:rPr>
          <w:rFonts w:ascii="Arial" w:cs="Arial" w:eastAsia="Arial" w:hAnsi="Arial"/>
          <w:sz w:val="20"/>
          <w:szCs w:val="20"/>
          <w:u w:val="single" w:color="auto"/>
          <w:color w:val="085CE5"/>
        </w:rPr>
        <w:t>Who will pay for this solicitation?</w:t>
      </w:r>
    </w:p>
    <w:p>
      <w:pPr>
        <w:spacing w:after="0" w:line="31"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Proxy solicitation is being made by mail, although it may also be made by telephone or in person by officers, directors, and employees of the Company not specifically engaged or compensated for that purpose. The Company will bear the entire cost of the Annual Meeting, including the cost of preparing, assembling, printing, and mailing this Proxy Statement, the Proxy Card, Notice of Internet Availability, and any additional materials furnished to stockholders. Copies of the solicitation materials will be furnished to brokerage houses, fiduciaries, and custodians for forwarding to the beneficial owners of shares held of record by them and, upon their request, such persons will be reimbursed for their reasonable expenses incurred in completing the mailing to such beneficial owners.</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u w:val="single" w:color="auto"/>
          <w:color w:val="085CE5"/>
        </w:rPr>
        <w:t>What happens if I vote by proxy and do not give specific voting instructions?</w:t>
      </w:r>
    </w:p>
    <w:p>
      <w:pPr>
        <w:spacing w:after="0" w:line="31"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If a stockholder does not specify how a proxy is to be voted, the shares represented thereby will be voted: (1) FOR the election as directors of the nine persons nominated by the Board; (2) FOR approval of the compensation of our named executive officers; (3) FOR approval of the amendment to our certificate of incorporation to reduce stockholder voting thresholds (4) FOR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33655</wp:posOffset>
            </wp:positionV>
            <wp:extent cx="7132320" cy="35115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132320" cy="351155"/>
                    </a:xfrm>
                    <a:prstGeom prst="rect">
                      <a:avLst/>
                    </a:prstGeom>
                    <a:noFill/>
                  </pic:spPr>
                </pic:pic>
              </a:graphicData>
            </a:graphic>
          </wp:anchor>
        </w:drawing>
      </w:r>
    </w:p>
    <w:p>
      <w:pPr>
        <w:spacing w:after="0" w:line="243" w:lineRule="exact"/>
        <w:rPr>
          <w:sz w:val="20"/>
          <w:szCs w:val="20"/>
          <w:color w:val="auto"/>
        </w:rPr>
      </w:pPr>
    </w:p>
    <w:p>
      <w:pPr>
        <w:ind w:left="20"/>
        <w:spacing w:after="0"/>
        <w:tabs>
          <w:tab w:leader="none" w:pos="440" w:val="left"/>
        </w:tabs>
        <w:rPr>
          <w:sz w:val="20"/>
          <w:szCs w:val="20"/>
          <w:color w:val="auto"/>
        </w:rPr>
      </w:pPr>
      <w:r>
        <w:rPr>
          <w:rFonts w:ascii="Arial" w:cs="Arial" w:eastAsia="Arial" w:hAnsi="Arial"/>
          <w:sz w:val="18"/>
          <w:szCs w:val="18"/>
          <w:color w:val="auto"/>
        </w:rPr>
        <w:t>78</w:t>
        <w:tab/>
        <w:t>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262255</wp:posOffset>
            </wp:positionV>
            <wp:extent cx="7157720" cy="4254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01" w:right="339" w:bottom="1440" w:gutter="0" w:footer="0" w:header="0"/>
        </w:sectPr>
      </w:pPr>
    </w:p>
    <w:bookmarkStart w:id="81" w:name="page82"/>
    <w:bookmarkEnd w:id="81"/>
    <w:p>
      <w:pPr>
        <w:jc w:val="both"/>
        <w:ind w:right="20"/>
        <w:spacing w:after="0" w:line="286" w:lineRule="auto"/>
        <w:rPr>
          <w:sz w:val="20"/>
          <w:szCs w:val="20"/>
          <w:color w:val="auto"/>
        </w:rPr>
      </w:pPr>
      <w:r>
        <w:rPr>
          <w:rFonts w:ascii="Arial" w:cs="Arial" w:eastAsia="Arial" w:hAnsi="Arial"/>
          <w:sz w:val="20"/>
          <w:szCs w:val="20"/>
          <w:color w:val="auto"/>
        </w:rPr>
        <w:t>ratification of the selection of the Company’s independent registered public accounting firm; and (5) upon other matters that may properly come before the Annual Meeting, in accordance with the discretion of the persons to whom the proxy is granted.</w:t>
      </w:r>
    </w:p>
    <w:p>
      <w:pPr>
        <w:spacing w:after="0" w:line="194" w:lineRule="exact"/>
        <w:rPr>
          <w:sz w:val="20"/>
          <w:szCs w:val="20"/>
          <w:color w:val="auto"/>
        </w:rPr>
      </w:pPr>
    </w:p>
    <w:p>
      <w:pPr>
        <w:spacing w:after="0"/>
        <w:rPr>
          <w:sz w:val="20"/>
          <w:szCs w:val="20"/>
          <w:color w:val="auto"/>
        </w:rPr>
      </w:pPr>
      <w:r>
        <w:rPr>
          <w:rFonts w:ascii="Arial" w:cs="Arial" w:eastAsia="Arial" w:hAnsi="Arial"/>
          <w:sz w:val="20"/>
          <w:szCs w:val="20"/>
          <w:u w:val="single" w:color="auto"/>
          <w:color w:val="085CE5"/>
        </w:rPr>
        <w:t>Can I revoke my proxy or change my vote?</w:t>
      </w:r>
    </w:p>
    <w:p>
      <w:pPr>
        <w:spacing w:after="0" w:line="31" w:lineRule="exact"/>
        <w:rPr>
          <w:sz w:val="20"/>
          <w:szCs w:val="20"/>
          <w:color w:val="auto"/>
        </w:rPr>
      </w:pPr>
    </w:p>
    <w:p>
      <w:pPr>
        <w:jc w:val="both"/>
        <w:spacing w:after="0" w:line="262" w:lineRule="auto"/>
        <w:rPr>
          <w:sz w:val="20"/>
          <w:szCs w:val="20"/>
          <w:color w:val="auto"/>
        </w:rPr>
      </w:pPr>
      <w:r>
        <w:rPr>
          <w:rFonts w:ascii="Arial" w:cs="Arial" w:eastAsia="Arial" w:hAnsi="Arial"/>
          <w:sz w:val="20"/>
          <w:szCs w:val="20"/>
          <w:color w:val="auto"/>
        </w:rPr>
        <w:t>Any stockholder executing a Proxy Card retains the power to revoke it at any time prior to the voting of the proxy. It may be revoked by a stockholder personally appearing at the Annual Meeting and casting a contrary vote, by filing an instrument of revocation with the Secretary of the Company, or by the presentation at the Annual Meeting of a duly executed later-dated Proxy Card.</w:t>
      </w:r>
    </w:p>
    <w:p>
      <w:pPr>
        <w:spacing w:after="0" w:line="206" w:lineRule="exact"/>
        <w:rPr>
          <w:sz w:val="20"/>
          <w:szCs w:val="20"/>
          <w:color w:val="auto"/>
        </w:rPr>
      </w:pPr>
    </w:p>
    <w:p>
      <w:pPr>
        <w:spacing w:after="0"/>
        <w:rPr>
          <w:sz w:val="20"/>
          <w:szCs w:val="20"/>
          <w:color w:val="auto"/>
        </w:rPr>
      </w:pPr>
      <w:r>
        <w:rPr>
          <w:rFonts w:ascii="Arial" w:cs="Arial" w:eastAsia="Arial" w:hAnsi="Arial"/>
          <w:sz w:val="20"/>
          <w:szCs w:val="20"/>
          <w:u w:val="single" w:color="auto"/>
          <w:color w:val="085CE5"/>
        </w:rPr>
        <w:t>What happens if additional matters are presented at the Annual Meeting?</w:t>
      </w:r>
    </w:p>
    <w:p>
      <w:pPr>
        <w:spacing w:after="0" w:line="31" w:lineRule="exact"/>
        <w:rPr>
          <w:sz w:val="20"/>
          <w:szCs w:val="20"/>
          <w:color w:val="auto"/>
        </w:rPr>
      </w:pPr>
    </w:p>
    <w:p>
      <w:pPr>
        <w:jc w:val="both"/>
        <w:spacing w:after="0" w:line="267" w:lineRule="auto"/>
        <w:rPr>
          <w:sz w:val="20"/>
          <w:szCs w:val="20"/>
          <w:color w:val="auto"/>
        </w:rPr>
      </w:pPr>
      <w:r>
        <w:rPr>
          <w:rFonts w:ascii="Arial" w:cs="Arial" w:eastAsia="Arial" w:hAnsi="Arial"/>
          <w:sz w:val="20"/>
          <w:szCs w:val="20"/>
          <w:color w:val="auto"/>
        </w:rPr>
        <w:t>The Board knows of no matters that are expected to be presented for consideration at the Annual Meeting which are not described herein. The Company will not entertain any proposals or nominations at the Annual Meeting that do not meet the advance notice requirements set forth in the Company’s Bylaws. However, if other matters properly come before the meeting, it is intended that the persons named in the accompanying Proxy Card will vote thereon in accordance with their best judgment.</w:t>
      </w:r>
    </w:p>
    <w:p>
      <w:pPr>
        <w:spacing w:after="0" w:line="200" w:lineRule="exact"/>
        <w:rPr>
          <w:sz w:val="20"/>
          <w:szCs w:val="20"/>
          <w:color w:val="auto"/>
        </w:rPr>
      </w:pPr>
    </w:p>
    <w:p>
      <w:pPr>
        <w:spacing w:after="0"/>
        <w:rPr>
          <w:sz w:val="20"/>
          <w:szCs w:val="20"/>
          <w:color w:val="auto"/>
        </w:rPr>
      </w:pPr>
      <w:r>
        <w:rPr>
          <w:rFonts w:ascii="Arial" w:cs="Arial" w:eastAsia="Arial" w:hAnsi="Arial"/>
          <w:sz w:val="20"/>
          <w:szCs w:val="20"/>
          <w:u w:val="single" w:color="auto"/>
          <w:color w:val="085CE5"/>
        </w:rPr>
        <w:t>How can I vote if I am the beneficial owner and my shares are held by a broker, trustee, or other nominee?</w:t>
      </w:r>
    </w:p>
    <w:p>
      <w:pPr>
        <w:spacing w:after="0" w:line="31" w:lineRule="exact"/>
        <w:rPr>
          <w:sz w:val="20"/>
          <w:szCs w:val="20"/>
          <w:color w:val="auto"/>
        </w:rPr>
      </w:pPr>
    </w:p>
    <w:p>
      <w:pPr>
        <w:jc w:val="both"/>
        <w:spacing w:after="0" w:line="267" w:lineRule="auto"/>
        <w:rPr>
          <w:sz w:val="20"/>
          <w:szCs w:val="20"/>
          <w:color w:val="auto"/>
        </w:rPr>
      </w:pPr>
      <w:r>
        <w:rPr>
          <w:rFonts w:ascii="Arial" w:cs="Arial" w:eastAsia="Arial" w:hAnsi="Arial"/>
          <w:sz w:val="20"/>
          <w:szCs w:val="20"/>
          <w:color w:val="auto"/>
        </w:rPr>
        <w:t>If a stockholder’s shares are held in the name of a bank, broker, or other nominee, that nominee will provide separate instructions on how to vote. Those stockholders may vote at the Annual Meeting if they obtain and bring to the Annual Meeting a legal proxy from the bank, broker, or other nominee holding the shares.</w:t>
      </w:r>
    </w:p>
    <w:p>
      <w:pPr>
        <w:spacing w:after="0" w:line="200" w:lineRule="exact"/>
        <w:rPr>
          <w:sz w:val="20"/>
          <w:szCs w:val="20"/>
          <w:color w:val="auto"/>
        </w:rPr>
      </w:pPr>
    </w:p>
    <w:p>
      <w:pPr>
        <w:jc w:val="both"/>
        <w:spacing w:after="0" w:line="268" w:lineRule="auto"/>
        <w:rPr>
          <w:sz w:val="20"/>
          <w:szCs w:val="20"/>
          <w:color w:val="auto"/>
        </w:rPr>
      </w:pPr>
      <w:r>
        <w:rPr>
          <w:rFonts w:ascii="Arial" w:cs="Arial" w:eastAsia="Arial" w:hAnsi="Arial"/>
          <w:sz w:val="20"/>
          <w:szCs w:val="20"/>
          <w:color w:val="auto"/>
        </w:rPr>
        <w:t>If you are a participant in the Company’s Retirement Plan and you own shares of our common stock through the Retirement Plan, you may vote by proxy or you may receive separate instructions on how to direct the Retirement Plan trustee how to vote those shares on your behalf. If you do not vote by proxy or otherwise provide voting instructions for these shares, then, as permitted by the terms of the Retirement Plan, the Retirement Plan administrator will instruct the trustee to vote your Retirement Plan shares “FOR” all the director nominees named in this Proxy Statement and “FOR” all other proposals.</w:t>
      </w: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Other Information</w:t>
      </w:r>
    </w:p>
    <w:p>
      <w:pPr>
        <w:spacing w:after="0" w:line="256" w:lineRule="exact"/>
        <w:rPr>
          <w:sz w:val="20"/>
          <w:szCs w:val="20"/>
          <w:color w:val="auto"/>
        </w:rPr>
      </w:pPr>
    </w:p>
    <w:p>
      <w:pPr>
        <w:jc w:val="both"/>
        <w:spacing w:after="0" w:line="283" w:lineRule="auto"/>
        <w:rPr>
          <w:sz w:val="20"/>
          <w:szCs w:val="20"/>
          <w:color w:val="auto"/>
        </w:rPr>
      </w:pPr>
      <w:r>
        <w:rPr>
          <w:rFonts w:ascii="Arial" w:cs="Arial" w:eastAsia="Arial" w:hAnsi="Arial"/>
          <w:sz w:val="20"/>
          <w:szCs w:val="20"/>
          <w:b w:val="1"/>
          <w:bCs w:val="1"/>
          <w:color w:val="auto"/>
        </w:rPr>
        <w:t>Important Notice Regarding the Availability of Proxy Materials for the Stockholder Meeting to be Held on November 12, 2024: The Proxy Statement, Proxy Card, and the 2024 Annual Report to Stockholders are available at www.envisionreports.com/JKHY.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321310</wp:posOffset>
            </wp:positionV>
            <wp:extent cx="7132320" cy="35115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132320" cy="3511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9000"/>
        <w:spacing w:after="0"/>
        <w:tabs>
          <w:tab w:leader="none" w:pos="11000" w:val="left"/>
        </w:tabs>
        <w:rPr>
          <w:sz w:val="20"/>
          <w:szCs w:val="20"/>
          <w:color w:val="auto"/>
        </w:rPr>
      </w:pPr>
      <w:r>
        <w:rPr>
          <w:rFonts w:ascii="Arial" w:cs="Arial" w:eastAsia="Arial" w:hAnsi="Arial"/>
          <w:sz w:val="18"/>
          <w:szCs w:val="18"/>
          <w:color w:val="auto"/>
        </w:rPr>
        <w:t>2024 Proxy Statement</w:t>
      </w:r>
      <w:r>
        <w:rPr>
          <w:sz w:val="20"/>
          <w:szCs w:val="20"/>
          <w:color w:val="auto"/>
        </w:rPr>
        <w:tab/>
      </w:r>
      <w:r>
        <w:rPr>
          <w:rFonts w:ascii="Arial" w:cs="Arial" w:eastAsia="Arial" w:hAnsi="Arial"/>
          <w:sz w:val="17"/>
          <w:szCs w:val="17"/>
          <w:color w:val="1E3767"/>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253365</wp:posOffset>
            </wp:positionV>
            <wp:extent cx="7157720" cy="4254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01" w:right="339" w:bottom="1440" w:gutter="0" w:footer="0" w:header="0"/>
        </w:sectPr>
      </w:pPr>
    </w:p>
    <w:bookmarkStart w:id="82" w:name="page83"/>
    <w:bookmarkEnd w:id="82"/>
    <w:p>
      <w:pPr>
        <w:jc w:val="center"/>
        <w:spacing w:after="0"/>
        <w:rPr>
          <w:sz w:val="20"/>
          <w:szCs w:val="20"/>
          <w:color w:val="auto"/>
        </w:rPr>
      </w:pPr>
      <w:r>
        <w:rPr>
          <w:rFonts w:ascii="Arial" w:cs="Arial" w:eastAsia="Arial" w:hAnsi="Arial"/>
          <w:sz w:val="22"/>
          <w:szCs w:val="22"/>
          <w:b w:val="1"/>
          <w:bCs w:val="1"/>
          <w:color w:val="auto"/>
        </w:rPr>
        <w:t>APPENDIX A</w:t>
      </w:r>
    </w:p>
    <w:p>
      <w:pPr>
        <w:spacing w:after="0" w:line="24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Proposed Changes to the Company’s Certificate of Incorporation</w:t>
      </w:r>
    </w:p>
    <w:p>
      <w:pPr>
        <w:spacing w:after="0" w:line="267" w:lineRule="exact"/>
        <w:rPr>
          <w:sz w:val="20"/>
          <w:szCs w:val="20"/>
          <w:color w:val="auto"/>
        </w:rPr>
      </w:pPr>
    </w:p>
    <w:p>
      <w:pPr>
        <w:spacing w:after="0" w:line="300" w:lineRule="auto"/>
        <w:rPr>
          <w:sz w:val="20"/>
          <w:szCs w:val="20"/>
          <w:color w:val="auto"/>
        </w:rPr>
      </w:pPr>
      <w:r>
        <w:rPr>
          <w:rFonts w:ascii="Arial" w:cs="Arial" w:eastAsia="Arial" w:hAnsi="Arial"/>
          <w:sz w:val="20"/>
          <w:szCs w:val="20"/>
          <w:color w:val="auto"/>
        </w:rPr>
        <w:t xml:space="preserve">If approved, the Charter Amendments will result in the following changes to Article Sixth and Article Tenth of the Company’s Certificate of Incorporation. Additions are shown as </w:t>
      </w:r>
      <w:r>
        <w:rPr>
          <w:rFonts w:ascii="Arial" w:cs="Arial" w:eastAsia="Arial" w:hAnsi="Arial"/>
          <w:sz w:val="20"/>
          <w:szCs w:val="20"/>
          <w:u w:val="single" w:color="auto"/>
          <w:color w:val="EE2724"/>
        </w:rPr>
        <w:t>underlined text</w:t>
      </w:r>
      <w:r>
        <w:rPr>
          <w:rFonts w:ascii="Arial" w:cs="Arial" w:eastAsia="Arial" w:hAnsi="Arial"/>
          <w:sz w:val="20"/>
          <w:szCs w:val="20"/>
          <w:color w:val="auto"/>
        </w:rPr>
        <w:t xml:space="preserve"> and deletions are shown as </w:t>
      </w:r>
      <w:r>
        <w:rPr>
          <w:rFonts w:ascii="Arial" w:cs="Arial" w:eastAsia="Arial" w:hAnsi="Arial"/>
          <w:sz w:val="20"/>
          <w:szCs w:val="20"/>
          <w:color w:val="auto"/>
          <w:strike w:val="1"/>
        </w:rPr>
        <w:t>strikethrough text</w:t>
      </w:r>
      <w:r>
        <w:rPr>
          <w:rFonts w:ascii="Arial" w:cs="Arial" w:eastAsia="Arial" w:hAnsi="Arial"/>
          <w:sz w:val="20"/>
          <w:szCs w:val="20"/>
          <w:color w:val="auto"/>
        </w:rPr>
        <w:t>.</w:t>
      </w:r>
    </w:p>
    <w:p>
      <w:pPr>
        <w:spacing w:after="0" w:line="200" w:lineRule="exact"/>
        <w:rPr>
          <w:sz w:val="20"/>
          <w:szCs w:val="20"/>
          <w:color w:val="auto"/>
        </w:rPr>
      </w:pPr>
    </w:p>
    <w:p>
      <w:pPr>
        <w:spacing w:after="0" w:line="211" w:lineRule="exact"/>
        <w:rPr>
          <w:sz w:val="20"/>
          <w:szCs w:val="20"/>
          <w:color w:val="auto"/>
        </w:rPr>
      </w:pPr>
    </w:p>
    <w:p>
      <w:pPr>
        <w:jc w:val="both"/>
        <w:ind w:left="1300" w:right="1300"/>
        <w:spacing w:after="0" w:line="269" w:lineRule="auto"/>
        <w:rPr>
          <w:sz w:val="20"/>
          <w:szCs w:val="20"/>
          <w:color w:val="auto"/>
        </w:rPr>
      </w:pPr>
      <w:r>
        <w:rPr>
          <w:rFonts w:ascii="Arial" w:cs="Arial" w:eastAsia="Arial" w:hAnsi="Arial"/>
          <w:sz w:val="20"/>
          <w:szCs w:val="20"/>
          <w:color w:val="auto"/>
        </w:rPr>
        <w:t xml:space="preserve">SIXTH: Except as otherwise provided herein or in the bylaws, every decision by </w:t>
      </w:r>
      <w:r>
        <w:rPr>
          <w:rFonts w:ascii="Arial" w:cs="Arial" w:eastAsia="Arial" w:hAnsi="Arial"/>
          <w:sz w:val="20"/>
          <w:szCs w:val="20"/>
          <w:color w:val="auto"/>
          <w:strike w:val="1"/>
        </w:rPr>
        <w:t>a</w:t>
      </w:r>
      <w:r>
        <w:rPr>
          <w:rFonts w:ascii="Arial" w:cs="Arial" w:eastAsia="Arial" w:hAnsi="Arial"/>
          <w:sz w:val="20"/>
          <w:szCs w:val="20"/>
          <w:color w:val="auto"/>
        </w:rPr>
        <w:t xml:space="preserve"> </w:t>
      </w:r>
      <w:r>
        <w:rPr>
          <w:rFonts w:ascii="Arial" w:cs="Arial" w:eastAsia="Arial" w:hAnsi="Arial"/>
          <w:sz w:val="20"/>
          <w:szCs w:val="20"/>
          <w:u w:val="single" w:color="auto"/>
          <w:color w:val="EE2724"/>
        </w:rPr>
        <w:t>the affirmative</w:t>
      </w:r>
      <w:r>
        <w:rPr>
          <w:rFonts w:ascii="Arial" w:cs="Arial" w:eastAsia="Arial" w:hAnsi="Arial"/>
          <w:sz w:val="20"/>
          <w:szCs w:val="20"/>
          <w:color w:val="auto"/>
        </w:rPr>
        <w:t xml:space="preserve"> </w:t>
      </w:r>
      <w:r>
        <w:rPr>
          <w:rFonts w:ascii="Arial" w:cs="Arial" w:eastAsia="Arial" w:hAnsi="Arial"/>
          <w:sz w:val="20"/>
          <w:szCs w:val="20"/>
          <w:u w:val="single" w:color="auto"/>
          <w:color w:val="EE2724"/>
        </w:rPr>
        <w:t>vote of the</w:t>
      </w:r>
      <w:r>
        <w:rPr>
          <w:rFonts w:ascii="Arial" w:cs="Arial" w:eastAsia="Arial" w:hAnsi="Arial"/>
          <w:sz w:val="20"/>
          <w:szCs w:val="20"/>
          <w:color w:val="EE2724"/>
        </w:rPr>
        <w:t xml:space="preserve"> </w:t>
      </w:r>
      <w:r>
        <w:rPr>
          <w:rFonts w:ascii="Arial" w:cs="Arial" w:eastAsia="Arial" w:hAnsi="Arial"/>
          <w:sz w:val="20"/>
          <w:szCs w:val="20"/>
          <w:color w:val="000000"/>
        </w:rPr>
        <w:t>majority of the</w:t>
      </w:r>
      <w:r>
        <w:rPr>
          <w:rFonts w:ascii="Arial" w:cs="Arial" w:eastAsia="Arial" w:hAnsi="Arial"/>
          <w:sz w:val="20"/>
          <w:szCs w:val="20"/>
          <w:color w:val="EE2724"/>
        </w:rPr>
        <w:t xml:space="preserve"> </w:t>
      </w:r>
      <w:r>
        <w:rPr>
          <w:rFonts w:ascii="Arial" w:cs="Arial" w:eastAsia="Arial" w:hAnsi="Arial"/>
          <w:sz w:val="20"/>
          <w:szCs w:val="20"/>
          <w:color w:val="000000"/>
          <w:strike w:val="1"/>
        </w:rPr>
        <w:t>shares represented at the meeting and entitled to vote on the subject</w:t>
      </w:r>
      <w:r>
        <w:rPr>
          <w:rFonts w:ascii="Arial" w:cs="Arial" w:eastAsia="Arial" w:hAnsi="Arial"/>
          <w:sz w:val="20"/>
          <w:szCs w:val="20"/>
          <w:color w:val="EE2724"/>
        </w:rPr>
        <w:t xml:space="preserve"> </w:t>
      </w:r>
      <w:r>
        <w:rPr>
          <w:rFonts w:ascii="Arial" w:cs="Arial" w:eastAsia="Arial" w:hAnsi="Arial"/>
          <w:sz w:val="20"/>
          <w:szCs w:val="20"/>
          <w:color w:val="000000"/>
          <w:strike w:val="1"/>
        </w:rPr>
        <w:t>matter</w:t>
      </w:r>
      <w:r>
        <w:rPr>
          <w:rFonts w:ascii="Arial" w:cs="Arial" w:eastAsia="Arial" w:hAnsi="Arial"/>
          <w:sz w:val="20"/>
          <w:szCs w:val="20"/>
          <w:color w:val="000000"/>
        </w:rPr>
        <w:t xml:space="preserve"> </w:t>
      </w:r>
      <w:r>
        <w:rPr>
          <w:rFonts w:ascii="Arial" w:cs="Arial" w:eastAsia="Arial" w:hAnsi="Arial"/>
          <w:sz w:val="20"/>
          <w:szCs w:val="20"/>
          <w:u w:val="single" w:color="auto"/>
          <w:color w:val="EE2724"/>
        </w:rPr>
        <w:t>votes cast for and against with respect to a matter at any meeting of stockholders</w:t>
      </w:r>
      <w:r>
        <w:rPr>
          <w:rFonts w:ascii="Arial" w:cs="Arial" w:eastAsia="Arial" w:hAnsi="Arial"/>
          <w:sz w:val="20"/>
          <w:szCs w:val="20"/>
          <w:color w:val="000000"/>
        </w:rPr>
        <w:t xml:space="preserve"> shall constitute a valid corporate act.</w:t>
      </w:r>
    </w:p>
    <w:p>
      <w:pPr>
        <w:spacing w:after="0" w:line="197" w:lineRule="exact"/>
        <w:rPr>
          <w:sz w:val="20"/>
          <w:szCs w:val="20"/>
          <w:color w:val="auto"/>
        </w:rPr>
      </w:pPr>
    </w:p>
    <w:p>
      <w:pPr>
        <w:jc w:val="both"/>
        <w:ind w:left="1300" w:right="1300"/>
        <w:spacing w:after="0" w:line="279" w:lineRule="auto"/>
        <w:rPr>
          <w:sz w:val="20"/>
          <w:szCs w:val="20"/>
          <w:color w:val="auto"/>
        </w:rPr>
      </w:pPr>
      <w:r>
        <w:rPr>
          <w:rFonts w:ascii="Arial" w:cs="Arial" w:eastAsia="Arial" w:hAnsi="Arial"/>
          <w:sz w:val="19"/>
          <w:szCs w:val="19"/>
          <w:color w:val="auto"/>
          <w:strike w:val="1"/>
        </w:rPr>
        <w:t>6.1.</w:t>
      </w:r>
      <w:r>
        <w:rPr>
          <w:rFonts w:ascii="Arial" w:cs="Arial" w:eastAsia="Arial" w:hAnsi="Arial"/>
          <w:sz w:val="19"/>
          <w:szCs w:val="19"/>
          <w:color w:val="auto"/>
        </w:rPr>
        <w:t xml:space="preserve"> The corporation reserves the right to amend or repeal any provisions contained in </w:t>
      </w:r>
      <w:r>
        <w:rPr>
          <w:rFonts w:ascii="Arial" w:cs="Arial" w:eastAsia="Arial" w:hAnsi="Arial"/>
          <w:sz w:val="19"/>
          <w:szCs w:val="19"/>
          <w:color w:val="auto"/>
          <w:strike w:val="1"/>
        </w:rPr>
        <w:t>these</w:t>
      </w:r>
      <w:r>
        <w:rPr>
          <w:rFonts w:ascii="Arial" w:cs="Arial" w:eastAsia="Arial" w:hAnsi="Arial"/>
          <w:sz w:val="19"/>
          <w:szCs w:val="19"/>
          <w:color w:val="auto"/>
        </w:rPr>
        <w:t xml:space="preserve"> </w:t>
      </w:r>
      <w:r>
        <w:rPr>
          <w:rFonts w:ascii="Arial" w:cs="Arial" w:eastAsia="Arial" w:hAnsi="Arial"/>
          <w:sz w:val="19"/>
          <w:szCs w:val="19"/>
          <w:color w:val="auto"/>
          <w:strike w:val="1"/>
        </w:rPr>
        <w:t>articles</w:t>
      </w:r>
      <w:r>
        <w:rPr>
          <w:rFonts w:ascii="Arial" w:cs="Arial" w:eastAsia="Arial" w:hAnsi="Arial"/>
          <w:sz w:val="19"/>
          <w:szCs w:val="19"/>
          <w:color w:val="auto"/>
        </w:rPr>
        <w:t xml:space="preserve"> </w:t>
      </w:r>
      <w:r>
        <w:rPr>
          <w:rFonts w:ascii="Arial" w:cs="Arial" w:eastAsia="Arial" w:hAnsi="Arial"/>
          <w:sz w:val="19"/>
          <w:szCs w:val="19"/>
          <w:u w:val="single" w:color="auto"/>
          <w:color w:val="EE2724"/>
        </w:rPr>
        <w:t>this certificate</w:t>
      </w:r>
      <w:r>
        <w:rPr>
          <w:rFonts w:ascii="Arial" w:cs="Arial" w:eastAsia="Arial" w:hAnsi="Arial"/>
          <w:sz w:val="19"/>
          <w:szCs w:val="19"/>
          <w:color w:val="auto"/>
        </w:rPr>
        <w:t xml:space="preserve"> of incorporation or any amendments thereto; provided, however, that any proposed amendment shall be approved by vote of the holders of </w:t>
      </w:r>
      <w:r>
        <w:rPr>
          <w:rFonts w:ascii="Arial" w:cs="Arial" w:eastAsia="Arial" w:hAnsi="Arial"/>
          <w:sz w:val="19"/>
          <w:szCs w:val="19"/>
          <w:u w:val="single" w:color="auto"/>
          <w:color w:val="EE2724"/>
        </w:rPr>
        <w:t>a majority of the corporation’s</w:t>
      </w:r>
      <w:r>
        <w:rPr>
          <w:rFonts w:ascii="Arial" w:cs="Arial" w:eastAsia="Arial" w:hAnsi="Arial"/>
          <w:sz w:val="19"/>
          <w:szCs w:val="19"/>
          <w:color w:val="auto"/>
        </w:rPr>
        <w:t xml:space="preserve"> </w:t>
      </w:r>
      <w:r>
        <w:rPr>
          <w:rFonts w:ascii="Arial" w:cs="Arial" w:eastAsia="Arial" w:hAnsi="Arial"/>
          <w:sz w:val="19"/>
          <w:szCs w:val="19"/>
          <w:u w:val="single" w:color="auto"/>
          <w:color w:val="EE2724"/>
        </w:rPr>
        <w:t xml:space="preserve">stock entitled to vote. </w:t>
      </w:r>
      <w:r>
        <w:rPr>
          <w:rFonts w:ascii="Arial" w:cs="Arial" w:eastAsia="Arial" w:hAnsi="Arial"/>
          <w:sz w:val="19"/>
          <w:szCs w:val="19"/>
          <w:color w:val="000000"/>
          <w:strike w:val="1"/>
        </w:rPr>
        <w:t>two-thirds of the corporation’s stock entitled to vote. However, in the event</w:t>
      </w:r>
      <w:r>
        <w:rPr>
          <w:rFonts w:ascii="Arial" w:cs="Arial" w:eastAsia="Arial" w:hAnsi="Arial"/>
          <w:sz w:val="19"/>
          <w:szCs w:val="19"/>
          <w:u w:val="single" w:color="auto"/>
          <w:color w:val="EE2724"/>
        </w:rPr>
        <w:t xml:space="preserve"> </w:t>
      </w:r>
      <w:r>
        <w:rPr>
          <w:rFonts w:ascii="Arial" w:cs="Arial" w:eastAsia="Arial" w:hAnsi="Arial"/>
          <w:sz w:val="19"/>
          <w:szCs w:val="19"/>
          <w:color w:val="000000"/>
          <w:strike w:val="1"/>
        </w:rPr>
        <w:t>any amendment to these articles of incorporation or amendments thereto are recommended to the shareholders by at least two-thirds of the corporation’s board of directors, then the affirmative vote of two-thirds of the shareholders of the corporation shall not be required to adopt that amendment and only the vote of a simple majority of the corporation’s stock entitled to vote will be required.</w:t>
      </w:r>
    </w:p>
    <w:p>
      <w:pPr>
        <w:spacing w:after="0" w:line="196" w:lineRule="exact"/>
        <w:rPr>
          <w:sz w:val="20"/>
          <w:szCs w:val="20"/>
          <w:color w:val="auto"/>
        </w:rPr>
      </w:pPr>
    </w:p>
    <w:p>
      <w:pPr>
        <w:ind w:left="1300"/>
        <w:spacing w:after="0"/>
        <w:rPr>
          <w:sz w:val="20"/>
          <w:szCs w:val="20"/>
          <w:color w:val="auto"/>
        </w:rPr>
      </w:pPr>
      <w:r>
        <w:rPr>
          <w:rFonts w:ascii="Arial" w:cs="Arial" w:eastAsia="Arial" w:hAnsi="Arial"/>
          <w:sz w:val="20"/>
          <w:szCs w:val="20"/>
          <w:color w:val="auto"/>
          <w:strike w:val="1"/>
        </w:rPr>
        <w:t>6.2. [omitted]</w:t>
      </w:r>
    </w:p>
    <w:p>
      <w:pPr>
        <w:spacing w:after="0" w:line="200" w:lineRule="exact"/>
        <w:rPr>
          <w:sz w:val="20"/>
          <w:szCs w:val="20"/>
          <w:color w:val="auto"/>
        </w:rPr>
      </w:pPr>
    </w:p>
    <w:p>
      <w:pPr>
        <w:spacing w:after="0" w:line="299" w:lineRule="exact"/>
        <w:rPr>
          <w:sz w:val="20"/>
          <w:szCs w:val="20"/>
          <w:color w:val="auto"/>
        </w:rPr>
      </w:pPr>
    </w:p>
    <w:p>
      <w:pPr>
        <w:jc w:val="both"/>
        <w:ind w:left="1300" w:right="1300"/>
        <w:spacing w:after="0" w:line="269" w:lineRule="auto"/>
        <w:rPr>
          <w:sz w:val="20"/>
          <w:szCs w:val="20"/>
          <w:color w:val="auto"/>
        </w:rPr>
      </w:pPr>
      <w:r>
        <w:rPr>
          <w:rFonts w:ascii="Arial" w:cs="Arial" w:eastAsia="Arial" w:hAnsi="Arial"/>
          <w:sz w:val="20"/>
          <w:szCs w:val="20"/>
          <w:color w:val="auto"/>
        </w:rPr>
        <w:t xml:space="preserve">TENTH: The board of directors of the corporation is expressly authorized to make, alter, or repeal the bylaws of the corporation. The bylaws of the corporation may also be adopted, altered, amended or repealed by the affirmative vote of the holders of </w:t>
      </w:r>
      <w:r>
        <w:rPr>
          <w:rFonts w:ascii="Arial" w:cs="Arial" w:eastAsia="Arial" w:hAnsi="Arial"/>
          <w:sz w:val="20"/>
          <w:szCs w:val="20"/>
          <w:u w:val="single" w:color="auto"/>
          <w:color w:val="EE2724"/>
        </w:rPr>
        <w:t>a majority</w:t>
      </w:r>
      <w:r>
        <w:rPr>
          <w:rFonts w:ascii="Arial" w:cs="Arial" w:eastAsia="Arial" w:hAnsi="Arial"/>
          <w:sz w:val="20"/>
          <w:szCs w:val="20"/>
          <w:color w:val="auto"/>
        </w:rPr>
        <w:t xml:space="preserve"> </w:t>
      </w:r>
      <w:r>
        <w:rPr>
          <w:rFonts w:ascii="Arial" w:cs="Arial" w:eastAsia="Arial" w:hAnsi="Arial"/>
          <w:sz w:val="20"/>
          <w:szCs w:val="20"/>
          <w:color w:val="auto"/>
          <w:strike w:val="1"/>
        </w:rPr>
        <w:t>two-thirds</w:t>
      </w:r>
      <w:r>
        <w:rPr>
          <w:rFonts w:ascii="Arial" w:cs="Arial" w:eastAsia="Arial" w:hAnsi="Arial"/>
          <w:sz w:val="20"/>
          <w:szCs w:val="20"/>
          <w:color w:val="auto"/>
        </w:rPr>
        <w:t xml:space="preserve"> of the corporation’s stock entitled to vote.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182245</wp:posOffset>
            </wp:positionV>
            <wp:extent cx="7132320" cy="35115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132320" cy="351155"/>
                    </a:xfrm>
                    <a:prstGeom prst="rect">
                      <a:avLst/>
                    </a:prstGeom>
                    <a:noFill/>
                  </pic:spPr>
                </pic:pic>
              </a:graphicData>
            </a:graphic>
          </wp:anchor>
        </w:drawing>
      </w:r>
    </w:p>
    <w:p>
      <w:pPr>
        <w:spacing w:after="0" w:line="200" w:lineRule="exact"/>
        <w:rPr>
          <w:sz w:val="20"/>
          <w:szCs w:val="20"/>
          <w:color w:val="auto"/>
        </w:rPr>
      </w:pPr>
    </w:p>
    <w:p>
      <w:pPr>
        <w:spacing w:after="0" w:line="277" w:lineRule="exact"/>
        <w:rPr>
          <w:sz w:val="20"/>
          <w:szCs w:val="20"/>
          <w:color w:val="auto"/>
        </w:rPr>
      </w:pPr>
    </w:p>
    <w:p>
      <w:pPr>
        <w:ind w:left="20"/>
        <w:spacing w:after="0"/>
        <w:tabs>
          <w:tab w:leader="none" w:pos="440" w:val="left"/>
        </w:tabs>
        <w:rPr>
          <w:sz w:val="20"/>
          <w:szCs w:val="20"/>
          <w:color w:val="auto"/>
        </w:rPr>
      </w:pPr>
      <w:r>
        <w:rPr>
          <w:rFonts w:ascii="Arial" w:cs="Arial" w:eastAsia="Arial" w:hAnsi="Arial"/>
          <w:sz w:val="18"/>
          <w:szCs w:val="18"/>
          <w:color w:val="auto"/>
        </w:rPr>
        <w:t>80</w:t>
        <w:tab/>
        <w:t>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262255</wp:posOffset>
            </wp:positionV>
            <wp:extent cx="7157720" cy="4254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4" w:right="339" w:bottom="1440" w:gutter="0" w:footer="0" w:header="0"/>
        </w:sectPr>
      </w:pPr>
    </w:p>
    <w:bookmarkStart w:id="83" w:name="page84"/>
    <w:bookmarkEnd w:id="8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577215</wp:posOffset>
            </wp:positionV>
            <wp:extent cx="7157720" cy="865378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157720" cy="86537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4" w:name="page85"/>
    <w:bookmarkEnd w:id="8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688340</wp:posOffset>
            </wp:positionH>
            <wp:positionV relativeFrom="page">
              <wp:posOffset>577215</wp:posOffset>
            </wp:positionV>
            <wp:extent cx="6172200" cy="798068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clrChange>
                        <a:clrFrom>
                          <a:srgbClr val="FFFFFF"/>
                        </a:clrFrom>
                        <a:clrTo>
                          <a:srgbClr val="FFFFFF">
                            <a:alpha val="0"/>
                          </a:srgbClr>
                        </a:clrTo>
                      </a:clrChange>
                      <a:extLst>
                        <a:ext uri="{28A0092B-C50C-407E-A947-70E740481C1C}"/>
                      </a:extLst>
                    </a:blip>
                    <a:srcRect/>
                    <a:stretch>
                      <a:fillRect/>
                    </a:stretch>
                  </pic:blipFill>
                  <pic:spPr bwMode="auto">
                    <a:xfrm>
                      <a:off x="0" y="0"/>
                      <a:ext cx="6172200" cy="7980680"/>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7C83E458"/>
    <w:multiLevelType w:val="hybridMultilevel"/>
    <w:lvl w:ilvl="0">
      <w:lvlJc w:val="left"/>
      <w:lvlText w:val="["/>
      <w:numFmt w:val="bullet"/>
      <w:start w:val="1"/>
    </w:lvl>
  </w:abstractNum>
  <w:abstractNum w:abstractNumId="1">
    <w:nsid w:val="257130A3"/>
    <w:multiLevelType w:val="hybridMultilevel"/>
    <w:lvl w:ilvl="0">
      <w:lvlJc w:val="left"/>
      <w:lvlText w:val="%1."/>
      <w:numFmt w:val="decimal"/>
      <w:start w:val="1"/>
    </w:lvl>
  </w:abstractNum>
  <w:abstractNum w:abstractNumId="2">
    <w:nsid w:val="62BBD95A"/>
    <w:multiLevelType w:val="hybridMultilevel"/>
    <w:lvl w:ilvl="0">
      <w:lvlJc w:val="left"/>
      <w:lvlText w:val="2"/>
      <w:numFmt w:val="bullet"/>
      <w:start w:val="1"/>
    </w:lvl>
  </w:abstractNum>
  <w:abstractNum w:abstractNumId="3">
    <w:nsid w:val="436C6125"/>
    <w:multiLevelType w:val="hybridMultilevel"/>
    <w:lvl w:ilvl="0">
      <w:lvlJc w:val="left"/>
      <w:lvlText w:val="%1."/>
      <w:numFmt w:val="decimal"/>
      <w:start w:val="1"/>
    </w:lvl>
  </w:abstractNum>
  <w:abstractNum w:abstractNumId="4">
    <w:nsid w:val="628C895D"/>
    <w:multiLevelType w:val="hybridMultilevel"/>
    <w:lvl w:ilvl="0">
      <w:lvlJc w:val="left"/>
      <w:lvlText w:val="•"/>
      <w:numFmt w:val="bullet"/>
      <w:start w:val="1"/>
    </w:lvl>
  </w:abstractNum>
  <w:abstractNum w:abstractNumId="5">
    <w:nsid w:val="333AB105"/>
    <w:multiLevelType w:val="hybridMultilevel"/>
    <w:lvl w:ilvl="0">
      <w:lvlJc w:val="left"/>
      <w:lvlText w:val="•"/>
      <w:numFmt w:val="bullet"/>
      <w:start w:val="1"/>
    </w:lvl>
  </w:abstractNum>
  <w:abstractNum w:abstractNumId="6">
    <w:nsid w:val="721DA317"/>
    <w:multiLevelType w:val="hybridMultilevel"/>
    <w:lvl w:ilvl="0">
      <w:lvlJc w:val="left"/>
      <w:lvlText w:val="(%1)"/>
      <w:numFmt w:val="decimal"/>
      <w:start w:val="1"/>
    </w:lvl>
  </w:abstractNum>
  <w:abstractNum w:abstractNumId="7">
    <w:nsid w:val="2443A858"/>
    <w:multiLevelType w:val="hybridMultilevel"/>
    <w:lvl w:ilvl="0">
      <w:lvlJc w:val="left"/>
      <w:lvlText w:val="&amp;"/>
      <w:numFmt w:val="bullet"/>
      <w:start w:val="1"/>
    </w:lvl>
  </w:abstractNum>
  <w:abstractNum w:abstractNumId="8">
    <w:nsid w:val="2D1D5AE9"/>
    <w:multiLevelType w:val="hybridMultilevel"/>
    <w:lvl w:ilvl="0">
      <w:lvlJc w:val="left"/>
      <w:lvlText w:val="*"/>
      <w:numFmt w:val="bullet"/>
      <w:start w:val="1"/>
    </w:lvl>
  </w:abstractNum>
  <w:abstractNum w:abstractNumId="9">
    <w:nsid w:val="6763845E"/>
    <w:multiLevelType w:val="hybridMultilevel"/>
    <w:lvl w:ilvl="0">
      <w:lvlJc w:val="left"/>
      <w:lvlText w:val="•"/>
      <w:numFmt w:val="bullet"/>
      <w:start w:val="1"/>
    </w:lvl>
  </w:abstractNum>
  <w:abstractNum w:abstractNumId="10">
    <w:nsid w:val="75A2A8D4"/>
    <w:multiLevelType w:val="hybridMultilevel"/>
    <w:lvl w:ilvl="0">
      <w:lvlJc w:val="left"/>
      <w:lvlText w:val="•"/>
      <w:numFmt w:val="bullet"/>
      <w:start w:val="1"/>
    </w:lvl>
  </w:abstractNum>
  <w:abstractNum w:abstractNumId="11">
    <w:nsid w:val="8EDBDAB"/>
    <w:multiLevelType w:val="hybridMultilevel"/>
    <w:lvl w:ilvl="0">
      <w:lvlJc w:val="left"/>
      <w:lvlText w:val="•"/>
      <w:numFmt w:val="bullet"/>
      <w:start w:val="1"/>
    </w:lvl>
  </w:abstractNum>
  <w:abstractNum w:abstractNumId="12">
    <w:nsid w:val="79838CB2"/>
    <w:multiLevelType w:val="hybridMultilevel"/>
    <w:lvl w:ilvl="0">
      <w:lvlJc w:val="left"/>
      <w:lvlText w:val="(%1)"/>
      <w:numFmt w:val="decimal"/>
      <w:start w:val="1"/>
    </w:lvl>
  </w:abstractNum>
  <w:abstractNum w:abstractNumId="13">
    <w:nsid w:val="4353D0CD"/>
    <w:multiLevelType w:val="hybridMultilevel"/>
    <w:lvl w:ilvl="0">
      <w:lvlJc w:val="left"/>
      <w:lvlText w:val="•"/>
      <w:numFmt w:val="bullet"/>
      <w:start w:val="1"/>
    </w:lvl>
  </w:abstractNum>
  <w:abstractNum w:abstractNumId="14">
    <w:nsid w:val="B03E0C6"/>
    <w:multiLevelType w:val="hybridMultilevel"/>
    <w:lvl w:ilvl="0">
      <w:lvlJc w:val="left"/>
      <w:lvlText w:val="•"/>
      <w:numFmt w:val="bullet"/>
      <w:start w:val="1"/>
    </w:lvl>
  </w:abstractNum>
  <w:abstractNum w:abstractNumId="15">
    <w:nsid w:val="189A769B"/>
    <w:multiLevelType w:val="hybridMultilevel"/>
    <w:lvl w:ilvl="0">
      <w:lvlJc w:val="left"/>
      <w:lvlText w:val="•"/>
      <w:numFmt w:val="bullet"/>
      <w:start w:val="1"/>
    </w:lvl>
  </w:abstractNum>
  <w:abstractNum w:abstractNumId="16">
    <w:nsid w:val="54E49EB4"/>
    <w:multiLevelType w:val="hybridMultilevel"/>
    <w:lvl w:ilvl="0">
      <w:lvlJc w:val="left"/>
      <w:lvlText w:val="(%1)"/>
      <w:numFmt w:val="decimal"/>
      <w:start w:val="1"/>
    </w:lvl>
  </w:abstractNum>
  <w:abstractNum w:abstractNumId="17">
    <w:nsid w:val="71F32454"/>
    <w:multiLevelType w:val="hybridMultilevel"/>
    <w:lvl w:ilvl="0">
      <w:lvlJc w:val="left"/>
      <w:lvlText w:val="(%1)"/>
      <w:numFmt w:val="decimal"/>
      <w:start w:val="1"/>
    </w:lvl>
  </w:abstractNum>
  <w:abstractNum w:abstractNumId="18">
    <w:nsid w:val="2CA88611"/>
    <w:multiLevelType w:val="hybridMultilevel"/>
    <w:lvl w:ilvl="0">
      <w:lvlJc w:val="left"/>
      <w:lvlText w:val="(%1)"/>
      <w:numFmt w:val="decimal"/>
      <w:start w:val="1"/>
    </w:lvl>
  </w:abstractNum>
  <w:abstractNum w:abstractNumId="19">
    <w:nsid w:val="836C40E"/>
    <w:multiLevelType w:val="hybridMultilevel"/>
    <w:lvl w:ilvl="0">
      <w:lvlJc w:val="left"/>
      <w:lvlText w:val="(%1)"/>
      <w:numFmt w:val="decimal"/>
      <w:start w:val="1"/>
    </w:lvl>
  </w:abstractNum>
  <w:abstractNum w:abstractNumId="20">
    <w:nsid w:val="2901D82"/>
    <w:multiLevelType w:val="hybridMultilevel"/>
    <w:lvl w:ilvl="0">
      <w:lvlJc w:val="left"/>
      <w:lvlText w:val="(%1)"/>
      <w:numFmt w:val="decimal"/>
      <w:start w:val="1"/>
    </w:lvl>
  </w:abstractNum>
  <w:abstractNum w:abstractNumId="21">
    <w:nsid w:val="3A95F874"/>
    <w:multiLevelType w:val="hybridMultilevel"/>
    <w:lvl w:ilvl="0">
      <w:lvlJc w:val="left"/>
      <w:lvlText w:val="(%1)"/>
      <w:numFmt w:val="lowerRoman"/>
      <w:start w:val="1"/>
    </w:lvl>
  </w:abstractNum>
  <w:abstractNum w:abstractNumId="22">
    <w:nsid w:val="8138641"/>
    <w:multiLevelType w:val="hybridMultilevel"/>
    <w:lvl w:ilvl="0">
      <w:lvlJc w:val="left"/>
      <w:lvlText w:val="(%1)"/>
      <w:numFmt w:val="decimal"/>
      <w:start w:val="1"/>
    </w:lvl>
  </w:abstractNum>
  <w:abstractNum w:abstractNumId="23">
    <w:nsid w:val="1E7FF521"/>
    <w:multiLevelType w:val="hybridMultilevel"/>
    <w:lvl w:ilvl="0">
      <w:lvlJc w:val="left"/>
      <w:lvlText w:val="(%1)"/>
      <w:numFmt w:val="decimal"/>
      <w:start w:val="1"/>
    </w:lvl>
  </w:abstractNum>
  <w:abstractNum w:abstractNumId="24">
    <w:nsid w:val="7C3DBD3D"/>
    <w:multiLevelType w:val="hybridMultilevel"/>
    <w:lvl w:ilvl="0">
      <w:lvlJc w:val="left"/>
      <w:lvlText w:val="(%1)"/>
      <w:numFmt w:val="decimal"/>
      <w:start w:val="1"/>
    </w:lvl>
  </w:abstractNum>
  <w:abstractNum w:abstractNumId="25">
    <w:nsid w:val="737B8DDC"/>
    <w:multiLevelType w:val="hybridMultilevel"/>
    <w:lvl w:ilvl="0">
      <w:lvlJc w:val="left"/>
      <w:lvlText w:val="(%1)"/>
      <w:numFmt w:val="decimal"/>
      <w:start w:val="1"/>
    </w:lvl>
  </w:abstractNum>
  <w:abstractNum w:abstractNumId="26">
    <w:nsid w:val="6CEAF087"/>
    <w:multiLevelType w:val="hybridMultilevel"/>
    <w:lvl w:ilvl="0">
      <w:lvlJc w:val="left"/>
      <w:lvlText w:val="(%1)"/>
      <w:numFmt w:val="decimal"/>
      <w:start w:val="3"/>
    </w:lvl>
    <w:lvl w:ilvl="1">
      <w:lvlJc w:val="left"/>
      <w:lvlText w:val="•"/>
      <w:numFmt w:val="bullet"/>
      <w:start w:val="1"/>
    </w:lvl>
  </w:abstractNum>
  <w:abstractNum w:abstractNumId="27">
    <w:nsid w:val="22221A70"/>
    <w:multiLevelType w:val="hybridMultilevel"/>
    <w:lvl w:ilvl="0">
      <w:lvlJc w:val="left"/>
      <w:lvlText w:val="(%1)"/>
      <w:numFmt w:val="decimal"/>
      <w:start w:val="3"/>
    </w:lvl>
    <w:lvl w:ilvl="1">
      <w:lvlJc w:val="left"/>
      <w:lvlText w:val="•"/>
      <w:numFmt w:val="bullet"/>
      <w:start w:val="1"/>
    </w:lvl>
  </w:abstractNum>
  <w:abstractNum w:abstractNumId="28">
    <w:nsid w:val="4516DDE9"/>
    <w:multiLevelType w:val="hybridMultilevel"/>
    <w:lvl w:ilvl="0">
      <w:lvlJc w:val="left"/>
      <w:lvlText w:val="(%1)"/>
      <w:numFmt w:val="decimal"/>
      <w:start w:val="5"/>
    </w:lvl>
  </w:abstractNum>
  <w:abstractNum w:abstractNumId="29">
    <w:nsid w:val="3006C83E"/>
    <w:multiLevelType w:val="hybridMultilevel"/>
    <w:lvl w:ilvl="0">
      <w:lvlJc w:val="left"/>
      <w:lvlText w:val="•"/>
      <w:numFmt w:val="bullet"/>
      <w:start w:val="1"/>
    </w:lvl>
  </w:abstractNum>
  <w:abstractNum w:abstractNumId="30">
    <w:nsid w:val="614FD4A1"/>
    <w:multiLevelType w:val="hybridMultilevel"/>
    <w:lvl w:ilvl="0">
      <w:lvlJc w:val="left"/>
      <w:lvlText w:val="•"/>
      <w:numFmt w:val="bullet"/>
      <w:start w:val="1"/>
    </w:lvl>
  </w:abstractNum>
  <w:abstractNum w:abstractNumId="31">
    <w:nsid w:val="419AC241"/>
    <w:multiLevelType w:val="hybridMultilevel"/>
    <w:lvl w:ilvl="0">
      <w:lvlJc w:val="left"/>
      <w:lvlText w:val="(%1)"/>
      <w:numFmt w:val="decimal"/>
      <w:start w:val="1"/>
    </w:lvl>
  </w:abstractNum>
  <w:abstractNum w:abstractNumId="32">
    <w:nsid w:val="5577F8E1"/>
    <w:multiLevelType w:val="hybridMultilevel"/>
    <w:lvl w:ilvl="0">
      <w:lvlJc w:val="left"/>
      <w:lvlText w:val="(%1)"/>
      <w:numFmt w:val="decimal"/>
      <w:start w:val="1"/>
    </w:lvl>
  </w:abstractNum>
  <w:abstractNum w:abstractNumId="33">
    <w:nsid w:val="440BADFC"/>
    <w:multiLevelType w:val="hybridMultilevel"/>
    <w:lvl w:ilvl="0">
      <w:lvlJc w:val="left"/>
      <w:lvlText w:val="(%1)"/>
      <w:numFmt w:val="decimal"/>
    </w:lvl>
    <w:lvl w:ilvl="1">
      <w:lvlJc w:val="left"/>
      <w:lvlText w:val="*"/>
      <w:numFmt w:val="bullet"/>
      <w:start w:val="1"/>
    </w:lvl>
  </w:abstractNum>
  <w:abstractNum w:abstractNumId="34">
    <w:nsid w:val="5072367"/>
    <w:multiLevelType w:val="hybridMultilevel"/>
    <w:lvl w:ilvl="0">
      <w:lvlJc w:val="left"/>
      <w:lvlText w:val="(%1)"/>
      <w:numFmt w:val="decimal"/>
      <w:start w:val="3"/>
    </w:lvl>
  </w:abstractNum>
  <w:abstractNum w:abstractNumId="35">
    <w:nsid w:val="3804823E"/>
    <w:multiLevelType w:val="hybridMultilevel"/>
    <w:lvl w:ilvl="0">
      <w:lvlJc w:val="left"/>
      <w:lvlText w:val="(%1)"/>
      <w:numFmt w:val="decimal"/>
      <w:start w:val="15"/>
    </w:lvl>
  </w:abstractNum>
  <w:abstractNum w:abstractNumId="36">
    <w:nsid w:val="77465F01"/>
    <w:multiLevelType w:val="hybridMultilevel"/>
    <w:lvl w:ilvl="0">
      <w:lvlJc w:val="left"/>
      <w:lvlText w:val="%1."/>
      <w:numFmt w:val="decimal"/>
      <w:start w:val="1"/>
    </w:lvl>
    <w:lvl w:ilvl="1">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jpe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jpe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jpe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jpe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jpe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jpe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jpe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jpe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jpe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jpe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jpe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jpe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jpe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jpe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2024-10-03T15:32:15Z</dcterms:created>
  <dcterms:modified xsi:type="dcterms:W3CDTF">2024-10-03T15:32:15Z</dcterms:modified>
</cp:coreProperties>
</file>