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Arial" w:cs="Arial" w:eastAsia="Arial" w:hAnsi="Arial"/>
          <w:sz w:val="20"/>
          <w:szCs w:val="20"/>
          <w:b w:val="1"/>
          <w:bCs w:val="1"/>
          <w:color w:val="auto"/>
        </w:rPr>
        <w:t>UNITED STATES</w:t>
      </w:r>
    </w:p>
    <w:p>
      <w:pPr>
        <w:spacing w:after="0" w:line="33"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2"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March 31, 2022</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OR</w:t>
      </w:r>
    </w:p>
    <w:p>
      <w:pPr>
        <w:spacing w:after="0" w:line="63" w:lineRule="exact"/>
        <w:rPr>
          <w:sz w:val="24"/>
          <w:szCs w:val="24"/>
          <w:color w:val="auto"/>
        </w:rPr>
      </w:pPr>
    </w:p>
    <w:p>
      <w:pPr>
        <w:ind w:left="900" w:right="1180" w:hanging="591"/>
        <w:spacing w:after="0" w:line="279" w:lineRule="auto"/>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________________</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0-14112</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JACK HENRY &amp; ASSOCIATES,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460" w:type="dxa"/>
            <w:vAlign w:val="bottom"/>
            <w:gridSpan w:val="2"/>
          </w:tcPr>
          <w:p>
            <w:pPr>
              <w:jc w:val="center"/>
              <w:ind w:right="2700"/>
              <w:spacing w:after="0"/>
              <w:rPr>
                <w:sz w:val="20"/>
                <w:szCs w:val="20"/>
                <w:color w:val="auto"/>
              </w:rPr>
            </w:pPr>
            <w:r>
              <w:rPr>
                <w:rFonts w:ascii="Arial" w:cs="Arial" w:eastAsia="Arial" w:hAnsi="Arial"/>
                <w:sz w:val="18"/>
                <w:szCs w:val="18"/>
                <w:color w:val="auto"/>
                <w:w w:val="99"/>
              </w:rPr>
              <w:t>Delaware</w:t>
            </w:r>
          </w:p>
        </w:tc>
        <w:tc>
          <w:tcPr>
            <w:tcW w:w="4020" w:type="dxa"/>
            <w:vAlign w:val="bottom"/>
            <w:gridSpan w:val="3"/>
          </w:tcPr>
          <w:p>
            <w:pPr>
              <w:jc w:val="right"/>
              <w:ind w:right="880"/>
              <w:spacing w:after="0"/>
              <w:rPr>
                <w:sz w:val="20"/>
                <w:szCs w:val="20"/>
                <w:color w:val="auto"/>
              </w:rPr>
            </w:pPr>
            <w:r>
              <w:rPr>
                <w:rFonts w:ascii="Arial" w:cs="Arial" w:eastAsia="Arial" w:hAnsi="Arial"/>
                <w:sz w:val="18"/>
                <w:szCs w:val="18"/>
                <w:color w:val="auto"/>
              </w:rPr>
              <w:t>43-1128385</w:t>
            </w:r>
          </w:p>
        </w:tc>
      </w:tr>
      <w:tr>
        <w:trPr>
          <w:trHeight w:val="20"/>
        </w:trPr>
        <w:tc>
          <w:tcPr>
            <w:tcW w:w="1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4"/>
        </w:trPr>
        <w:tc>
          <w:tcPr>
            <w:tcW w:w="4820" w:type="dxa"/>
            <w:vAlign w:val="bottom"/>
            <w:gridSpan w:val="3"/>
          </w:tcPr>
          <w:p>
            <w:pPr>
              <w:jc w:val="center"/>
              <w:ind w:right="1320"/>
              <w:spacing w:after="0"/>
              <w:rPr>
                <w:sz w:val="20"/>
                <w:szCs w:val="20"/>
                <w:color w:val="auto"/>
              </w:rPr>
            </w:pPr>
            <w:r>
              <w:rPr>
                <w:rFonts w:ascii="Arial" w:cs="Arial" w:eastAsia="Arial" w:hAnsi="Arial"/>
                <w:sz w:val="18"/>
                <w:szCs w:val="18"/>
                <w:color w:val="auto"/>
                <w:w w:val="99"/>
              </w:rPr>
              <w:t>(State or Other Jurisdiction of Incorporation)</w:t>
            </w:r>
          </w:p>
        </w:tc>
        <w:tc>
          <w:tcPr>
            <w:tcW w:w="4020" w:type="dxa"/>
            <w:vAlign w:val="bottom"/>
            <w:gridSpan w:val="3"/>
          </w:tcPr>
          <w:p>
            <w:pPr>
              <w:jc w:val="center"/>
              <w:ind w:left="1210"/>
              <w:spacing w:after="0"/>
              <w:rPr>
                <w:sz w:val="20"/>
                <w:szCs w:val="20"/>
                <w:color w:val="auto"/>
              </w:rPr>
            </w:pPr>
            <w:r>
              <w:rPr>
                <w:rFonts w:ascii="Arial" w:cs="Arial" w:eastAsia="Arial" w:hAnsi="Arial"/>
                <w:sz w:val="18"/>
                <w:szCs w:val="18"/>
                <w:color w:val="auto"/>
                <w:w w:val="99"/>
              </w:rPr>
              <w:t>(I.R.S Employer 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Principle Executive Offices)</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(Zip Code)</w:t>
      </w: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19" w:lineRule="exact"/>
        <w:rPr>
          <w:sz w:val="24"/>
          <w:szCs w:val="24"/>
          <w:color w:val="auto"/>
        </w:rPr>
      </w:pPr>
    </w:p>
    <w:p>
      <w:pPr>
        <w:ind w:left="3720"/>
        <w:spacing w:after="0"/>
        <w:rPr>
          <w:sz w:val="20"/>
          <w:szCs w:val="20"/>
          <w:color w:val="auto"/>
        </w:rPr>
      </w:pPr>
      <w:r>
        <w:rPr>
          <w:rFonts w:ascii="Arial" w:cs="Arial" w:eastAsia="Arial" w:hAnsi="Arial"/>
          <w:sz w:val="16"/>
          <w:szCs w:val="16"/>
          <w:color w:val="auto"/>
        </w:rPr>
        <w:t>(Registrant’s telephone number, including area code)</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7" w:lineRule="exact"/>
        <w:rPr>
          <w:sz w:val="24"/>
          <w:szCs w:val="24"/>
          <w:color w:val="auto"/>
        </w:rPr>
      </w:pPr>
    </w:p>
    <w:tbl>
      <w:tblPr>
        <w:tblLayout w:type="fixed"/>
        <w:tblInd w:w="92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180" w:type="dxa"/>
            <w:vAlign w:val="bottom"/>
          </w:tcPr>
          <w:p>
            <w:pPr>
              <w:spacing w:after="0"/>
              <w:rPr>
                <w:sz w:val="17"/>
                <w:szCs w:val="17"/>
                <w:color w:val="auto"/>
              </w:rPr>
            </w:pPr>
          </w:p>
        </w:tc>
        <w:tc>
          <w:tcPr>
            <w:tcW w:w="2800" w:type="dxa"/>
            <w:vAlign w:val="bottom"/>
            <w:gridSpan w:val="3"/>
          </w:tcPr>
          <w:p>
            <w:pPr>
              <w:jc w:val="center"/>
              <w:ind w:right="360"/>
              <w:spacing w:after="0"/>
              <w:rPr>
                <w:sz w:val="20"/>
                <w:szCs w:val="20"/>
                <w:color w:val="auto"/>
              </w:rPr>
            </w:pPr>
            <w:r>
              <w:rPr>
                <w:rFonts w:ascii="Arial" w:cs="Arial" w:eastAsia="Arial" w:hAnsi="Arial"/>
                <w:sz w:val="18"/>
                <w:szCs w:val="18"/>
                <w:color w:val="auto"/>
                <w:w w:val="98"/>
              </w:rPr>
              <w:t>Trading Symbol</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6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54"/>
        </w:trPr>
        <w:tc>
          <w:tcPr>
            <w:tcW w:w="322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Common Stock ($0.01 par value)</w:t>
            </w:r>
          </w:p>
        </w:tc>
        <w:tc>
          <w:tcPr>
            <w:tcW w:w="600" w:type="dxa"/>
            <w:vAlign w:val="bottom"/>
          </w:tcPr>
          <w:p>
            <w:pPr>
              <w:spacing w:after="0"/>
              <w:rPr>
                <w:sz w:val="22"/>
                <w:szCs w:val="22"/>
                <w:color w:val="auto"/>
              </w:rPr>
            </w:pPr>
          </w:p>
        </w:tc>
        <w:tc>
          <w:tcPr>
            <w:tcW w:w="2200" w:type="dxa"/>
            <w:vAlign w:val="bottom"/>
            <w:gridSpan w:val="2"/>
          </w:tcPr>
          <w:p>
            <w:pPr>
              <w:jc w:val="center"/>
              <w:ind w:right="940"/>
              <w:spacing w:after="0"/>
              <w:rPr>
                <w:sz w:val="20"/>
                <w:szCs w:val="20"/>
                <w:color w:val="auto"/>
              </w:rPr>
            </w:pPr>
            <w:r>
              <w:rPr>
                <w:rFonts w:ascii="Arial" w:cs="Arial" w:eastAsia="Arial" w:hAnsi="Arial"/>
                <w:sz w:val="18"/>
                <w:szCs w:val="18"/>
                <w:color w:val="auto"/>
                <w:w w:val="99"/>
              </w:rPr>
              <w:t>JKHY</w:t>
            </w:r>
          </w:p>
        </w:tc>
        <w:tc>
          <w:tcPr>
            <w:tcW w:w="356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15"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5" w:lineRule="exact"/>
        <w:rPr>
          <w:sz w:val="24"/>
          <w:szCs w:val="24"/>
          <w:color w:val="auto"/>
        </w:rPr>
      </w:pPr>
    </w:p>
    <w:p>
      <w:pPr>
        <w:jc w:val="both"/>
        <w:spacing w:after="0" w:line="26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5" w:lineRule="exact"/>
        <w:rPr>
          <w:sz w:val="24"/>
          <w:szCs w:val="24"/>
          <w:color w:val="auto"/>
        </w:rPr>
      </w:pPr>
    </w:p>
    <w:p>
      <w:pPr>
        <w:jc w:val="both"/>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20"/>
                <w:szCs w:val="20"/>
                <w:color w:val="auto"/>
              </w:rPr>
            </w:pPr>
            <w:r>
              <w:rPr>
                <w:rFonts w:ascii="Arial" w:cs="Arial" w:eastAsia="Arial" w:hAnsi="Arial"/>
                <w:sz w:val="18"/>
                <w:szCs w:val="18"/>
                <w:color w:val="auto"/>
              </w:rPr>
              <w:t>and</w:t>
            </w:r>
          </w:p>
        </w:tc>
        <w:tc>
          <w:tcPr>
            <w:tcW w:w="1660" w:type="dxa"/>
            <w:vAlign w:val="bottom"/>
          </w:tcPr>
          <w:p>
            <w:pPr>
              <w:ind w:left="320"/>
              <w:spacing w:after="0"/>
              <w:rPr>
                <w:sz w:val="20"/>
                <w:szCs w:val="20"/>
                <w:color w:val="auto"/>
              </w:rPr>
            </w:pPr>
            <w:r>
              <w:rPr>
                <w:rFonts w:ascii="Arial" w:cs="Arial" w:eastAsia="Arial" w:hAnsi="Arial"/>
                <w:sz w:val="18"/>
                <w:szCs w:val="18"/>
                <w:color w:val="auto"/>
              </w:rPr>
              <w:t>"emerging</w:t>
            </w:r>
          </w:p>
        </w:tc>
        <w:tc>
          <w:tcPr>
            <w:tcW w:w="960" w:type="dxa"/>
            <w:vAlign w:val="bottom"/>
          </w:tcPr>
          <w:p>
            <w:pPr>
              <w:ind w:left="100"/>
              <w:spacing w:after="0"/>
              <w:rPr>
                <w:sz w:val="20"/>
                <w:szCs w:val="20"/>
                <w:color w:val="auto"/>
              </w:rPr>
            </w:pPr>
            <w:r>
              <w:rPr>
                <w:rFonts w:ascii="Arial" w:cs="Arial" w:eastAsia="Arial" w:hAnsi="Arial"/>
                <w:sz w:val="18"/>
                <w:szCs w:val="18"/>
                <w:color w:val="auto"/>
              </w:rPr>
              <w:t>growth</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rPr>
              <w:t>company"</w:t>
            </w:r>
          </w:p>
        </w:tc>
        <w:tc>
          <w:tcPr>
            <w:tcW w:w="1020" w:type="dxa"/>
            <w:vAlign w:val="bottom"/>
          </w:tcPr>
          <w:p>
            <w:pPr>
              <w:ind w:left="320"/>
              <w:spacing w:after="0"/>
              <w:rPr>
                <w:sz w:val="20"/>
                <w:szCs w:val="20"/>
                <w:color w:val="auto"/>
              </w:rPr>
            </w:pPr>
            <w:r>
              <w:rPr>
                <w:rFonts w:ascii="Arial" w:cs="Arial" w:eastAsia="Arial" w:hAnsi="Arial"/>
                <w:sz w:val="18"/>
                <w:szCs w:val="18"/>
                <w:color w:val="auto"/>
              </w:rPr>
              <w:t>in</w:t>
            </w:r>
          </w:p>
        </w:tc>
        <w:tc>
          <w:tcPr>
            <w:tcW w:w="920" w:type="dxa"/>
            <w:vAlign w:val="bottom"/>
          </w:tcPr>
          <w:p>
            <w:pPr>
              <w:ind w:left="60"/>
              <w:spacing w:after="0"/>
              <w:rPr>
                <w:sz w:val="20"/>
                <w:szCs w:val="20"/>
                <w:color w:val="auto"/>
              </w:rPr>
            </w:pPr>
            <w:r>
              <w:rPr>
                <w:rFonts w:ascii="Arial" w:cs="Arial" w:eastAsia="Arial" w:hAnsi="Arial"/>
                <w:sz w:val="18"/>
                <w:szCs w:val="18"/>
                <w:color w:val="auto"/>
              </w:rPr>
              <w:t>Rule</w:t>
            </w:r>
          </w:p>
        </w:tc>
        <w:tc>
          <w:tcPr>
            <w:tcW w:w="920" w:type="dxa"/>
            <w:vAlign w:val="bottom"/>
          </w:tcPr>
          <w:p>
            <w:pPr>
              <w:ind w:left="140"/>
              <w:spacing w:after="0"/>
              <w:rPr>
                <w:sz w:val="20"/>
                <w:szCs w:val="20"/>
                <w:color w:val="auto"/>
              </w:rPr>
            </w:pPr>
            <w:r>
              <w:rPr>
                <w:rFonts w:ascii="Arial" w:cs="Arial" w:eastAsia="Arial" w:hAnsi="Arial"/>
                <w:sz w:val="18"/>
                <w:szCs w:val="18"/>
                <w:color w:val="auto"/>
              </w:rPr>
              <w:t>12b-2</w:t>
            </w:r>
          </w:p>
        </w:tc>
        <w:tc>
          <w:tcPr>
            <w:tcW w:w="780" w:type="dxa"/>
            <w:vAlign w:val="bottom"/>
          </w:tcPr>
          <w:p>
            <w:pPr>
              <w:ind w:left="320"/>
              <w:spacing w:after="0"/>
              <w:rPr>
                <w:sz w:val="20"/>
                <w:szCs w:val="20"/>
                <w:color w:val="auto"/>
              </w:rPr>
            </w:pPr>
            <w:r>
              <w:rPr>
                <w:rFonts w:ascii="Arial" w:cs="Arial" w:eastAsia="Arial" w:hAnsi="Arial"/>
                <w:sz w:val="18"/>
                <w:szCs w:val="18"/>
                <w:color w:val="auto"/>
              </w:rPr>
              <w:t>of</w:t>
            </w:r>
          </w:p>
        </w:tc>
        <w:tc>
          <w:tcPr>
            <w:tcW w:w="780" w:type="dxa"/>
            <w:vAlign w:val="bottom"/>
          </w:tcPr>
          <w:p>
            <w:pPr>
              <w:ind w:left="300"/>
              <w:spacing w:after="0"/>
              <w:rPr>
                <w:sz w:val="20"/>
                <w:szCs w:val="20"/>
                <w:color w:val="auto"/>
              </w:rPr>
            </w:pPr>
            <w:r>
              <w:rPr>
                <w:rFonts w:ascii="Arial" w:cs="Arial" w:eastAsia="Arial" w:hAnsi="Arial"/>
                <w:sz w:val="18"/>
                <w:szCs w:val="18"/>
                <w:color w:val="auto"/>
              </w:rPr>
              <w:t>the</w:t>
            </w:r>
          </w:p>
        </w:tc>
        <w:tc>
          <w:tcPr>
            <w:tcW w:w="1520" w:type="dxa"/>
            <w:vAlign w:val="bottom"/>
          </w:tcPr>
          <w:p>
            <w:pPr>
              <w:ind w:left="400"/>
              <w:spacing w:after="0"/>
              <w:rPr>
                <w:sz w:val="20"/>
                <w:szCs w:val="20"/>
                <w:color w:val="auto"/>
              </w:rPr>
            </w:pPr>
            <w:r>
              <w:rPr>
                <w:rFonts w:ascii="Arial" w:cs="Arial" w:eastAsia="Arial" w:hAnsi="Arial"/>
                <w:sz w:val="18"/>
                <w:szCs w:val="18"/>
                <w:color w:val="auto"/>
              </w:rPr>
              <w:t>Exchange</w:t>
            </w:r>
          </w:p>
        </w:tc>
        <w:tc>
          <w:tcPr>
            <w:tcW w:w="620" w:type="dxa"/>
            <w:vAlign w:val="bottom"/>
          </w:tcPr>
          <w:p>
            <w:pPr>
              <w:ind w:left="320"/>
              <w:spacing w:after="0"/>
              <w:rPr>
                <w:sz w:val="20"/>
                <w:szCs w:val="20"/>
                <w:color w:val="auto"/>
              </w:rPr>
            </w:pPr>
            <w:r>
              <w:rPr>
                <w:rFonts w:ascii="Arial" w:cs="Arial" w:eastAsia="Arial" w:hAnsi="Arial"/>
                <w:sz w:val="18"/>
                <w:szCs w:val="18"/>
                <w:color w:val="auto"/>
                <w:w w:val="90"/>
              </w:rPr>
              <w:t>Act.</w:t>
            </w:r>
          </w:p>
        </w:tc>
      </w:tr>
      <w:tr>
        <w:trPr>
          <w:trHeight w:val="283"/>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Large accelerated filer</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Accelerated filer</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459"/>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Non-accelerated filer</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gridSpan w:val="3"/>
          </w:tcPr>
          <w:p>
            <w:pPr>
              <w:ind w:left="14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r>
      <w:tr>
        <w:trPr>
          <w:trHeight w:val="324"/>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Emerging growth company</w:t>
            </w:r>
          </w:p>
        </w:tc>
        <w:tc>
          <w:tcPr>
            <w:tcW w:w="960" w:type="dxa"/>
            <w:vAlign w:val="bottom"/>
          </w:tcPr>
          <w:p>
            <w:pPr>
              <w:spacing w:after="0"/>
              <w:rPr>
                <w:sz w:val="24"/>
                <w:szCs w:val="24"/>
                <w:color w:val="auto"/>
              </w:rPr>
            </w:pPr>
          </w:p>
        </w:tc>
        <w:tc>
          <w:tcPr>
            <w:tcW w:w="940" w:type="dxa"/>
            <w:vAlign w:val="bottom"/>
          </w:tcPr>
          <w:p>
            <w:pPr>
              <w:jc w:val="center"/>
              <w:ind w:left="410"/>
              <w:spacing w:after="0" w:line="181" w:lineRule="exact"/>
              <w:rPr>
                <w:sz w:val="20"/>
                <w:szCs w:val="20"/>
                <w:color w:val="auto"/>
              </w:rPr>
            </w:pPr>
            <w:r>
              <w:rPr>
                <w:rFonts w:ascii="MS PGothic" w:cs="MS PGothic" w:eastAsia="MS PGothic" w:hAnsi="MS PGothic"/>
                <w:sz w:val="18"/>
                <w:szCs w:val="18"/>
                <w:color w:val="auto"/>
                <w:w w:val="88"/>
              </w:rPr>
              <w:t>☐</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64" w:lineRule="exact"/>
        <w:rPr>
          <w:sz w:val="24"/>
          <w:szCs w:val="24"/>
          <w:color w:val="auto"/>
        </w:rPr>
      </w:pPr>
    </w:p>
    <w:p>
      <w:pPr>
        <w:jc w:val="both"/>
        <w:spacing w:after="0" w:line="23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As of April 28, 2022, the Registrant had 72,861,807 shares of Common Stock outstanding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94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auto"/>
                <w:w w:val="99"/>
              </w:rPr>
              <w:t>Page Reference</w:t>
            </w:r>
          </w:p>
        </w:tc>
        <w:tc>
          <w:tcPr>
            <w:tcW w:w="0" w:type="dxa"/>
            <w:vAlign w:val="bottom"/>
          </w:tcPr>
          <w:p>
            <w:pPr>
              <w:spacing w:after="0"/>
              <w:rPr>
                <w:sz w:val="1"/>
                <w:szCs w:val="1"/>
                <w:color w:val="auto"/>
              </w:rPr>
            </w:pPr>
          </w:p>
        </w:tc>
      </w:tr>
      <w:tr>
        <w:trPr>
          <w:trHeight w:val="370"/>
        </w:trPr>
        <w:tc>
          <w:tcPr>
            <w:tcW w:w="9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380" w:type="dxa"/>
            <w:vAlign w:val="bottom"/>
          </w:tcPr>
          <w:p>
            <w:pPr>
              <w:ind w:left="320"/>
              <w:spacing w:after="0"/>
              <w:rPr>
                <w:sz w:val="20"/>
                <w:szCs w:val="20"/>
                <w:color w:val="auto"/>
              </w:rPr>
            </w:pPr>
            <w:r>
              <w:rPr>
                <w:rFonts w:ascii="Arial" w:cs="Arial" w:eastAsia="Arial" w:hAnsi="Arial"/>
                <w:sz w:val="18"/>
                <w:szCs w:val="18"/>
                <w:color w:val="0000FF"/>
              </w:rPr>
              <w:t>FINANCIAL INFORMATION</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Balance Sheets as of March 31, 2022, and June 30, 2021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Income for the Three and Nine Months Ended March 31,</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2022, and 2021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Changes in Stockholders' Equity for the Three and Nine</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Months Ended March 31, 2022, and 2021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Condensed Consolidated Statements of Cash Flows for the Nine Months Ended March 31, 2022,</w:t>
            </w:r>
          </w:p>
        </w:tc>
        <w:tc>
          <w:tcPr>
            <w:tcW w:w="1740" w:type="dxa"/>
            <w:vAlign w:val="bottom"/>
            <w:gridSpan w:val="2"/>
            <w:vMerge w:val="restart"/>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40" w:type="dxa"/>
            <w:vAlign w:val="bottom"/>
          </w:tcPr>
          <w:p>
            <w:pPr>
              <w:spacing w:after="0"/>
              <w:rPr>
                <w:sz w:val="17"/>
                <w:szCs w:val="17"/>
                <w:color w:val="auto"/>
              </w:rPr>
            </w:pPr>
          </w:p>
        </w:tc>
        <w:tc>
          <w:tcPr>
            <w:tcW w:w="8380" w:type="dxa"/>
            <w:vAlign w:val="bottom"/>
          </w:tcPr>
          <w:p>
            <w:pPr>
              <w:ind w:left="320"/>
              <w:spacing w:after="0" w:line="202" w:lineRule="exact"/>
              <w:rPr>
                <w:sz w:val="20"/>
                <w:szCs w:val="20"/>
                <w:color w:val="auto"/>
              </w:rPr>
            </w:pPr>
            <w:r>
              <w:rPr>
                <w:rFonts w:ascii="Arial" w:cs="Arial" w:eastAsia="Arial" w:hAnsi="Arial"/>
                <w:sz w:val="18"/>
                <w:szCs w:val="18"/>
                <w:color w:val="0000FF"/>
              </w:rPr>
              <w:t>and 2021 (Unaudited)</w:t>
            </w:r>
          </w:p>
        </w:tc>
        <w:tc>
          <w:tcPr>
            <w:tcW w:w="1740" w:type="dxa"/>
            <w:vAlign w:val="bottom"/>
            <w:gridSpan w:val="2"/>
            <w:vMerge w:val="continue"/>
          </w:tcPr>
          <w:p>
            <w:pPr>
              <w:spacing w:after="0"/>
              <w:rPr>
                <w:sz w:val="17"/>
                <w:szCs w:val="17"/>
                <w:color w:val="auto"/>
              </w:rPr>
            </w:pPr>
          </w:p>
        </w:tc>
        <w:tc>
          <w:tcPr>
            <w:tcW w:w="100" w:type="dxa"/>
            <w:vAlign w:val="bottom"/>
            <w:tcBorders>
              <w:bottom w:val="single" w:sz="8" w:color="0000FF"/>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Notes to Condensed Consolidated Financial Statements (Unaudited)</w:t>
            </w:r>
          </w:p>
        </w:tc>
        <w:tc>
          <w:tcPr>
            <w:tcW w:w="17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320"/>
              <w:spacing w:after="0"/>
              <w:rPr>
                <w:sz w:val="20"/>
                <w:szCs w:val="20"/>
                <w:color w:val="auto"/>
              </w:rPr>
            </w:pPr>
            <w:r>
              <w:rPr>
                <w:rFonts w:ascii="Arial" w:cs="Arial" w:eastAsia="Arial" w:hAnsi="Arial"/>
                <w:sz w:val="18"/>
                <w:szCs w:val="18"/>
                <w:color w:val="0000FF"/>
              </w:rPr>
              <w:t>Quantitative and Qualitative Disclosures about Market Risk</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320"/>
              <w:spacing w:after="0"/>
              <w:rPr>
                <w:sz w:val="20"/>
                <w:szCs w:val="20"/>
                <w:color w:val="auto"/>
              </w:rPr>
            </w:pPr>
            <w:r>
              <w:rPr>
                <w:rFonts w:ascii="Arial" w:cs="Arial" w:eastAsia="Arial" w:hAnsi="Arial"/>
                <w:sz w:val="18"/>
                <w:szCs w:val="18"/>
                <w:color w:val="0000FF"/>
              </w:rPr>
              <w:t>Controls and Procedures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380" w:type="dxa"/>
            <w:vAlign w:val="bottom"/>
          </w:tcPr>
          <w:p>
            <w:pPr>
              <w:ind w:left="320"/>
              <w:spacing w:after="0"/>
              <w:rPr>
                <w:sz w:val="20"/>
                <w:szCs w:val="20"/>
                <w:color w:val="auto"/>
              </w:rPr>
            </w:pPr>
            <w:r>
              <w:rPr>
                <w:rFonts w:ascii="Arial" w:cs="Arial" w:eastAsia="Arial" w:hAnsi="Arial"/>
                <w:sz w:val="18"/>
                <w:szCs w:val="18"/>
                <w:color w:val="0000FF"/>
              </w:rPr>
              <w:t>OTHER INFORMATION</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320"/>
              <w:spacing w:after="0"/>
              <w:rPr>
                <w:sz w:val="20"/>
                <w:szCs w:val="20"/>
                <w:color w:val="auto"/>
              </w:rPr>
            </w:pPr>
            <w:r>
              <w:rPr>
                <w:rFonts w:ascii="Arial" w:cs="Arial" w:eastAsia="Arial" w:hAnsi="Arial"/>
                <w:sz w:val="18"/>
                <w:szCs w:val="18"/>
                <w:color w:val="0000FF"/>
              </w:rPr>
              <w:t>Legal Proceedings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320"/>
              <w:spacing w:after="0"/>
              <w:rPr>
                <w:sz w:val="20"/>
                <w:szCs w:val="20"/>
                <w:color w:val="auto"/>
              </w:rPr>
            </w:pPr>
            <w:r>
              <w:rPr>
                <w:rFonts w:ascii="Arial" w:cs="Arial" w:eastAsia="Arial" w:hAnsi="Arial"/>
                <w:sz w:val="18"/>
                <w:szCs w:val="18"/>
                <w:color w:val="0000FF"/>
              </w:rPr>
              <w:t>Unregistered Sales of Equity Securities and Use of Proceeds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320"/>
              <w:spacing w:after="0"/>
              <w:rPr>
                <w:sz w:val="20"/>
                <w:szCs w:val="20"/>
                <w:color w:val="auto"/>
              </w:rPr>
            </w:pPr>
            <w:r>
              <w:rPr>
                <w:rFonts w:ascii="Arial" w:cs="Arial" w:eastAsia="Arial" w:hAnsi="Arial"/>
                <w:sz w:val="18"/>
                <w:szCs w:val="18"/>
                <w:color w:val="0000FF"/>
              </w:rPr>
              <w:t>Exhibits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0000FF"/>
              </w:rPr>
              <w:t>Signatures</w:t>
            </w:r>
          </w:p>
        </w:tc>
        <w:tc>
          <w:tcPr>
            <w:tcW w:w="16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this report, all references to "Jack Henry," “JKHY,” the “Company,” “we,” “us,” and “our,” refer to Jack Henry &amp; Associates, Inc., and its wholly owned subsidiaries.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 "Exchange Act"). Forward-looking statements may appear throughout this report, including without limitation, in Management's Discussion and Analysis of Financial Condition and Results of Operations. Forward-looking statements generally are identified by the words “believe,” “project,” “expect,” “seek,” “anticipate,” “estimate,” “future,” “intend,” “plan,” “strategy,” “predict,” “likely,” “should,” “will,” “would,” “could,” “can,” “may,” and similar expressions. Forward-looking statements are based only on management’s current beliefs, expectations and assumptions regarding the future of the Company, future plans and strategies, projections, anticipated events and trends, the economy and other future conditions. Because forward-looking statements relate to the future, they are subject to inherent risks and uncertainties that could cause actual results to differ materially from those expressed or implied by such statements. Such risks and uncertainties include, but are not limited to, those discussed in this Quarterly Report on Form 10-Q, those discussed in our Annual Report on Form 10-K for the fiscal year ended June 30, 2021, in particular, those included in Item 1A, “Risk Factors” of such report, and those discussed in other documents we file with the Securities and Exchange Commission (“SEC”). Any forward-looking statement made in this report speaks only as of the date of this report, and the Company expressly disclaims any obligation to publicly update or revise any forward-looking statement,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6" w:right="1440"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jc w:val="center"/>
              <w:ind w:left="30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jc w:val="center"/>
              <w:ind w:left="33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jc w:val="center"/>
              <w:ind w:left="3330"/>
              <w:spacing w:after="0"/>
              <w:rPr>
                <w:sz w:val="20"/>
                <w:szCs w:val="20"/>
                <w:color w:val="auto"/>
              </w:rPr>
            </w:pPr>
            <w:r>
              <w:rPr>
                <w:rFonts w:ascii="Arial" w:cs="Arial" w:eastAsia="Arial" w:hAnsi="Arial"/>
                <w:sz w:val="18"/>
                <w:szCs w:val="18"/>
                <w:color w:val="auto"/>
              </w:rPr>
              <w:t>(In Thousands, Except Share and Per Share Data)</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50"/>
              <w:spacing w:after="0"/>
              <w:rPr>
                <w:sz w:val="20"/>
                <w:szCs w:val="20"/>
                <w:color w:val="auto"/>
              </w:rPr>
            </w:pPr>
            <w:r>
              <w:rPr>
                <w:rFonts w:ascii="Arial" w:cs="Arial" w:eastAsia="Arial" w:hAnsi="Arial"/>
                <w:sz w:val="18"/>
                <w:szCs w:val="18"/>
                <w:color w:val="auto"/>
                <w:w w:val="99"/>
              </w:rPr>
              <w:t>(Unaudited)</w:t>
            </w:r>
          </w:p>
        </w:tc>
        <w:tc>
          <w:tcPr>
            <w:tcW w:w="300" w:type="dxa"/>
            <w:vAlign w:val="bottom"/>
          </w:tcPr>
          <w:p>
            <w:pPr>
              <w:spacing w:after="0"/>
              <w:rPr>
                <w:sz w:val="20"/>
                <w:szCs w:val="20"/>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20"/>
                <w:szCs w:val="20"/>
                <w:color w:val="auto"/>
              </w:rPr>
            </w:pPr>
          </w:p>
        </w:tc>
        <w:tc>
          <w:tcPr>
            <w:tcW w:w="1360" w:type="dxa"/>
            <w:vAlign w:val="bottom"/>
            <w:vMerge w:val="restart"/>
          </w:tcPr>
          <w:p>
            <w:pPr>
              <w:jc w:val="right"/>
              <w:ind w:right="3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171"/>
        </w:trPr>
        <w:tc>
          <w:tcPr>
            <w:tcW w:w="7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8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74"/>
        </w:trPr>
        <w:tc>
          <w:tcPr>
            <w:tcW w:w="7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50,992</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222,696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306,564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30,243</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126,174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109,723</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costs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46,215</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Assets held for sale</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470,898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543,737</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215,331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252,481</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Non-current deferred costs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136,425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127,205</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Computer software, net of amortization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368,094</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263,937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249,210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relationships, net of amortization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81,842</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Other intangible assets, net of amortization</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26,753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26,129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687,458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687,458</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other assets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1,585,874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1,539,938</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2,272,103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2,336,156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14,415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18,485</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155,476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182,517</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Notes payable and current maturities of long-term debt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150,169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319,748</w:t>
            </w:r>
          </w:p>
        </w:tc>
        <w:tc>
          <w:tcPr>
            <w:tcW w:w="0" w:type="dxa"/>
            <w:vAlign w:val="bottom"/>
          </w:tcPr>
          <w:p>
            <w:pPr>
              <w:spacing w:after="0"/>
              <w:rPr>
                <w:sz w:val="1"/>
                <w:szCs w:val="1"/>
                <w:color w:val="auto"/>
              </w:rPr>
            </w:pPr>
          </w:p>
        </w:tc>
      </w:tr>
      <w:tr>
        <w:trPr>
          <w:trHeight w:val="223"/>
        </w:trPr>
        <w:tc>
          <w:tcPr>
            <w:tcW w:w="7820" w:type="dxa"/>
            <w:vAlign w:val="bottom"/>
          </w:tcPr>
          <w:p>
            <w:pPr>
              <w:ind w:left="56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320,161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520,860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Non-current deferred revenues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67,444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75,852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liability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276,439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260,758</w:t>
            </w:r>
          </w:p>
        </w:tc>
        <w:tc>
          <w:tcPr>
            <w:tcW w:w="0" w:type="dxa"/>
            <w:vAlign w:val="bottom"/>
          </w:tcPr>
          <w:p>
            <w:pPr>
              <w:spacing w:after="0"/>
              <w:rPr>
                <w:sz w:val="1"/>
                <w:szCs w:val="1"/>
                <w:color w:val="auto"/>
              </w:rPr>
            </w:pPr>
          </w:p>
        </w:tc>
      </w:tr>
      <w:tr>
        <w:trPr>
          <w:trHeight w:val="229"/>
        </w:trPr>
        <w:tc>
          <w:tcPr>
            <w:tcW w:w="7820" w:type="dxa"/>
            <w:vAlign w:val="bottom"/>
          </w:tcPr>
          <w:p>
            <w:pPr>
              <w:ind w:left="140"/>
              <w:spacing w:after="0"/>
              <w:rPr>
                <w:sz w:val="20"/>
                <w:szCs w:val="20"/>
                <w:color w:val="auto"/>
              </w:rPr>
            </w:pPr>
            <w:r>
              <w:rPr>
                <w:rFonts w:ascii="Arial" w:cs="Arial" w:eastAsia="Arial" w:hAnsi="Arial"/>
                <w:sz w:val="18"/>
                <w:szCs w:val="18"/>
                <w:color w:val="auto"/>
              </w:rPr>
              <w:t>Debt, net of current maturities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225,002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100,083</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54,449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59,311</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long-term liabilities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623,334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496,004</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943,495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1,016,864</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-$1 par value; 500,000 shares authorized, none issued</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20" w:type="dxa"/>
            <w:vAlign w:val="bottom"/>
          </w:tcPr>
          <w:p>
            <w:pPr>
              <w:ind w:left="140"/>
              <w:spacing w:after="0" w:line="176" w:lineRule="exact"/>
              <w:rPr>
                <w:sz w:val="20"/>
                <w:szCs w:val="20"/>
                <w:color w:val="auto"/>
              </w:rPr>
            </w:pPr>
            <w:r>
              <w:rPr>
                <w:rFonts w:ascii="Arial" w:cs="Arial" w:eastAsia="Arial" w:hAnsi="Arial"/>
                <w:sz w:val="18"/>
                <w:szCs w:val="18"/>
                <w:color w:val="auto"/>
              </w:rPr>
              <w:t>Common stock - $0.01 par value; 250,000,000 shares authorized;</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tcPr>
          <w:p>
            <w:pPr>
              <w:ind w:left="340"/>
              <w:spacing w:after="0" w:line="183" w:lineRule="exact"/>
              <w:rPr>
                <w:sz w:val="20"/>
                <w:szCs w:val="20"/>
                <w:color w:val="auto"/>
              </w:rPr>
            </w:pPr>
            <w:r>
              <w:rPr>
                <w:rFonts w:ascii="Arial" w:cs="Arial" w:eastAsia="Arial" w:hAnsi="Arial"/>
                <w:sz w:val="18"/>
                <w:szCs w:val="18"/>
                <w:color w:val="auto"/>
              </w:rPr>
              <w:t>103,895,934 shares issued at March 31, 2022;</w:t>
            </w: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1,039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5"/>
        </w:trPr>
        <w:tc>
          <w:tcPr>
            <w:tcW w:w="7820" w:type="dxa"/>
            <w:vAlign w:val="bottom"/>
          </w:tcPr>
          <w:p>
            <w:pPr>
              <w:ind w:left="400"/>
              <w:spacing w:after="0"/>
              <w:rPr>
                <w:sz w:val="20"/>
                <w:szCs w:val="20"/>
                <w:color w:val="auto"/>
              </w:rPr>
            </w:pPr>
            <w:r>
              <w:rPr>
                <w:rFonts w:ascii="Arial" w:cs="Arial" w:eastAsia="Arial" w:hAnsi="Arial"/>
                <w:sz w:val="18"/>
                <w:szCs w:val="18"/>
                <w:color w:val="auto"/>
              </w:rPr>
              <w:t>103,795,169 shares issued at June 30, 2021</w:t>
            </w: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518,960</w:t>
            </w: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2,591,610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2,412,496</w:t>
            </w: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treasury stock at cost</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820" w:type="dxa"/>
            <w:vAlign w:val="bottom"/>
            <w:shd w:val="clear" w:color="auto" w:fill="CCEEFF"/>
          </w:tcPr>
          <w:p>
            <w:pPr>
              <w:ind w:left="340"/>
              <w:spacing w:after="0" w:line="183" w:lineRule="exact"/>
              <w:rPr>
                <w:sz w:val="20"/>
                <w:szCs w:val="20"/>
                <w:color w:val="auto"/>
              </w:rPr>
            </w:pPr>
            <w:r>
              <w:rPr>
                <w:rFonts w:ascii="Arial" w:cs="Arial" w:eastAsia="Arial" w:hAnsi="Arial"/>
                <w:sz w:val="18"/>
                <w:szCs w:val="18"/>
                <w:color w:val="auto"/>
              </w:rPr>
              <w:t>31,042,903 shares at March 31, 2022;</w:t>
            </w: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(1,807,118)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(1,613,202)</w:t>
            </w:r>
          </w:p>
        </w:tc>
        <w:tc>
          <w:tcPr>
            <w:tcW w:w="0" w:type="dxa"/>
            <w:vAlign w:val="bottom"/>
          </w:tcPr>
          <w:p>
            <w:pPr>
              <w:spacing w:after="0"/>
              <w:rPr>
                <w:sz w:val="1"/>
                <w:szCs w:val="1"/>
                <w:color w:val="auto"/>
              </w:rPr>
            </w:pPr>
          </w:p>
        </w:tc>
      </w:tr>
      <w:tr>
        <w:trPr>
          <w:trHeight w:val="235"/>
        </w:trPr>
        <w:tc>
          <w:tcPr>
            <w:tcW w:w="7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29,792,903 shares at June 30, 2021</w:t>
            </w: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1,328,608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1,319,292</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2,272,103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2,336,156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20" w:type="dxa"/>
            <w:vAlign w:val="bottom"/>
            <w:gridSpan w:val="8"/>
          </w:tcPr>
          <w:p>
            <w:pPr>
              <w:jc w:val="center"/>
              <w:ind w:left="305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120" w:type="dxa"/>
            <w:vAlign w:val="bottom"/>
            <w:gridSpan w:val="8"/>
          </w:tcPr>
          <w:p>
            <w:pPr>
              <w:jc w:val="center"/>
              <w:ind w:left="305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4280" w:type="dxa"/>
            <w:vAlign w:val="bottom"/>
            <w:gridSpan w:val="7"/>
          </w:tcPr>
          <w:p>
            <w:pPr>
              <w:jc w:val="center"/>
              <w:ind w:right="720"/>
              <w:spacing w:after="0"/>
              <w:rPr>
                <w:sz w:val="20"/>
                <w:szCs w:val="20"/>
                <w:color w:val="auto"/>
              </w:rPr>
            </w:pPr>
            <w:r>
              <w:rPr>
                <w:rFonts w:ascii="Arial" w:cs="Arial" w:eastAsia="Arial" w:hAnsi="Arial"/>
                <w:sz w:val="18"/>
                <w:szCs w:val="18"/>
                <w:color w:val="auto"/>
              </w:rPr>
              <w:t>(In Thousands, Except Per Share Data)</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3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(Unaudited)</w:t>
            </w: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18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78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3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r>
      <w:tr>
        <w:trPr>
          <w:trHeight w:val="223"/>
        </w:trPr>
        <w:tc>
          <w:tcPr>
            <w:tcW w:w="3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r>
      <w:tr>
        <w:trPr>
          <w:trHeight w:val="237"/>
        </w:trPr>
        <w:tc>
          <w:tcPr>
            <w:tcW w:w="3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478,260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1,460,212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1,307,938</w:t>
            </w:r>
          </w:p>
        </w:tc>
      </w:tr>
      <w:tr>
        <w:trPr>
          <w:trHeight w:val="257"/>
        </w:trPr>
        <w:tc>
          <w:tcPr>
            <w:tcW w:w="3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282,339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267,770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841,799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788,481</w:t>
            </w: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87,394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80,233</w:t>
            </w:r>
          </w:p>
        </w:tc>
      </w:tr>
      <w:tr>
        <w:trPr>
          <w:trHeight w:val="230"/>
        </w:trPr>
        <w:tc>
          <w:tcPr>
            <w:tcW w:w="3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53,607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160,172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136,801</w:t>
            </w:r>
          </w:p>
        </w:tc>
      </w:tr>
      <w:tr>
        <w:trPr>
          <w:trHeight w:val="223"/>
        </w:trPr>
        <w:tc>
          <w:tcPr>
            <w:tcW w:w="38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Expenses</w:t>
            </w:r>
          </w:p>
        </w:tc>
        <w:tc>
          <w:tcPr>
            <w:tcW w:w="7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366,671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1,089,365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1,005,515</w:t>
            </w:r>
          </w:p>
        </w:tc>
      </w:tr>
      <w:tr>
        <w:trPr>
          <w:trHeight w:val="237"/>
        </w:trPr>
        <w:tc>
          <w:tcPr>
            <w:tcW w:w="3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111,589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370,847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302,423</w:t>
            </w:r>
          </w:p>
        </w:tc>
      </w:tr>
      <w:tr>
        <w:trPr>
          <w:trHeight w:val="257"/>
        </w:trPr>
        <w:tc>
          <w:tcPr>
            <w:tcW w:w="3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23"/>
        </w:trPr>
        <w:tc>
          <w:tcPr>
            <w:tcW w:w="3840" w:type="dxa"/>
            <w:vAlign w:val="bottom"/>
            <w:tcBorders>
              <w:bottom w:val="single" w:sz="8" w:color="CCEEFF"/>
            </w:tcBorders>
          </w:tcPr>
          <w:p>
            <w:pPr>
              <w:ind w:left="560"/>
              <w:spacing w:after="0"/>
              <w:rPr>
                <w:sz w:val="20"/>
                <w:szCs w:val="20"/>
                <w:color w:val="auto"/>
              </w:rPr>
            </w:pPr>
            <w:r>
              <w:rPr>
                <w:rFonts w:ascii="Arial" w:cs="Arial" w:eastAsia="Arial" w:hAnsi="Arial"/>
                <w:sz w:val="18"/>
                <w:szCs w:val="18"/>
                <w:b w:val="1"/>
                <w:bCs w:val="1"/>
                <w:color w:val="auto"/>
              </w:rPr>
              <w:t>Total Interest Income (Expense)</w:t>
            </w:r>
          </w:p>
        </w:tc>
        <w:tc>
          <w:tcPr>
            <w:tcW w:w="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r>
      <w:tr>
        <w:trPr>
          <w:trHeight w:val="236"/>
        </w:trPr>
        <w:tc>
          <w:tcPr>
            <w:tcW w:w="38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110,901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90,937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369,476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302,042</w:t>
            </w:r>
          </w:p>
        </w:tc>
      </w:tr>
      <w:tr>
        <w:trPr>
          <w:trHeight w:val="257"/>
        </w:trPr>
        <w:tc>
          <w:tcPr>
            <w:tcW w:w="38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26,194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86,986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67,435</w:t>
            </w:r>
          </w:p>
        </w:tc>
      </w:tr>
      <w:tr>
        <w:trPr>
          <w:trHeight w:val="257"/>
        </w:trPr>
        <w:tc>
          <w:tcPr>
            <w:tcW w:w="38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7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84,707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282,490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234,607</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38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11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3.84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76,022</w:t>
            </w:r>
          </w:p>
        </w:tc>
      </w:tr>
      <w:tr>
        <w:trPr>
          <w:trHeight w:val="256"/>
        </w:trPr>
        <w:tc>
          <w:tcPr>
            <w:tcW w:w="3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47"/>
        </w:trPr>
        <w:tc>
          <w:tcPr>
            <w:tcW w:w="384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73,019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73,619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76,141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gridSpan w:val="7"/>
          </w:tcPr>
          <w:p>
            <w:pPr>
              <w:jc w:val="center"/>
              <w:ind w:left="293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0" w:type="dxa"/>
            <w:vAlign w:val="bottom"/>
            <w:gridSpan w:val="10"/>
          </w:tcPr>
          <w:p>
            <w:pPr>
              <w:jc w:val="center"/>
              <w:ind w:left="1370"/>
              <w:spacing w:after="0"/>
              <w:rPr>
                <w:sz w:val="20"/>
                <w:szCs w:val="20"/>
                <w:color w:val="auto"/>
              </w:rPr>
            </w:pPr>
            <w:r>
              <w:rPr>
                <w:rFonts w:ascii="Arial" w:cs="Arial" w:eastAsia="Arial" w:hAnsi="Arial"/>
                <w:sz w:val="18"/>
                <w:szCs w:val="18"/>
                <w:b w:val="1"/>
                <w:bCs w:val="1"/>
                <w:color w:val="auto"/>
                <w:w w:val="99"/>
              </w:rPr>
              <w:t>CONDENSED CONSOLIDATED STATEMENTS OF CHANGES IN STOCKHOLDERS' EQUITY</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7"/>
          </w:tcPr>
          <w:p>
            <w:pPr>
              <w:jc w:val="center"/>
              <w:ind w:left="2910"/>
              <w:spacing w:after="0"/>
              <w:rPr>
                <w:sz w:val="20"/>
                <w:szCs w:val="20"/>
                <w:color w:val="auto"/>
              </w:rPr>
            </w:pPr>
            <w:r>
              <w:rPr>
                <w:rFonts w:ascii="Arial" w:cs="Arial" w:eastAsia="Arial" w:hAnsi="Arial"/>
                <w:sz w:val="18"/>
                <w:szCs w:val="18"/>
                <w:color w:val="auto"/>
              </w:rPr>
              <w:t>(In Thousands, Except Share and Per Share Data)</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19"/>
                <w:szCs w:val="19"/>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color w:val="auto"/>
              </w:rPr>
              <w:t>(Unaudited)</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5"/>
          </w:tcPr>
          <w:p>
            <w:pPr>
              <w:ind w:left="3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7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5"/>
        </w:trPr>
        <w:tc>
          <w:tcPr>
            <w:tcW w:w="5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SHARES:</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SHARES: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Shares, beginning of period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103,860,246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103,736,703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103,795,169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103,622,563</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84,893</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20,635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59,179</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58,322</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Shares, end of period</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103,895,934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103,765,778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103,895,934</w:t>
            </w:r>
          </w:p>
        </w:tc>
        <w:tc>
          <w:tcPr>
            <w:tcW w:w="1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103,765,778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 - PAR VALUE $0.01 PER SHARE: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1,038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140" w:type="dxa"/>
            <w:vAlign w:val="bottom"/>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128"/>
        </w:trPr>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535,493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503,205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518,960</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495,005</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equity-based payment arrangements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140" w:type="dxa"/>
            <w:vAlign w:val="bottom"/>
          </w:tcPr>
          <w:p>
            <w:pPr>
              <w:ind w:left="220"/>
              <w:spacing w:after="0"/>
              <w:rPr>
                <w:sz w:val="20"/>
                <w:szCs w:val="20"/>
                <w:color w:val="auto"/>
              </w:rPr>
            </w:pPr>
            <w:r>
              <w:rPr>
                <w:rFonts w:ascii="Arial" w:cs="Arial" w:eastAsia="Arial" w:hAnsi="Arial"/>
                <w:sz w:val="18"/>
                <w:szCs w:val="18"/>
                <w:color w:val="auto"/>
              </w:rPr>
              <w:t>Tax withholding related to share-based compensation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(1,711)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(3,709)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for Employee Stock Purchase Plan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19,303</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543,077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543,077</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510,800</w:t>
            </w:r>
          </w:p>
        </w:tc>
        <w:tc>
          <w:tcPr>
            <w:tcW w:w="0" w:type="dxa"/>
            <w:vAlign w:val="bottom"/>
          </w:tcPr>
          <w:p>
            <w:pPr>
              <w:spacing w:after="0"/>
              <w:rPr>
                <w:sz w:val="1"/>
                <w:szCs w:val="1"/>
                <w:color w:val="auto"/>
              </w:rPr>
            </w:pPr>
          </w:p>
        </w:tc>
      </w:tr>
      <w:tr>
        <w:trPr>
          <w:trHeight w:val="128"/>
        </w:trPr>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2,542,583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2,332,509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2,412,496</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2,235,320</w:t>
            </w:r>
          </w:p>
        </w:tc>
        <w:tc>
          <w:tcPr>
            <w:tcW w:w="0" w:type="dxa"/>
            <w:vAlign w:val="bottom"/>
          </w:tcPr>
          <w:p>
            <w:pPr>
              <w:spacing w:after="0"/>
              <w:rPr>
                <w:sz w:val="1"/>
                <w:szCs w:val="1"/>
                <w:color w:val="auto"/>
              </w:rPr>
            </w:pPr>
          </w:p>
        </w:tc>
      </w:tr>
      <w:tr>
        <w:trPr>
          <w:trHeight w:val="176"/>
        </w:trPr>
        <w:tc>
          <w:tcPr>
            <w:tcW w:w="5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Cumulative effect of Accounting Standards Update adoption</w:t>
            </w:r>
          </w:p>
        </w:tc>
        <w:tc>
          <w:tcPr>
            <w:tcW w:w="2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1)</w:t>
            </w:r>
          </w:p>
        </w:tc>
        <w:tc>
          <w:tcPr>
            <w:tcW w:w="24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84,707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71,409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282,490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234,607</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(35,680)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(103,376)</w:t>
            </w:r>
          </w:p>
        </w:tc>
        <w:tc>
          <w:tcPr>
            <w:tcW w:w="1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(99,778)</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2,591,610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2,369,656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2,591,610</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2,369,656</w:t>
            </w:r>
          </w:p>
        </w:tc>
        <w:tc>
          <w:tcPr>
            <w:tcW w:w="0" w:type="dxa"/>
            <w:vAlign w:val="bottom"/>
          </w:tcPr>
          <w:p>
            <w:pPr>
              <w:spacing w:after="0"/>
              <w:rPr>
                <w:sz w:val="1"/>
                <w:szCs w:val="1"/>
                <w:color w:val="auto"/>
              </w:rPr>
            </w:pPr>
          </w:p>
        </w:tc>
      </w:tr>
      <w:tr>
        <w:trPr>
          <w:trHeight w:val="129"/>
        </w:trPr>
        <w:tc>
          <w:tcPr>
            <w:tcW w:w="5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TREASURY STOCK:</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(1,807,118)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(1,291,572)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(1,613,202)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(1,181,673)</w:t>
            </w: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Purchase of treasury shares</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(274,479)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(193,916)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(384,378)</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Balance, end of period</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(1,807,118)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(1,566,051)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(1,807,118)</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(1,566,051)</w:t>
            </w:r>
          </w:p>
        </w:tc>
        <w:tc>
          <w:tcPr>
            <w:tcW w:w="0" w:type="dxa"/>
            <w:vAlign w:val="bottom"/>
          </w:tcPr>
          <w:p>
            <w:pPr>
              <w:spacing w:after="0"/>
              <w:rPr>
                <w:sz w:val="1"/>
                <w:szCs w:val="1"/>
                <w:color w:val="auto"/>
              </w:rPr>
            </w:pPr>
          </w:p>
        </w:tc>
      </w:tr>
      <w:tr>
        <w:trPr>
          <w:trHeight w:val="129"/>
        </w:trPr>
        <w:tc>
          <w:tcPr>
            <w:tcW w:w="51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1,328,608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1,328,608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1,315,443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share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8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9"/>
              </w:rPr>
              <w:t>JACK HENRY &amp; ASSOCIATES, INC. AND SUBSIDIARIES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jc w:val="center"/>
              <w:ind w:left="3330"/>
              <w:spacing w:after="0"/>
              <w:rPr>
                <w:sz w:val="20"/>
                <w:szCs w:val="20"/>
                <w:color w:val="auto"/>
              </w:rPr>
            </w:pPr>
            <w:r>
              <w:rPr>
                <w:rFonts w:ascii="Arial" w:cs="Arial" w:eastAsia="Arial" w:hAnsi="Arial"/>
                <w:sz w:val="18"/>
                <w:szCs w:val="18"/>
                <w:color w:val="auto"/>
                <w:w w:val="99"/>
              </w:rPr>
              <w:t>(In Thousands)</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jc w:val="center"/>
              <w:ind w:left="3350"/>
              <w:spacing w:after="0"/>
              <w:rPr>
                <w:sz w:val="20"/>
                <w:szCs w:val="20"/>
                <w:color w:val="auto"/>
              </w:rPr>
            </w:pPr>
            <w:r>
              <w:rPr>
                <w:rFonts w:ascii="Arial" w:cs="Arial" w:eastAsia="Arial" w:hAnsi="Arial"/>
                <w:sz w:val="18"/>
                <w:szCs w:val="18"/>
                <w:color w:val="auto"/>
                <w:w w:val="99"/>
              </w:rPr>
              <w:t>(Unaudited)</w:t>
            </w:r>
          </w:p>
        </w:tc>
        <w:tc>
          <w:tcPr>
            <w:tcW w:w="560" w:type="dxa"/>
            <w:vAlign w:val="bottom"/>
          </w:tcPr>
          <w:p>
            <w:pPr>
              <w:spacing w:after="0"/>
              <w:rPr>
                <w:sz w:val="20"/>
                <w:szCs w:val="20"/>
                <w:color w:val="auto"/>
              </w:rPr>
            </w:pPr>
          </w:p>
        </w:tc>
        <w:tc>
          <w:tcPr>
            <w:tcW w:w="2860" w:type="dxa"/>
            <w:vAlign w:val="bottom"/>
            <w:gridSpan w:val="4"/>
            <w:vMerge w:val="restart"/>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0"/>
        </w:trPr>
        <w:tc>
          <w:tcPr>
            <w:tcW w:w="7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8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42"/>
        </w:trPr>
        <w:tc>
          <w:tcPr>
            <w:tcW w:w="7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282,490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234,607</w:t>
            </w: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income from operations</w:t>
            </w:r>
          </w:p>
        </w:tc>
        <w:tc>
          <w:tcPr>
            <w:tcW w:w="5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 net cash from operating activities:</w:t>
            </w: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38,339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39,816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94,563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92,189</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deferred income taxes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15,681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13,205</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for stock-based compensation</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(Gain)/loss on disposal of assets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receivables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83,868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92,716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prepaid expenses, deferred costs and other</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(51,255)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(34,886)</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Change in accounts payable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accrued expenses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(19,164)</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Change in income taxes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26,885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13,629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deferred revenues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(177,987)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(177,021)</w:t>
            </w:r>
          </w:p>
        </w:tc>
        <w:tc>
          <w:tcPr>
            <w:tcW w:w="0" w:type="dxa"/>
            <w:vAlign w:val="bottom"/>
          </w:tcPr>
          <w:p>
            <w:pPr>
              <w:spacing w:after="0"/>
              <w:rPr>
                <w:sz w:val="1"/>
                <w:szCs w:val="1"/>
                <w:color w:val="auto"/>
              </w:rPr>
            </w:pPr>
          </w:p>
        </w:tc>
      </w:tr>
      <w:tr>
        <w:trPr>
          <w:trHeight w:val="223"/>
        </w:trPr>
        <w:tc>
          <w:tcPr>
            <w:tcW w:w="7820" w:type="dxa"/>
            <w:vAlign w:val="bottom"/>
          </w:tcPr>
          <w:p>
            <w:pPr>
              <w:ind w:left="480"/>
              <w:spacing w:after="0"/>
              <w:rPr>
                <w:sz w:val="20"/>
                <w:szCs w:val="20"/>
                <w:color w:val="auto"/>
              </w:rPr>
            </w:pPr>
            <w:r>
              <w:rPr>
                <w:rFonts w:ascii="Arial" w:cs="Arial" w:eastAsia="Arial" w:hAnsi="Arial"/>
                <w:sz w:val="18"/>
                <w:szCs w:val="18"/>
                <w:b w:val="1"/>
                <w:bCs w:val="1"/>
                <w:color w:val="auto"/>
              </w:rPr>
              <w:t>Net cash from operating activities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301,397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266,315</w:t>
            </w:r>
          </w:p>
        </w:tc>
        <w:tc>
          <w:tcPr>
            <w:tcW w:w="0" w:type="dxa"/>
            <w:vAlign w:val="bottom"/>
          </w:tcPr>
          <w:p>
            <w:pPr>
              <w:spacing w:after="0"/>
              <w:rPr>
                <w:sz w:val="1"/>
                <w:szCs w:val="1"/>
                <w:color w:val="auto"/>
              </w:rPr>
            </w:pPr>
          </w:p>
        </w:tc>
      </w:tr>
      <w:tr>
        <w:trPr>
          <w:trHeight w:val="148"/>
        </w:trPr>
        <w:tc>
          <w:tcPr>
            <w:tcW w:w="78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for acquisitions, net of cash acquired</w:t>
            </w:r>
          </w:p>
        </w:tc>
        <w:tc>
          <w:tcPr>
            <w:tcW w:w="5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(28,386)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dispositions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Purchased software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(7,726)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 software developed</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(108,950)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(95,991)</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 of investments</w:t>
            </w:r>
          </w:p>
        </w:tc>
        <w:tc>
          <w:tcPr>
            <w:tcW w:w="5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23"/>
        </w:trPr>
        <w:tc>
          <w:tcPr>
            <w:tcW w:w="78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investing activities</w:t>
            </w:r>
          </w:p>
        </w:tc>
        <w:tc>
          <w:tcPr>
            <w:tcW w:w="5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(145,024)</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(126,140)</w:t>
            </w:r>
          </w:p>
        </w:tc>
        <w:tc>
          <w:tcPr>
            <w:tcW w:w="0" w:type="dxa"/>
            <w:vAlign w:val="bottom"/>
          </w:tcPr>
          <w:p>
            <w:pPr>
              <w:spacing w:after="0"/>
              <w:rPr>
                <w:sz w:val="1"/>
                <w:szCs w:val="1"/>
                <w:color w:val="auto"/>
              </w:rPr>
            </w:pPr>
          </w:p>
        </w:tc>
      </w:tr>
      <w:tr>
        <w:trPr>
          <w:trHeight w:val="162"/>
        </w:trPr>
        <w:tc>
          <w:tcPr>
            <w:tcW w:w="7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Borrowings on credit facilities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292,000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on credit facilities and financing leases</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(167,091)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Purchase of treasury stock</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(193,916)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(384,378)</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(103,376)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(99,778)</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5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withholding payments related to share-based compensation</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common stock</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8,019</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cash from financing activities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(167,568)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(283,404)</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560" w:type="dxa"/>
            <w:vAlign w:val="bottom"/>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(11,195)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(143,229)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50,992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213,345</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39,797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70,116</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left="340" w:right="2680"/>
        <w:spacing w:after="0" w:line="265" w:lineRule="auto"/>
        <w:rPr>
          <w:sz w:val="20"/>
          <w:szCs w:val="20"/>
          <w:color w:val="auto"/>
        </w:rPr>
      </w:pPr>
      <w:r>
        <w:rPr>
          <w:rFonts w:ascii="Arial" w:cs="Arial" w:eastAsia="Arial" w:hAnsi="Arial"/>
          <w:sz w:val="18"/>
          <w:szCs w:val="18"/>
          <w:b w:val="1"/>
          <w:bCs w:val="1"/>
          <w:color w:val="auto"/>
        </w:rPr>
        <w:t xml:space="preserve">JACK HENRY &amp; ASSOCIATES, INC. AND SUBSIDIARIES NOTES TO CONDENSED CONSOLIDATED FINANCIAL STATEMENTS </w:t>
      </w:r>
      <w:r>
        <w:rPr>
          <w:rFonts w:ascii="Arial" w:cs="Arial" w:eastAsia="Arial" w:hAnsi="Arial"/>
          <w:sz w:val="18"/>
          <w:szCs w:val="18"/>
          <w:color w:val="auto"/>
        </w:rPr>
        <w:t>(In Thousands, Except Per Share Amounts) (Unaudited)</w:t>
      </w:r>
    </w:p>
    <w:p>
      <w:pPr>
        <w:spacing w:after="0" w:line="200" w:lineRule="exact"/>
        <w:rPr>
          <w:sz w:val="20"/>
          <w:szCs w:val="20"/>
          <w:color w:val="auto"/>
        </w:rPr>
      </w:pPr>
    </w:p>
    <w:p>
      <w:pPr>
        <w:spacing w:after="0" w:line="221" w:lineRule="exact"/>
        <w:rPr>
          <w:sz w:val="20"/>
          <w:szCs w:val="20"/>
          <w:color w:val="auto"/>
        </w:rPr>
      </w:pPr>
    </w:p>
    <w:p>
      <w:pPr>
        <w:ind w:right="3060"/>
        <w:spacing w:after="0" w:line="352" w:lineRule="auto"/>
        <w:rPr>
          <w:sz w:val="20"/>
          <w:szCs w:val="20"/>
          <w:color w:val="auto"/>
        </w:rPr>
      </w:pPr>
      <w:r>
        <w:rPr>
          <w:rFonts w:ascii="Arial" w:cs="Arial" w:eastAsia="Arial" w:hAnsi="Arial"/>
          <w:sz w:val="18"/>
          <w:szCs w:val="18"/>
          <w:color w:val="auto"/>
        </w:rPr>
        <w:t xml:space="preserve">NOTE 1. NATURE OF OPERATIONS AND SUMMARY OF SIGNIFICANT ACCOUNTING POLICIES </w:t>
      </w:r>
      <w:r>
        <w:rPr>
          <w:rFonts w:ascii="Arial" w:cs="Arial" w:eastAsia="Arial" w:hAnsi="Arial"/>
          <w:sz w:val="18"/>
          <w:szCs w:val="18"/>
          <w:b w:val="1"/>
          <w:bCs w:val="1"/>
          <w:color w:val="auto"/>
        </w:rPr>
        <w:t>Description of the Company</w:t>
      </w:r>
    </w:p>
    <w:p>
      <w:pPr>
        <w:jc w:val="both"/>
        <w:spacing w:after="0" w:line="257" w:lineRule="auto"/>
        <w:rPr>
          <w:sz w:val="20"/>
          <w:szCs w:val="20"/>
          <w:color w:val="auto"/>
        </w:rPr>
      </w:pPr>
      <w:r>
        <w:rPr>
          <w:rFonts w:ascii="Arial" w:cs="Arial" w:eastAsia="Arial" w:hAnsi="Arial"/>
          <w:sz w:val="18"/>
          <w:szCs w:val="18"/>
          <w:color w:val="auto"/>
        </w:rPr>
        <w:t>Jack Henry &amp; Associates, Inc. and subsidiaries ("Jack Henry," "JKHY," or the "Company") is a leading provider of technology solutions and payment processing services primarily for the financial services industry. The Company has developed and acquired a number of banking and credit union software systems. The Company's revenues are predominately earned by marketing those systems to financial institutions nationwide, by providing the conversion and implementation services for financial institutions to utilize JKHY systems, and by providing payment processing and other related services. JKHY also provides continuing support and services to customers using on-premise or JKHY private and public cloud-based systems.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condensed consolidated financial statements include the accounts of JKHY and its subsidiaries, all of which are wholly owned. All intercompany accounts and transactions have been eliminated.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the three and nine months ended March 31, 2022, and 2021, equals the Company’s net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Policy</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adopted Financial Accounting Standards Board ("FASB") Accounting Standards Codification ("ASC") Topic 326, Financial Instruments - Credit Losses, ("CECL") with an adoption date of July 1, 2020. As a result, the Company changed its accounting policy for allowance for credit losses. The accounting policy pursuant to CECL is disclosed below. The adoption of CECL resulted in an immaterial cumulative effect adjustment recorded in retained earnings as of July 1, 2020.</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monitors trade and other receivable balances and contract assets and estimates the allowance for lifetime expected credit losses. Estimates of expected credit losses are based on historical collection experience and other factors, including those related to current market conditions and events.</w:t>
      </w:r>
    </w:p>
    <w:p>
      <w:pPr>
        <w:spacing w:after="0" w:line="63"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following table summarizes allowance for credit losses activity for the fiscal quarter and year-to-date period ended March 31, 2022, and 2021: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20" w:type="dxa"/>
            <w:vAlign w:val="bottom"/>
          </w:tcPr>
          <w:p>
            <w:pPr>
              <w:spacing w:after="0"/>
              <w:rPr>
                <w:sz w:val="20"/>
                <w:szCs w:val="20"/>
                <w:color w:val="auto"/>
              </w:rPr>
            </w:pPr>
          </w:p>
        </w:tc>
        <w:tc>
          <w:tcPr>
            <w:tcW w:w="310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8"/>
                <w:szCs w:val="18"/>
                <w:color w:val="auto"/>
              </w:rPr>
              <w:t>Three Months Ended March 31,</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8"/>
                <w:szCs w:val="18"/>
                <w:color w:val="auto"/>
              </w:rPr>
              <w:t>Nine Months Ended March 31,</w:t>
            </w: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1160" w:type="dxa"/>
            <w:vAlign w:val="bottom"/>
            <w:gridSpan w:val="3"/>
          </w:tcPr>
          <w:p>
            <w:pPr>
              <w:jc w:val="right"/>
              <w:ind w:right="80"/>
              <w:spacing w:after="0" w:line="182" w:lineRule="exact"/>
              <w:rPr>
                <w:sz w:val="20"/>
                <w:szCs w:val="20"/>
                <w:color w:val="auto"/>
              </w:rPr>
            </w:pPr>
            <w:r>
              <w:rPr>
                <w:rFonts w:ascii="Arial" w:cs="Arial" w:eastAsia="Arial" w:hAnsi="Arial"/>
                <w:sz w:val="18"/>
                <w:szCs w:val="18"/>
                <w:color w:val="auto"/>
              </w:rPr>
              <w:t>2022</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right"/>
              <w:ind w:right="140"/>
              <w:spacing w:after="0" w:line="182" w:lineRule="exact"/>
              <w:rPr>
                <w:sz w:val="20"/>
                <w:szCs w:val="20"/>
                <w:color w:val="auto"/>
              </w:rPr>
            </w:pPr>
            <w:r>
              <w:rPr>
                <w:rFonts w:ascii="Arial" w:cs="Arial" w:eastAsia="Arial" w:hAnsi="Arial"/>
                <w:sz w:val="18"/>
                <w:szCs w:val="18"/>
                <w:color w:val="auto"/>
              </w:rPr>
              <w:t>2021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3"/>
          </w:tcPr>
          <w:p>
            <w:pPr>
              <w:jc w:val="right"/>
              <w:ind w:right="590"/>
              <w:spacing w:after="0" w:line="18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gridSpan w:val="3"/>
          </w:tcPr>
          <w:p>
            <w:pPr>
              <w:jc w:val="right"/>
              <w:ind w:right="700"/>
              <w:spacing w:after="0" w:line="182"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Allowance for credit losses - beginning balance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6,719</w:t>
            </w:r>
          </w:p>
        </w:tc>
        <w:tc>
          <w:tcPr>
            <w:tcW w:w="0" w:type="dxa"/>
            <w:vAlign w:val="bottom"/>
          </w:tcPr>
          <w:p>
            <w:pPr>
              <w:spacing w:after="0"/>
              <w:rPr>
                <w:sz w:val="1"/>
                <w:szCs w:val="1"/>
                <w:color w:val="auto"/>
              </w:rPr>
            </w:pPr>
          </w:p>
        </w:tc>
      </w:tr>
      <w:tr>
        <w:trPr>
          <w:trHeight w:val="184"/>
        </w:trPr>
        <w:tc>
          <w:tcPr>
            <w:tcW w:w="3820" w:type="dxa"/>
            <w:vAlign w:val="bottom"/>
          </w:tcPr>
          <w:p>
            <w:pPr>
              <w:ind w:left="240"/>
              <w:spacing w:after="0" w:line="183" w:lineRule="exact"/>
              <w:rPr>
                <w:sz w:val="20"/>
                <w:szCs w:val="20"/>
                <w:color w:val="auto"/>
              </w:rPr>
            </w:pPr>
            <w:r>
              <w:rPr>
                <w:rFonts w:ascii="Arial" w:cs="Arial" w:eastAsia="Arial" w:hAnsi="Arial"/>
                <w:sz w:val="18"/>
                <w:szCs w:val="18"/>
                <w:color w:val="auto"/>
              </w:rPr>
              <w:t>Cumulative effect of accounting standards</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3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5"/>
        </w:trPr>
        <w:tc>
          <w:tcPr>
            <w:tcW w:w="3820" w:type="dxa"/>
            <w:vAlign w:val="bottom"/>
          </w:tcPr>
          <w:p>
            <w:pPr>
              <w:ind w:left="240"/>
              <w:spacing w:after="0"/>
              <w:rPr>
                <w:sz w:val="20"/>
                <w:szCs w:val="20"/>
                <w:color w:val="auto"/>
              </w:rPr>
            </w:pPr>
            <w:r>
              <w:rPr>
                <w:rFonts w:ascii="Arial" w:cs="Arial" w:eastAsia="Arial" w:hAnsi="Arial"/>
                <w:sz w:val="18"/>
                <w:szCs w:val="18"/>
                <w:color w:val="auto"/>
              </w:rPr>
              <w:t>update adoption</w:t>
            </w: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provision for expected credit losses</w:t>
            </w: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29"/>
        </w:trPr>
        <w:tc>
          <w:tcPr>
            <w:tcW w:w="3820" w:type="dxa"/>
            <w:vAlign w:val="bottom"/>
          </w:tcPr>
          <w:p>
            <w:pPr>
              <w:ind w:left="240"/>
              <w:spacing w:after="0"/>
              <w:rPr>
                <w:sz w:val="20"/>
                <w:szCs w:val="20"/>
                <w:color w:val="auto"/>
              </w:rPr>
            </w:pPr>
            <w:r>
              <w:rPr>
                <w:rFonts w:ascii="Arial" w:cs="Arial" w:eastAsia="Arial" w:hAnsi="Arial"/>
                <w:sz w:val="18"/>
                <w:szCs w:val="18"/>
                <w:color w:val="auto"/>
              </w:rPr>
              <w:t>Write-offs charged against allowance</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Recoveries of amounts previously written off</w:t>
            </w: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820" w:type="dxa"/>
            <w:vAlign w:val="bottom"/>
          </w:tcPr>
          <w:p>
            <w:pPr>
              <w:ind w:left="24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4"/>
        </w:trPr>
        <w:tc>
          <w:tcPr>
            <w:tcW w:w="3820" w:type="dxa"/>
            <w:vAlign w:val="bottom"/>
            <w:tcBorders>
              <w:top w:val="single" w:sz="8" w:color="CCEEFF"/>
            </w:tcBorders>
            <w:shd w:val="clear" w:color="auto" w:fill="CCEEFF"/>
          </w:tcPr>
          <w:p>
            <w:pPr>
              <w:ind w:left="20"/>
              <w:spacing w:after="0" w:line="163" w:lineRule="exact"/>
              <w:rPr>
                <w:sz w:val="20"/>
                <w:szCs w:val="20"/>
                <w:color w:val="auto"/>
              </w:rPr>
            </w:pPr>
            <w:r>
              <w:rPr>
                <w:rFonts w:ascii="Arial" w:cs="Arial" w:eastAsia="Arial" w:hAnsi="Arial"/>
                <w:sz w:val="18"/>
                <w:szCs w:val="18"/>
                <w:b w:val="1"/>
                <w:bCs w:val="1"/>
                <w:color w:val="auto"/>
              </w:rPr>
              <w:t>Allowance for credit losses - ending</w:t>
            </w:r>
          </w:p>
        </w:tc>
        <w:tc>
          <w:tcPr>
            <w:tcW w:w="680" w:type="dxa"/>
            <w:vAlign w:val="bottom"/>
            <w:tcBorders>
              <w:top w:val="single" w:sz="8" w:color="auto"/>
            </w:tcBorders>
            <w:vMerge w:val="restart"/>
            <w:shd w:val="clear" w:color="auto" w:fill="CCEEFF"/>
          </w:tcPr>
          <w:p>
            <w:pPr>
              <w:jc w:val="right"/>
              <w:ind w:right="47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7,712</w:t>
            </w: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vMerge w:val="restart"/>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7,118</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7,712</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gridSpan w:val="3"/>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7,118</w:t>
            </w:r>
          </w:p>
        </w:tc>
        <w:tc>
          <w:tcPr>
            <w:tcW w:w="0" w:type="dxa"/>
            <w:vAlign w:val="bottom"/>
          </w:tcPr>
          <w:p>
            <w:pPr>
              <w:spacing w:after="0"/>
              <w:rPr>
                <w:sz w:val="1"/>
                <w:szCs w:val="1"/>
                <w:color w:val="auto"/>
              </w:rPr>
            </w:pPr>
          </w:p>
        </w:tc>
      </w:tr>
      <w:tr>
        <w:trPr>
          <w:trHeight w:val="22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w:t>
            </w: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400" w:type="dxa"/>
            <w:vAlign w:val="bottom"/>
            <w:tcBorders>
              <w:bottom w:val="single" w:sz="8" w:color="auto"/>
            </w:tcBorders>
            <w:gridSpan w:val="3"/>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380" w:type="dxa"/>
            <w:vAlign w:val="bottom"/>
            <w:tcBorders>
              <w:bottom w:val="single" w:sz="8" w:color="auto"/>
            </w:tcBorders>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recorded at cost and depreciated using the straight-line method over the estimated useful lives of the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Accumulated depreciation at March 31, 2022, totaled $445,706 and at June 30, 2021, totaled $435,169.</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2022, the Company received an offer to purchase one of its facilities and management has committed to a plan to sell the facility. At March 31, 2022, the facility included assets with a carrying value of approximately $20,201. Although management has not committed to a sale, a sale of the facility is likely, and the Company expects to record a gain on the sale upon closing. Total assets held for sale by the Company at March 31, 2022 and June 30, 2021 were $ 20,201 and zero, respectively, and were included in assets held for sale on the Company's balance sheets and were not included in property and equipment, net.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Intangible assets consist of goodwill, customer relationships, computer software, and trade names acquired in business acquisitions in addition to internally developed computer software. The amounts are amortized, with the exception of those intangible assets with an indefinite life (such as goodwill), over an estimated economic benefit period, generally three to twenty years. Accumulated amortization of intangible assets totaled $998,527 and $921,050 at March 31, 2022, and June 30, 2021,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Investments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2022, and June 30, 2021, the Company had an investment in the preferred stock of Automated Bookkeeping, Inc. ("Autobooks") of $13,250, which represented a non-controlling share of the voting equity as of each date. The total investment was recorded at cost and is included within other non-current assets on the Company's balance sheet. There have been no events or changes in circumstances that would indicate an impairment and no price changes resulting from observing a similar or identical investment. An impairment and/or an observable price change would be an adjustment to recorded cost. Fair value will not be estimated unless there are identified events or changes in circumstances that may have a significant adverse effect on the fair value of the investment.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line-of-credit. The share repurchase program does not include specific price targets or timetables and may be suspended at any time. At March 31, 2022, there were 31,043 shares in treasury stock and the Company had the remaining authority to repurchase up to 3,948 additional shares. The total cost of treasury shares at March 31, 2022, was $1,807,118. During the first nine months of fiscal 2022, the Company repurchased 1,250 shares. At June 30, 2021, there were 29,793 shares in treasury stock and the Company had authority to repurchase up to 5,198 additional shares. The total cost of treasury shares at June 30, 2021, was $1,613,202. During the first nine months of fiscal 2021, the Company repurchased 2,500 shares.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Deferred tax liabilities and assets are recognized for the tax effects of differences between the financial statement basis and tax basis of assets and liabilities. A valuation allowance would be established to reduce deferred tax assets if it is more likely than not that a deferred tax asset will not be realized.</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upon the technical merits of the position. The tax benefit recognized in the financial statements from such a position is measured based on the largest benefit that has a greater than 50% likelihood of being realized upon ultimate settlement. Also, interest and penalties expense are recognized on the full amount of unrecognized benefits for uncertain tax positions. The Company's policy is to include interest and penalties related to unrecognized tax benefits in income tax expense.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the instructions to Form 10-Q of the Securities and Exchange Commission ("SEC") and in accordance with accounting principles generally accepted in the United States of America ("U.S. GAAP") applicable to interim condensed consolidated financial statements and do not include all of the information and footnotes required by accounting principles generally accepted in the United States of America for complete consolidated financial statements. The condensed consolidated financial statements should be read in conjunction with the Company’s audited consolidated financial statements and accompanying notes, which are included in its Annual Report on Form 10-K (“Form 10-K”) for the fiscal year ended June 30, 2021. The accounting policies followed by the Company are set forth in Note 1 to the Company's consolidated financial statements included in its Form 10-K for the fiscal year ended June 30, 2021, with updates to certain policies included in this Note 1.</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the management of the Company, the accompanying unaudited condensed consolidated financial statements reflect all adjustments necessary (consisting of normal recurring adjustments) to state fairly in all material respects the financial position of the Company as of March 31, 2022, the results of its operations for the three and nine months ended March 31, 2022, and 2021, changes in stockholders' equity for the three and nine months ended March 31, 2022, and 2021, and its cash flows for the nine months ended March 31, 2022, and 2021. The condensed consolidated balance sheet at June 30, 2021, was derived from audited annual financial statements but does not contain all of the footnote disclosures from the annual financial statements.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results of operations for the three and nine months ended March 31, 2022, are not necessarily indicative of the results to be expected for the entire fiscal year.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extent to which the COVID-19 pandemic will directly or indirectly impact our business and financial results, including revenue, expenses, cost of revenues, research and development, and selling, general and administrative expenses, will depend on future developments that are highly uncertain, such as new information that may emerge concerning COVID-19 and the actions taken to contain or treat COVID-19 (including the efficacy of vaccines against new variants and the development and effectiveness of treatments), as well as the economic impact on local, regional, national and international customers and markets. The Company assessed certain accounting matters that generally require consideration of forecasted financial information in context with the information reasonably available to the Company and the unknown future impacts of COVID-19 as of March 31, 2022, and through the date of this report. The accounting matters assessed included, but were not limited to, the Company’s allowance for credit losses, as well as the carrying value of goodwill and other long-lived assets. While there was not a material impact to the Company’s condensed consolidated financial statements as of and for the fiscal quarter ended March 31, 2022, the Company’s future assessment of the magnitude and duration of COVID-19, as well as other factors, could result in material impacts to the Company’s condensed consolidated financial statements in future reporting periods.</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NOTE 2:</w:t>
      </w:r>
      <w:r>
        <w:rPr>
          <w:sz w:val="20"/>
          <w:szCs w:val="20"/>
          <w:color w:val="auto"/>
        </w:rPr>
        <w:tab/>
      </w:r>
      <w:r>
        <w:rPr>
          <w:rFonts w:ascii="Arial" w:cs="Arial" w:eastAsia="Arial" w:hAnsi="Arial"/>
          <w:sz w:val="17"/>
          <w:szCs w:val="17"/>
          <w:color w:val="auto"/>
        </w:rPr>
        <w:t>RECENT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of 2019, the FASB issued Accounting Standards Update ("ASU") No. 2019-12, Income Taxes (Topic 740): Simplifying the Accounting for Income Taxes, which removes certain exceptions and simplifies other requirements of Topic 740 guidance. The ASU was effective for the Company on July 1, 2021. The Company adopted ASU 2019-12 effective July 1, 2021 with no material impact on its condensed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October of 2021, the FASB issued ASU No. 2021-08, Business Combinations (Topic 805): Accounting for Contract Assets and Contract Liabilities from Contracts with Customers, which improves the accounting for acquired revenue contracts with customers in a business combination by addressing diversity in practice and inconsistency related to recognition of an acquired contract liability and payment terms and their effect on subsequent revenue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recognized by the acquirer. The ASU is effective for fiscal years beginning after December 15, 2022, and interim periods within those fiscal years. The Company plans to adopt the ASU effective July 1, 2023, and will apply it prospectively to business combinations occurring on or after that date.</w:t>
      </w:r>
    </w:p>
    <w:p>
      <w:pPr>
        <w:spacing w:after="0" w:line="200" w:lineRule="exact"/>
        <w:rPr>
          <w:sz w:val="20"/>
          <w:szCs w:val="20"/>
          <w:color w:val="auto"/>
        </w:rPr>
      </w:pPr>
    </w:p>
    <w:p>
      <w:pPr>
        <w:spacing w:after="0" w:line="20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3.</w:t>
        <w:tab/>
        <w:t>REVENUE AND DEFERRED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generates revenue from data processing, transaction processing, software licensing and related services, professional services, and hardware sales.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present the Company's revenue disaggregated by type of revenue. Refer to Note 10, Reportable Segment Information, for disaggregated revenue by type and reportable segment. The majority of the Company’s revenue is earned domestically, with revenue from customers outside the United States comprising less than 1% of total revenue.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20" w:type="dxa"/>
            <w:vAlign w:val="bottom"/>
          </w:tcPr>
          <w:p>
            <w:pPr>
              <w:spacing w:after="0"/>
              <w:rPr>
                <w:sz w:val="20"/>
                <w:szCs w:val="20"/>
                <w:color w:val="auto"/>
              </w:rPr>
            </w:pPr>
          </w:p>
        </w:tc>
        <w:tc>
          <w:tcPr>
            <w:tcW w:w="3720" w:type="dxa"/>
            <w:vAlign w:val="bottom"/>
            <w:gridSpan w:val="10"/>
          </w:tcPr>
          <w:p>
            <w:pPr>
              <w:ind w:left="540"/>
              <w:spacing w:after="0"/>
              <w:rPr>
                <w:sz w:val="20"/>
                <w:szCs w:val="20"/>
                <w:color w:val="auto"/>
              </w:rPr>
            </w:pPr>
            <w:r>
              <w:rPr>
                <w:rFonts w:ascii="Arial" w:cs="Arial" w:eastAsia="Arial" w:hAnsi="Arial"/>
                <w:sz w:val="18"/>
                <w:szCs w:val="18"/>
                <w:color w:val="auto"/>
              </w:rPr>
              <w:t>Three Months Ended March 31,</w:t>
            </w:r>
          </w:p>
        </w:tc>
        <w:tc>
          <w:tcPr>
            <w:tcW w:w="400" w:type="dxa"/>
            <w:vAlign w:val="bottom"/>
          </w:tcPr>
          <w:p>
            <w:pPr>
              <w:spacing w:after="0"/>
              <w:rPr>
                <w:sz w:val="20"/>
                <w:szCs w:val="20"/>
                <w:color w:val="auto"/>
              </w:rPr>
            </w:pPr>
          </w:p>
        </w:tc>
        <w:tc>
          <w:tcPr>
            <w:tcW w:w="3400" w:type="dxa"/>
            <w:vAlign w:val="bottom"/>
            <w:gridSpan w:val="8"/>
          </w:tcPr>
          <w:p>
            <w:pPr>
              <w:jc w:val="right"/>
              <w:ind w:right="680"/>
              <w:spacing w:after="0"/>
              <w:rPr>
                <w:sz w:val="20"/>
                <w:szCs w:val="20"/>
                <w:color w:val="auto"/>
              </w:rPr>
            </w:pPr>
            <w:r>
              <w:rPr>
                <w:rFonts w:ascii="Arial" w:cs="Arial" w:eastAsia="Arial" w:hAnsi="Arial"/>
                <w:sz w:val="18"/>
                <w:szCs w:val="18"/>
                <w:color w:val="auto"/>
              </w:rPr>
              <w:t>Nine Months Ended March 31,</w:t>
            </w:r>
          </w:p>
        </w:tc>
      </w:tr>
      <w:tr>
        <w:trPr>
          <w:trHeight w:val="183"/>
        </w:trPr>
        <w:tc>
          <w:tcPr>
            <w:tcW w:w="3720" w:type="dxa"/>
            <w:vAlign w:val="bottom"/>
          </w:tcPr>
          <w:p>
            <w:pPr>
              <w:spacing w:after="0"/>
              <w:rPr>
                <w:sz w:val="15"/>
                <w:szCs w:val="15"/>
                <w:color w:val="auto"/>
              </w:rPr>
            </w:pPr>
          </w:p>
        </w:tc>
        <w:tc>
          <w:tcPr>
            <w:tcW w:w="1420" w:type="dxa"/>
            <w:vAlign w:val="bottom"/>
            <w:tcBorders>
              <w:top w:val="single" w:sz="8" w:color="auto"/>
            </w:tcBorders>
            <w:gridSpan w:val="3"/>
          </w:tcPr>
          <w:p>
            <w:pPr>
              <w:jc w:val="right"/>
              <w:ind w:right="120"/>
              <w:spacing w:after="0" w:line="182" w:lineRule="exact"/>
              <w:rPr>
                <w:sz w:val="20"/>
                <w:szCs w:val="20"/>
                <w:color w:val="auto"/>
              </w:rPr>
            </w:pPr>
            <w:r>
              <w:rPr>
                <w:rFonts w:ascii="Arial" w:cs="Arial" w:eastAsia="Arial" w:hAnsi="Arial"/>
                <w:sz w:val="18"/>
                <w:szCs w:val="18"/>
                <w:b w:val="1"/>
                <w:bCs w:val="1"/>
                <w:color w:val="auto"/>
              </w:rPr>
              <w:t>2022</w:t>
            </w: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3"/>
          </w:tcPr>
          <w:p>
            <w:pPr>
              <w:jc w:val="right"/>
              <w:ind w:right="440"/>
              <w:spacing w:after="0" w:line="182"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jc w:val="right"/>
              <w:ind w:right="720"/>
              <w:spacing w:after="0" w:line="182"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3"/>
          </w:tcPr>
          <w:p>
            <w:pPr>
              <w:jc w:val="right"/>
              <w:ind w:right="720"/>
              <w:spacing w:after="0" w:line="182" w:lineRule="exact"/>
              <w:rPr>
                <w:sz w:val="20"/>
                <w:szCs w:val="20"/>
                <w:color w:val="auto"/>
              </w:rPr>
            </w:pPr>
            <w:r>
              <w:rPr>
                <w:rFonts w:ascii="Arial" w:cs="Arial" w:eastAsia="Arial" w:hAnsi="Arial"/>
                <w:sz w:val="18"/>
                <w:szCs w:val="18"/>
                <w:color w:val="auto"/>
              </w:rPr>
              <w:t>2021</w:t>
            </w:r>
          </w:p>
        </w:tc>
      </w:tr>
      <w:tr>
        <w:trPr>
          <w:trHeight w:val="21"/>
        </w:trPr>
        <w:tc>
          <w:tcPr>
            <w:tcW w:w="3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Private and Public Cloud</w:t>
            </w:r>
            <w:r>
              <w:rPr>
                <w:rFonts w:ascii="Arial" w:cs="Arial" w:eastAsia="Arial" w:hAnsi="Arial"/>
                <w:sz w:val="21"/>
                <w:szCs w:val="21"/>
                <w:color w:val="auto"/>
                <w:vertAlign w:val="superscript"/>
              </w:rPr>
              <w:t>1</w:t>
            </w:r>
          </w:p>
        </w:tc>
        <w:tc>
          <w:tcPr>
            <w:tcW w:w="900" w:type="dxa"/>
            <w:vAlign w:val="bottom"/>
            <w:shd w:val="clear" w:color="auto" w:fill="CCEEFF"/>
          </w:tcPr>
          <w:p>
            <w:pPr>
              <w:jc w:val="right"/>
              <w:ind w:right="71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128,703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416,791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374,160</w:t>
            </w:r>
          </w:p>
        </w:tc>
      </w:tr>
      <w:tr>
        <w:trPr>
          <w:trHeight w:val="215"/>
        </w:trPr>
        <w:tc>
          <w:tcPr>
            <w:tcW w:w="3720" w:type="dxa"/>
            <w:vAlign w:val="bottom"/>
          </w:tcPr>
          <w:p>
            <w:pPr>
              <w:ind w:left="20"/>
              <w:spacing w:after="0"/>
              <w:rPr>
                <w:sz w:val="20"/>
                <w:szCs w:val="20"/>
                <w:color w:val="auto"/>
              </w:rPr>
            </w:pPr>
            <w:r>
              <w:rPr>
                <w:rFonts w:ascii="Arial" w:cs="Arial" w:eastAsia="Arial" w:hAnsi="Arial"/>
                <w:sz w:val="16"/>
                <w:szCs w:val="16"/>
                <w:color w:val="auto"/>
              </w:rPr>
              <w:t>Product Delivery and Services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62,349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49,235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6"/>
                <w:szCs w:val="16"/>
                <w:color w:val="auto"/>
              </w:rPr>
              <w:t>193,363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154,547</w:t>
            </w:r>
          </w:p>
        </w:tc>
      </w:tr>
      <w:tr>
        <w:trPr>
          <w:trHeight w:val="217"/>
        </w:trPr>
        <w:tc>
          <w:tcPr>
            <w:tcW w:w="37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On-Premise Support</w:t>
            </w:r>
            <w:r>
              <w:rPr>
                <w:rFonts w:ascii="Arial" w:cs="Arial" w:eastAsia="Arial" w:hAnsi="Arial"/>
                <w:sz w:val="21"/>
                <w:szCs w:val="21"/>
                <w:color w:val="auto"/>
                <w:vertAlign w:val="superscript"/>
              </w:rPr>
              <w:t>2</w:t>
            </w: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77,764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76,701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266,471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257,802</w:t>
            </w: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Services and Support</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282,921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254,639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876,625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786,509</w:t>
            </w:r>
          </w:p>
        </w:tc>
      </w:tr>
      <w:tr>
        <w:trPr>
          <w:trHeight w:val="216"/>
        </w:trPr>
        <w:tc>
          <w:tcPr>
            <w:tcW w:w="3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Processing</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195,339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color w:val="auto"/>
              </w:rPr>
              <w:t>179,137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583,587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6"/>
                <w:szCs w:val="16"/>
                <w:color w:val="auto"/>
              </w:rPr>
              <w:t>521,429</w:t>
            </w:r>
          </w:p>
        </w:tc>
      </w:tr>
      <w:tr>
        <w:trPr>
          <w:trHeight w:val="216"/>
        </w:trPr>
        <w:tc>
          <w:tcPr>
            <w:tcW w:w="37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b w:val="1"/>
                <w:bCs w:val="1"/>
                <w:color w:val="auto"/>
              </w:rPr>
              <w:t>Total Revenue</w:t>
            </w:r>
          </w:p>
        </w:tc>
        <w:tc>
          <w:tcPr>
            <w:tcW w:w="90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478,260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433,776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1,460,212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1,307,938</w:t>
            </w:r>
          </w:p>
        </w:tc>
      </w:tr>
      <w:tr>
        <w:trPr>
          <w:trHeight w:val="20"/>
        </w:trPr>
        <w:tc>
          <w:tcPr>
            <w:tcW w:w="37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right="20" w:firstLine="8"/>
        <w:spacing w:after="0"/>
        <w:tabs>
          <w:tab w:leader="none" w:pos="91"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The name of this revenue stream was changed in fiscal 2021 from "outsourcing and cloud" to "private and public cloud" to better reflect the nature of the related revenue. However, the nature of the revenue included within this caption has not changed and is the same in the current fiscal quarter as it was in the comparative quarter of fiscal 2021 and prior.</w:t>
      </w:r>
    </w:p>
    <w:p>
      <w:pPr>
        <w:spacing w:after="0" w:line="228" w:lineRule="exact"/>
        <w:rPr>
          <w:sz w:val="20"/>
          <w:szCs w:val="20"/>
          <w:color w:val="auto"/>
        </w:rPr>
      </w:pPr>
    </w:p>
    <w:p>
      <w:pPr>
        <w:ind w:right="20" w:firstLine="8"/>
        <w:spacing w:after="0" w:line="238" w:lineRule="auto"/>
        <w:tabs>
          <w:tab w:leader="none" w:pos="7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name of this revenue stream was changed in fiscal 2021 from "in-house support" to "on-premise support" to better reflect the nature of the related revenue. However, the nature of the revenue included within this caption has not changed and is the same in the current fiscal quarter as it was in the comparative quarter of fiscal 2021 and prior.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30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June 30,</w:t>
            </w:r>
          </w:p>
        </w:tc>
      </w:tr>
      <w:tr>
        <w:trPr>
          <w:trHeight w:val="235"/>
        </w:trPr>
        <w:tc>
          <w:tcPr>
            <w:tcW w:w="77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222,696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306,564</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Contract Assets - Current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19,899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22,884</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 Non-current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52,920</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Contract Liabilities (Deferred Revenue) - Current</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150,169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319,748</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(Deferred Revenue) - Non-current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75,852</w:t>
            </w:r>
          </w:p>
        </w:tc>
      </w:tr>
    </w:tbl>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 assets primarily result from revenue being recognized when or as control of a solution or service is transferred to the customer, except where invoicing is contingent upon the completion of other performance obligations or payment terms differ from the provisioning of services. The current portion of contract assets is reported within prepaid expenses and other in the condensed consolidated balance sheet, and the non-current portion is included in other non-current assets. Contract liabilities (deferred revenue) primarily relate to consideration received from customers in advance of delivery of the related goods and services to the customer. Contract balances are reported in a net contract asset or liability position on a contract-by-contract basis at the end of each reporting period.</w:t>
      </w:r>
    </w:p>
    <w:p>
      <w:pPr>
        <w:spacing w:after="0" w:line="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analyzes contract language to identify if a significant financing component does exist and adjusts the transaction price for any material effects of the time value of money if the timing of payments provides either party to the contract with a significant benefit of financing the transaction.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March 31, 2022 and 2021, the Company recognized revenue of $92,147 and $80,722, respectively, that was included in the corresponding deferred revenue balance at the beginning of the periods. For the nine months ended March 31, 2022 and 2021, the Company recognized revenue of $225,424 and $211,735, respectively, that was included in the corresponding deferred revenue balance at the beginning of the periods.</w:t>
      </w:r>
    </w:p>
    <w:p>
      <w:pPr>
        <w:spacing w:after="0" w:line="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Amounts recognized that relate to performance obligations satisfied (or partially satisfied) in prior periods were immaterial for each period presented. These adjustments are primarily the result of transaction price re-allocations due to changes in estimates of variable consideration.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Remaining Performance Obligations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2022, estimated revenue expected to be recognized in the future related to performance obligations that are unsatisfied (or partially unsatisfied) at the end of the reporting period totaled $5,187,412. The Company expects to recognize approximately 25% over the next 12 months, 20% in 13-24 months, and the balance thereafter.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customers that are expected to be recovered. These costs consist primarily of sales commissions, which are incurred only if a contract is obtained, and customer conversion or implementation-related costs. Capitalized costs are amortized based on the transfer of goods or services to which the asset relates, in line with the percentage of revenue recognized for each performance obligation to which the costs are allocated.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Capitalized costs totaled $354,373 and $314,807 at March 31, 2022 and June 30, 2021,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2022 and 2021, amortization of deferred contract costs was $31,444 and $29,384,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March 31, 2022, and 2021, amortization of deferred contract costs totaled $99,441 and $92,004, respectively.</w:t>
      </w: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FAIR VALUE OF FINANCIAL INSTRUMENTS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cash equivalents, certificates of deposit, amounts receivable or payable, and short-term borrowings, fair values approximate carrying value, based on the short-term nature of the assets and liabilities.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estimates of the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three levels of the hierarchy are as follows:</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inputs to the valuation are quoted prices in an active market for identical assets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2: inputs to the valuation include quoted prices for similar assets in active markets that are observable either directly or indirectly</w:t>
      </w:r>
    </w:p>
    <w:p>
      <w:pPr>
        <w:spacing w:after="0" w:line="104" w:lineRule="exact"/>
        <w:rPr>
          <w:sz w:val="20"/>
          <w:szCs w:val="20"/>
          <w:color w:val="auto"/>
        </w:rPr>
      </w:pPr>
    </w:p>
    <w:p>
      <w:pPr>
        <w:ind w:left="260"/>
        <w:spacing w:after="0" w:line="287" w:lineRule="auto"/>
        <w:rPr>
          <w:sz w:val="20"/>
          <w:szCs w:val="20"/>
          <w:color w:val="auto"/>
        </w:rPr>
      </w:pPr>
      <w:r>
        <w:rPr>
          <w:rFonts w:ascii="Arial" w:cs="Arial" w:eastAsia="Arial" w:hAnsi="Arial"/>
          <w:sz w:val="18"/>
          <w:szCs w:val="18"/>
          <w:color w:val="auto"/>
        </w:rPr>
        <w:t>Level 3: valuation is based on significant inputs that are unobservable in the market and the Company's own estimates of assumptions that we believe market participants would use in pricing the asset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Fair value of financial assets included in current assets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4440" w:type="dxa"/>
            <w:vAlign w:val="bottom"/>
            <w:tcBorders>
              <w:bottom w:val="single" w:sz="8" w:color="auto"/>
            </w:tcBorders>
            <w:gridSpan w:val="7"/>
          </w:tcPr>
          <w:p>
            <w:pPr>
              <w:jc w:val="center"/>
              <w:ind w:left="270"/>
              <w:spacing w:after="0"/>
              <w:rPr>
                <w:sz w:val="20"/>
                <w:szCs w:val="20"/>
                <w:color w:val="auto"/>
              </w:rPr>
            </w:pPr>
            <w:r>
              <w:rPr>
                <w:rFonts w:ascii="Arial" w:cs="Arial" w:eastAsia="Arial" w:hAnsi="Arial"/>
                <w:sz w:val="18"/>
                <w:szCs w:val="18"/>
                <w:b w:val="1"/>
                <w:bCs w:val="1"/>
                <w:color w:val="auto"/>
                <w:w w:val="99"/>
              </w:rPr>
              <w:t>Estimated Fair Value Measurements</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Total Fair</w:t>
            </w:r>
          </w:p>
        </w:tc>
      </w:tr>
      <w:tr>
        <w:trPr>
          <w:trHeight w:val="223"/>
        </w:trPr>
        <w:tc>
          <w:tcPr>
            <w:tcW w:w="472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color w:val="auto"/>
              </w:rPr>
              <w:t>Value</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March 31, 2022</w:t>
            </w: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1,212</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1,212</w:t>
            </w:r>
          </w:p>
        </w:tc>
      </w:tr>
      <w:tr>
        <w:trPr>
          <w:trHeight w:val="230"/>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4720" w:type="dxa"/>
            <w:vAlign w:val="bottom"/>
          </w:tcPr>
          <w:p>
            <w:pPr>
              <w:ind w:left="440"/>
              <w:spacing w:after="0"/>
              <w:rPr>
                <w:sz w:val="20"/>
                <w:szCs w:val="20"/>
                <w:color w:val="auto"/>
              </w:rPr>
            </w:pPr>
            <w:r>
              <w:rPr>
                <w:rFonts w:ascii="Arial" w:cs="Arial" w:eastAsia="Arial" w:hAnsi="Arial"/>
                <w:sz w:val="18"/>
                <w:szCs w:val="18"/>
                <w:color w:val="auto"/>
              </w:rPr>
              <w:t>Revolving credit facility</w:t>
            </w: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225,000</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225,000</w:t>
            </w: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Financial Assets: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4720" w:type="dxa"/>
            <w:vAlign w:val="bottom"/>
          </w:tcPr>
          <w:p>
            <w:pPr>
              <w:ind w:left="180"/>
              <w:spacing w:after="0"/>
              <w:rPr>
                <w:sz w:val="20"/>
                <w:szCs w:val="20"/>
                <w:color w:val="auto"/>
              </w:rPr>
            </w:pPr>
            <w:r>
              <w:rPr>
                <w:rFonts w:ascii="Arial" w:cs="Arial" w:eastAsia="Arial" w:hAnsi="Arial"/>
                <w:sz w:val="18"/>
                <w:szCs w:val="18"/>
                <w:color w:val="auto"/>
              </w:rPr>
              <w:t>Financial Liabilities:</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Revolving credit facility</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bl>
    <w:p>
      <w:pPr>
        <w:spacing w:after="0" w:line="200" w:lineRule="exact"/>
        <w:rPr>
          <w:sz w:val="20"/>
          <w:szCs w:val="20"/>
          <w:color w:val="auto"/>
        </w:rPr>
      </w:pPr>
    </w:p>
    <w:p>
      <w:pPr>
        <w:spacing w:after="0" w:line="3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5.</w:t>
      </w:r>
      <w:r>
        <w:rPr>
          <w:sz w:val="20"/>
          <w:szCs w:val="20"/>
          <w:color w:val="auto"/>
        </w:rPr>
        <w:tab/>
      </w:r>
      <w:r>
        <w:rPr>
          <w:rFonts w:ascii="Arial" w:cs="Arial" w:eastAsia="Arial" w:hAnsi="Arial"/>
          <w:sz w:val="17"/>
          <w:szCs w:val="17"/>
          <w:color w:val="auto"/>
        </w:rPr>
        <w:t>LEASES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determines if an arrangement is a lease at inception. The lease term begins on the commencement date, which is the date the Company takes possession of the property and may include options to extend or terminate the lease when it is reasonably certain that the option will be exercised. Right-of-use (“ROU”) assets represent the Company’s right to use an underlying asset for the lease term, and lease liabilities represent the Company’s obligation to make lease payments arising from the lease. Lease agreements with lease and non-lease components are accounted for as a single lease component for all asset classes, which are comprised of real estate leases and equipment leases. ROU assets and lease liabilities are recognized at the commencement date based on the present value of lease payments over the lease term. Since the Company’s leases do not typically provide an implicit rate, the Company uses its incremental borrowing rate based upon the information available at commencement date. The determination of the incremental borrowing rate requires judgment and is determined by using the Company’s current unsecured borrowing rate, adjusted for various factors such as collateralization and term to align with the terms of the lease.</w:t>
      </w:r>
    </w:p>
    <w:p>
      <w:pPr>
        <w:spacing w:after="0" w:line="1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certain office space, data centers and equipment with remaining terms of 1 to 12 years. Certain leases contain renewal options for varying periods, which are at the Company’s sole discretion.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lease liability to the extent they are variable in nature. Variable lease costs are recognized as a variable lease expense when incurred.</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2022, and June 30, 2021, the Company had operating lease assets of $49,170 and $55,977 and financing lease assets of $100 and $188, respectively. At March 31, 2022, total operating lease liabilities of $53,845 were comprised of current operating lease liabilities of $10,938 and noncurrent operating lease liabilities of $42,907, and total financing lease liabilities of $103 were comprised of current financing lease liabilities of $101 and noncurrent financing lease liabilities of $2. At June 30, 2021, total operating lease liabilities of $60,828 were comprised of current operating lease liabilities of $11,460 and noncurrent operating lease liabilities of $49,368, and total financing lease liabilities of $193 were comprised of current financing lease liabilities of $110 and noncurrent financing lease liabilities of $83.</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lease assets are included within other non-current assets and operating lease liabilities are included within accrued expenses (current portion) and other long-term liabilities (noncurrent portion) in the Company’s condensed consolidated balance sheet. Operating lease assets were recorded net of accumulated amortization of $29,413 and $23,813 as of March 31, 2022, and June 30, 2021, respectively. Financing lease assets are included within property and equipment, net and financing lease liabilities are included within notes payable (current portion) and long-term debt (noncurrent portion) in the Company’s condensed consolidated balance sheet. Financing lease assets were recorded net of accumulated amortization of $231 and $153 as of March 31, 2022, and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Operating lease costs for the three months ended March 31, 2022, and 2021, were $3,182 and $3,573, respectively. Financing lease costs for the three months ended March 31, 2022, and 2021, were $25 and $30, respectively. Total operating and financing lease costs for the respective quarters included variable lease costs of approximately $640 and $1,015, respectively. Operating lease costs for the nine months ended March 31, 2022, and 2021, were $9,942 and $11,312, respectively. Financing lease costs for the nine months ended March 31, 2022, and 2021, were $80 and $92, respectively. Total operating and financing lease costs for the respective fiscal year-to-date periods included variable lease costs of approximately $1,480 and $3,205. Operating and financing lease expense are included within cost of services, research and development, and selling, general and administrative expense, dependent upon the nature and use of the ROU asset, in the Company’s condensed consolidated statement of income.</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nine months ended March 31, 2022, and 2021, the Company had operating cash flows for payments on operating leases of $9,947 and $10,121, respectively, and ROU assets obtained in exchange for operating lease liabilities of $ 1,985 and $4,746, respectively. Financing cash flows for payments on financing leases for the nine months ended March 31, 2022, and 2021, were $83 and $91, respectively.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2022, and June 30, 2021, the weighted average remaining lease term for the Company's operating leases was 77 months and 81 months, respectively, and the weighted average discount rate was 2.61% and 2.67%, respectively. As of March 31, 2022, and June 30, 2021, the weighted average remaining lease term for the Company's financing leases was 12 months and 21 months, respectively. The weighted average discount rate for the Company's financing leases was 2.36% and 2.39% as of March 31, 2022, and June 30, 2021,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of Lease Liabilities under ASC 842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on operating leases with initial non-cancellable lease terms in excess of one year were due as follows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gridSpan w:val="2"/>
          </w:tcPr>
          <w:p>
            <w:pPr>
              <w:ind w:left="800"/>
              <w:spacing w:after="0"/>
              <w:rPr>
                <w:sz w:val="20"/>
                <w:szCs w:val="20"/>
                <w:color w:val="auto"/>
              </w:rPr>
            </w:pPr>
            <w:r>
              <w:rPr>
                <w:rFonts w:ascii="Arial" w:cs="Arial" w:eastAsia="Arial" w:hAnsi="Arial"/>
                <w:sz w:val="18"/>
                <w:szCs w:val="18"/>
                <w:color w:val="auto"/>
              </w:rPr>
              <w:t>Due Dates (fiscal year)</w:t>
            </w:r>
          </w:p>
        </w:tc>
        <w:tc>
          <w:tcPr>
            <w:tcW w:w="260" w:type="dxa"/>
            <w:vAlign w:val="bottom"/>
          </w:tcPr>
          <w:p>
            <w:pPr>
              <w:spacing w:after="0"/>
              <w:rPr>
                <w:sz w:val="20"/>
                <w:szCs w:val="20"/>
                <w:color w:val="auto"/>
              </w:rPr>
            </w:pP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Future Minimum Rental Payments</w:t>
            </w:r>
          </w:p>
        </w:tc>
      </w:tr>
      <w:tr>
        <w:trPr>
          <w:trHeight w:val="250"/>
        </w:trPr>
        <w:tc>
          <w:tcPr>
            <w:tcW w:w="34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tcPr>
          <w:p>
            <w:pPr>
              <w:spacing w:after="0"/>
              <w:rPr>
                <w:sz w:val="21"/>
                <w:szCs w:val="21"/>
                <w:color w:val="auto"/>
              </w:rPr>
            </w:pPr>
          </w:p>
        </w:tc>
      </w:tr>
      <w:tr>
        <w:trPr>
          <w:trHeight w:val="230"/>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2022 (remaining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r>
      <w:tr>
        <w:trPr>
          <w:trHeight w:val="229"/>
        </w:trPr>
        <w:tc>
          <w:tcPr>
            <w:tcW w:w="3400" w:type="dxa"/>
            <w:vAlign w:val="bottom"/>
          </w:tcPr>
          <w:p>
            <w:pPr>
              <w:jc w:val="right"/>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11,859</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r>
      <w:tr>
        <w:trPr>
          <w:trHeight w:val="230"/>
        </w:trPr>
        <w:tc>
          <w:tcPr>
            <w:tcW w:w="3400" w:type="dxa"/>
            <w:vAlign w:val="bottom"/>
          </w:tcPr>
          <w:p>
            <w:pPr>
              <w:jc w:val="right"/>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7,390</w:t>
            </w:r>
          </w:p>
        </w:tc>
      </w:tr>
      <w:tr>
        <w:trPr>
          <w:trHeight w:val="230"/>
        </w:trPr>
        <w:tc>
          <w:tcPr>
            <w:tcW w:w="3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w:t>
            </w:r>
          </w:p>
        </w:tc>
      </w:tr>
      <w:tr>
        <w:trPr>
          <w:trHeight w:val="229"/>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19,561</w:t>
            </w:r>
          </w:p>
        </w:tc>
      </w:tr>
      <w:tr>
        <w:trPr>
          <w:trHeight w:val="223"/>
        </w:trPr>
        <w:tc>
          <w:tcPr>
            <w:tcW w:w="3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58,596</w:t>
            </w:r>
          </w:p>
        </w:tc>
      </w:tr>
      <w:tr>
        <w:trPr>
          <w:trHeight w:val="229"/>
        </w:trPr>
        <w:tc>
          <w:tcPr>
            <w:tcW w:w="36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(4,751)</w:t>
            </w:r>
          </w:p>
        </w:tc>
      </w:tr>
      <w:tr>
        <w:trPr>
          <w:trHeight w:val="248"/>
        </w:trPr>
        <w:tc>
          <w:tcPr>
            <w:tcW w:w="3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53,845</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Financing leases were immaterial to the fiscal quarter, so a maturity of lease liabilities table has only been included for operating leases.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Lease payments included $5,464 related to options to extend lease terms that are reasonably certain of being exercised. At March 31, 2022, the Company had approximately $1,418 in legally binding lease payments for two leases that were signed but not yet commenced. The lease commencement dates are July 1, 2022 and November 1, 2022, and the lease terms are 84 months and 60 months, respectively.</w:t>
      </w:r>
    </w:p>
    <w:p>
      <w:pPr>
        <w:spacing w:after="0" w:line="200" w:lineRule="exact"/>
        <w:rPr>
          <w:sz w:val="20"/>
          <w:szCs w:val="20"/>
          <w:color w:val="auto"/>
        </w:rPr>
      </w:pPr>
    </w:p>
    <w:p>
      <w:pPr>
        <w:spacing w:after="0" w:line="26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6.</w:t>
      </w:r>
      <w:r>
        <w:rPr>
          <w:sz w:val="20"/>
          <w:szCs w:val="20"/>
          <w:color w:val="auto"/>
        </w:rPr>
        <w:tab/>
      </w:r>
      <w:r>
        <w:rPr>
          <w:rFonts w:ascii="Arial" w:cs="Arial" w:eastAsia="Arial" w:hAnsi="Arial"/>
          <w:sz w:val="17"/>
          <w:szCs w:val="17"/>
          <w:color w:val="auto"/>
        </w:rPr>
        <w:t>DEBT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10, 2020, the Company entered into a five-year senior, unsecured revolving credit facility. The credit facility allows for borrowings of up to $300,000, which may be increased by the Company at any time until maturity to $700,000. The credit facility bears interest at a variable rate equal to (a) a rate based on a eurocurrency rate or (b) an alternate base rate (the highest of (i) 0%, (ii) the U.S. Bank prime rate for such day, (iii) the sum of the Federal Funds Effective Rate for such day plus 0.50% and (iv) the eurocurrency rate for a one-month interest period on such day for dollars plus 1.0%), plus an applicable percentage in each case determined by the Company's leverage ratio. The credit facility is guaranteed by certain subsidiaries of the Company and is subject to various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financial covenants that require the Company to maintain certain financial ratios as defined in the credit facility agreement. As of March 31, 2022, the Company was in compliance with all such covenants. The revolving credit facility terminates February 10, 2025. There was $225,000 outstanding under the credit facility at March 31, 2022, and $100,000 outstanding balance at June 30, 2021.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 The credit line expires on April 30, 2023. There was no balance outstanding at March 31, 2022, or June 30, 2021.</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interest of $1,235 and $525 during the nine months ended March 31, 2022, and 2021, respectively.</w:t>
      </w:r>
    </w:p>
    <w:p>
      <w:pPr>
        <w:spacing w:after="0" w:line="3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7.</w:t>
      </w:r>
      <w:r>
        <w:rPr>
          <w:sz w:val="20"/>
          <w:szCs w:val="20"/>
          <w:color w:val="auto"/>
        </w:rPr>
        <w:tab/>
      </w:r>
      <w:r>
        <w:rPr>
          <w:rFonts w:ascii="Arial" w:cs="Arial" w:eastAsia="Arial" w:hAnsi="Arial"/>
          <w:sz w:val="17"/>
          <w:szCs w:val="17"/>
          <w:color w:val="auto"/>
        </w:rPr>
        <w:t>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increased for the three months ended March 31, 2022, compared to the three months ended March 31, 2021, with</w:t>
      </w:r>
    </w:p>
    <w:p>
      <w:pPr>
        <w:jc w:val="both"/>
        <w:spacing w:after="0" w:line="228" w:lineRule="auto"/>
        <w:rPr>
          <w:sz w:val="20"/>
          <w:szCs w:val="20"/>
          <w:color w:val="auto"/>
        </w:rPr>
      </w:pPr>
      <w:r>
        <w:rPr>
          <w:rFonts w:ascii="Arial" w:cs="Arial" w:eastAsia="Arial" w:hAnsi="Arial"/>
          <w:sz w:val="18"/>
          <w:szCs w:val="18"/>
          <w:color w:val="auto"/>
        </w:rPr>
        <w:t>an effective tax rate of 23.6% of income before income taxes, compared to 21.5% in the prior-year fiscal quarter. The increase in the effective tax rate comparing the three-month periods ended March 31 was primarily due to differences in the impact of increases in operating income relative to the impact of other items affecting the effective tax rate in the current period, the most significant of which are federal and state income tax credits.</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March 31, 2022, provision for income taxes increased compared to the nine months ended March 31, 2021, with an effective tax rate of 23.5% of income before income taxes, compared to 22.3% for the same period last fiscal year. The increase in the effective tax rate comparing the fiscal year-to-date periods ended March 31 was primarily due to the relative impact of the increase in operating income in the current fiscal year-to-date period and a larger excess tax benefit received from share-based compensation in the prior fiscal year-to-date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income taxes, net of refunds, of $44,245 and $40,440 in the nine months ended March 31, 2022, and 2021, respectively.</w:t>
      </w:r>
    </w:p>
    <w:p>
      <w:pPr>
        <w:spacing w:after="0" w:line="1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2022, the Company had $10,000 of gross unrecognized tax benefits before interest and penalties, $9,267 of which, if recognized, would affect our effective tax rate. The Company had accrued interest and penalties of $1,542 and $2,035 related to uncertain tax positions at March 31, 2022, and 2021, respectively.</w:t>
      </w:r>
    </w:p>
    <w:p>
      <w:pPr>
        <w:spacing w:after="0" w:line="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U.S. federal and state income tax returns for fiscal 2018 and all subsequent years remain subject to examination as of March 31, 2022, under statute of limitations rules. The Company anticipates reductions of the unrecognized tax benefits balance of $3,500 to $4,500 within twelve months of March 31, 2022, due to potential changes from lapsing statutes of limitations and examination closures.</w:t>
      </w:r>
    </w:p>
    <w:p>
      <w:pPr>
        <w:spacing w:after="0" w:line="40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8.</w:t>
      </w:r>
      <w:r>
        <w:rPr>
          <w:sz w:val="20"/>
          <w:szCs w:val="20"/>
          <w:color w:val="auto"/>
        </w:rPr>
        <w:tab/>
      </w:r>
      <w:r>
        <w:rPr>
          <w:rFonts w:ascii="Arial" w:cs="Arial" w:eastAsia="Arial" w:hAnsi="Arial"/>
          <w:sz w:val="17"/>
          <w:szCs w:val="17"/>
          <w:color w:val="auto"/>
        </w:rPr>
        <w:t>STOCK-BASED COMPENSATION</w:t>
      </w:r>
    </w:p>
    <w:p>
      <w:pPr>
        <w:spacing w:after="0" w:line="10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operating income for the three months ended March 31, 2022, and 2021, included $6,276 and $5,207 of stock-based compensation costs, respectively. Our operating income for the nine months ended March 31, 2022, and 2021, included $19,303 and $14,959 of stock-based compensation costs,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10, 2015, the Company adopted the 2015 Equity Incentive Plan ("2015 EIP") for its employees and non -employee directors. The plan allows for grants of stock options, stock appreciation rights, restricted stock shares or units, and performance shares or units. The maximum number of shares authorized for issuance under the plan is 3,000. For stock options, terms and vesting periods of the options are determined by the Compensation Committee of the Board of Directors when granted. The option period must expire not more than ten years from the option grant date. The options terminate upon surrender of the option, ninety days after termination of employment, or upon the expiration of one year following notification of a deceased optionee. The options granted under this plan are exercisable beginning three years after the grant date at an exercise price equal to 100% of the fair market value of the stock at the grant date.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80" w:type="dxa"/>
            <w:vAlign w:val="bottom"/>
          </w:tcPr>
          <w:p>
            <w:pPr>
              <w:spacing w:after="0"/>
              <w:rPr>
                <w:sz w:val="20"/>
                <w:szCs w:val="20"/>
                <w:color w:val="auto"/>
              </w:rPr>
            </w:pPr>
            <w:r>
              <w:rPr>
                <w:rFonts w:ascii="Arial" w:cs="Arial" w:eastAsia="Arial" w:hAnsi="Arial"/>
                <w:sz w:val="18"/>
                <w:szCs w:val="18"/>
                <w:color w:val="auto"/>
              </w:rPr>
              <w:t>A summary of option plan activity under this plan is as follows: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Weighted Average</w:t>
            </w:r>
          </w:p>
        </w:tc>
        <w:tc>
          <w:tcPr>
            <w:tcW w:w="280" w:type="dxa"/>
            <w:vAlign w:val="bottom"/>
          </w:tcPr>
          <w:p>
            <w:pPr>
              <w:spacing w:after="0"/>
              <w:rPr>
                <w:sz w:val="24"/>
                <w:szCs w:val="24"/>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81"/>
        </w:trPr>
        <w:tc>
          <w:tcPr>
            <w:tcW w:w="5780" w:type="dxa"/>
            <w:vAlign w:val="bottom"/>
          </w:tcPr>
          <w:p>
            <w:pPr>
              <w:spacing w:after="0"/>
              <w:rPr>
                <w:sz w:val="15"/>
                <w:szCs w:val="15"/>
                <w:color w:val="auto"/>
              </w:rPr>
            </w:pPr>
          </w:p>
        </w:tc>
        <w:tc>
          <w:tcPr>
            <w:tcW w:w="1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5780" w:type="dxa"/>
            <w:vAlign w:val="bottom"/>
            <w:vMerge w:val="restart"/>
          </w:tcPr>
          <w:p>
            <w:pPr>
              <w:ind w:left="20"/>
              <w:spacing w:after="0"/>
              <w:rPr>
                <w:sz w:val="20"/>
                <w:szCs w:val="20"/>
                <w:color w:val="auto"/>
              </w:rPr>
            </w:pPr>
            <w:r>
              <w:rPr>
                <w:rFonts w:ascii="Arial" w:cs="Arial" w:eastAsia="Arial" w:hAnsi="Arial"/>
                <w:sz w:val="18"/>
                <w:szCs w:val="18"/>
                <w:color w:val="auto"/>
              </w:rPr>
              <w:t>Outstanding July 1, 2021</w:t>
            </w:r>
          </w:p>
        </w:tc>
        <w:tc>
          <w:tcPr>
            <w:tcW w:w="1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Exercise Price</w:t>
            </w:r>
          </w:p>
        </w:tc>
        <w:tc>
          <w:tcPr>
            <w:tcW w:w="280" w:type="dxa"/>
            <w:vAlign w:val="bottom"/>
          </w:tcPr>
          <w:p>
            <w:pPr>
              <w:spacing w:after="0"/>
              <w:rPr>
                <w:sz w:val="19"/>
                <w:szCs w:val="19"/>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5780" w:type="dxa"/>
            <w:vAlign w:val="bottom"/>
            <w:vMerge w:val="continue"/>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Outstanding March 31, 2022</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1,283</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 and Expected to Vest March 31, 2022</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1,283</w:t>
            </w:r>
          </w:p>
        </w:tc>
        <w:tc>
          <w:tcPr>
            <w:tcW w:w="0" w:type="dxa"/>
            <w:vAlign w:val="bottom"/>
          </w:tcPr>
          <w:p>
            <w:pPr>
              <w:spacing w:after="0"/>
              <w:rPr>
                <w:sz w:val="1"/>
                <w:szCs w:val="1"/>
                <w:color w:val="auto"/>
              </w:rPr>
            </w:pPr>
          </w:p>
        </w:tc>
      </w:tr>
      <w:tr>
        <w:trPr>
          <w:trHeight w:val="247"/>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Exercisable March 31, 2022</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87.27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1,283</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March 31, 2022, there was no compensation cost yet to be recognized related to outstanding options. For options currently exercisable, the weighted average remaining contractual term (remaining period of exercisability) as of March 31, 2022, was 4.25 years.</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issues unit awards under the 2015 EIP. The following table summarizes non-vested performance and restricted stock unit awards as of March 31,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98"/>
              </w:rPr>
              <w:t>Weighted</w:t>
            </w: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center"/>
              <w:ind w:right="230"/>
              <w:spacing w:after="0" w:line="183" w:lineRule="exact"/>
              <w:rPr>
                <w:sz w:val="20"/>
                <w:szCs w:val="20"/>
                <w:color w:val="auto"/>
              </w:rPr>
            </w:pPr>
            <w:r>
              <w:rPr>
                <w:rFonts w:ascii="Arial" w:cs="Arial" w:eastAsia="Arial" w:hAnsi="Arial"/>
                <w:sz w:val="18"/>
                <w:szCs w:val="18"/>
                <w:b w:val="1"/>
                <w:bCs w:val="1"/>
                <w:color w:val="auto"/>
                <w:w w:val="98"/>
              </w:rPr>
              <w:t>Average</w:t>
            </w:r>
          </w:p>
        </w:tc>
        <w:tc>
          <w:tcPr>
            <w:tcW w:w="18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Aggregate Intrinsic</w:t>
            </w:r>
          </w:p>
        </w:tc>
        <w:tc>
          <w:tcPr>
            <w:tcW w:w="0" w:type="dxa"/>
            <w:vAlign w:val="bottom"/>
          </w:tcPr>
          <w:p>
            <w:pPr>
              <w:spacing w:after="0"/>
              <w:rPr>
                <w:sz w:val="1"/>
                <w:szCs w:val="1"/>
                <w:color w:val="auto"/>
              </w:rPr>
            </w:pPr>
          </w:p>
        </w:tc>
      </w:tr>
      <w:tr>
        <w:trPr>
          <w:trHeight w:val="181"/>
        </w:trPr>
        <w:tc>
          <w:tcPr>
            <w:tcW w:w="5780" w:type="dxa"/>
            <w:vAlign w:val="bottom"/>
          </w:tcPr>
          <w:p>
            <w:pPr>
              <w:spacing w:after="0"/>
              <w:rPr>
                <w:sz w:val="15"/>
                <w:szCs w:val="15"/>
                <w:color w:val="auto"/>
              </w:rPr>
            </w:pPr>
          </w:p>
        </w:tc>
        <w:tc>
          <w:tcPr>
            <w:tcW w:w="122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Units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center"/>
              <w:ind w:right="210"/>
              <w:spacing w:after="0" w:line="181" w:lineRule="exact"/>
              <w:rPr>
                <w:sz w:val="20"/>
                <w:szCs w:val="20"/>
                <w:color w:val="auto"/>
              </w:rPr>
            </w:pPr>
            <w:r>
              <w:rPr>
                <w:rFonts w:ascii="Arial" w:cs="Arial" w:eastAsia="Arial" w:hAnsi="Arial"/>
                <w:sz w:val="18"/>
                <w:szCs w:val="18"/>
                <w:b w:val="1"/>
                <w:bCs w:val="1"/>
                <w:color w:val="auto"/>
                <w:w w:val="99"/>
              </w:rPr>
              <w:t>Grant Date</w:t>
            </w:r>
          </w:p>
        </w:tc>
        <w:tc>
          <w:tcPr>
            <w:tcW w:w="1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7"/>
              </w:rPr>
              <w:t>Fair Value</w:t>
            </w: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July 1, 2021</w:t>
            </w:r>
          </w:p>
        </w:tc>
        <w:tc>
          <w:tcPr>
            <w:tcW w:w="1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160.22</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178.36</w:t>
            </w: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143.93</w:t>
            </w: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191.11</w:t>
            </w:r>
          </w:p>
        </w:tc>
        <w:tc>
          <w:tcPr>
            <w:tcW w:w="4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March 31, 2022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166.25</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61,821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133 unit awards granted in fiscal 2022 had service requirements and performance targets, with 85 having only service requirements. The unit awards with only service requirements were valued at the weighted average fair value of the non-vested units based on the fair market value of the Company’s equity shares on the grant date, less the present value of expected future dividends to be declared during the vesting period, consistent with the methodology for calculating compensation expense on such awards.</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remaining 48 unit awards granted in fiscal 2022 have performance targets along with service requirements. 19 of these performance and service requirement unit awards were valued at grant by estimating 100% payout at release and using the fair market value of the Company equity shares on the grant date, less the present value of expected future dividends to be declared during the vesting period. The payout at release of approximately half of these unit awards will be determined based on the Company's compound annual growth rate (CAGR) for revenue (excluding adjustments) for the three-year vesting period compared against goal thresholds as defined in the award agreement. The performance payout at release of the other half of these unit awards will be determined based on the expansion of the Company's non-GAAP operating margin over the three-year vesting period compared against goal thresholds as defined in the award agreement. The other 29 performance and service requirement unit awards were valued at grant using a Monte Carlo pricing model as of the measurement date customized to the specific provisions of the Company’s plan design. Per the Company's award vesting and settlement provisions, the awards that utilized a Monte Carlo pricing model were valued at grant on the basis of Total Shareholder Return (TSR) in comparison to the custom peer group comprised of participants approved by the Compensation Committee of the Company's Board of Directors for fiscal year 2022. The Monte Carlo inputs used in the model to estimate fair value at the measurement date and resulting values for these performance unit awards are as follows.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60" w:type="dxa"/>
            <w:vAlign w:val="bottom"/>
          </w:tcPr>
          <w:p>
            <w:pPr>
              <w:ind w:left="20"/>
              <w:spacing w:after="0"/>
              <w:rPr>
                <w:sz w:val="20"/>
                <w:szCs w:val="20"/>
                <w:color w:val="auto"/>
              </w:rPr>
            </w:pPr>
            <w:r>
              <w:rPr>
                <w:rFonts w:ascii="Arial" w:cs="Arial" w:eastAsia="Arial" w:hAnsi="Arial"/>
                <w:sz w:val="18"/>
                <w:szCs w:val="18"/>
                <w:color w:val="auto"/>
              </w:rPr>
              <w:t>Fiscal year 2022 Monte Carlo award inputs:</w:t>
            </w:r>
          </w:p>
        </w:tc>
        <w:tc>
          <w:tcPr>
            <w:tcW w:w="30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30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28.55 %</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30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0.32 %</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dividend based on most recent quarterly dividend</w:t>
            </w:r>
          </w:p>
        </w:tc>
        <w:tc>
          <w:tcPr>
            <w:tcW w:w="30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1.84</w:t>
            </w:r>
          </w:p>
        </w:tc>
      </w:tr>
      <w:tr>
        <w:trPr>
          <w:trHeight w:val="239"/>
        </w:trPr>
        <w:tc>
          <w:tcPr>
            <w:tcW w:w="7060" w:type="dxa"/>
            <w:vAlign w:val="bottom"/>
          </w:tcPr>
          <w:p>
            <w:pPr>
              <w:ind w:left="20"/>
              <w:spacing w:after="0"/>
              <w:rPr>
                <w:sz w:val="20"/>
                <w:szCs w:val="20"/>
                <w:color w:val="auto"/>
              </w:rPr>
            </w:pPr>
            <w:r>
              <w:rPr>
                <w:rFonts w:ascii="Arial" w:cs="Arial" w:eastAsia="Arial" w:hAnsi="Arial"/>
                <w:sz w:val="18"/>
                <w:szCs w:val="18"/>
                <w:color w:val="auto"/>
              </w:rPr>
              <w:t>Beginning TSR</w:t>
            </w:r>
          </w:p>
        </w:tc>
        <w:tc>
          <w:tcPr>
            <w:tcW w:w="30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65 %</w:t>
            </w:r>
          </w:p>
        </w:tc>
      </w:tr>
    </w:tbl>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March 31, 2022, there was $23,813 of compensation expense, excluding forfeitures, that has yet to be recognized related to non-vested restricted stock unit awards, which will be recognized over a weighted average period of 1.32 years.</w:t>
      </w:r>
    </w:p>
    <w:p>
      <w:pPr>
        <w:spacing w:after="0" w:line="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NOTE 9.</w:t>
        <w:tab/>
        <w:t>EARNINGS PER SHARE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reconciliation between basic and diluted earnings per share.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60" w:type="dxa"/>
            <w:vAlign w:val="bottom"/>
          </w:tcPr>
          <w:p>
            <w:pPr>
              <w:spacing w:after="0"/>
              <w:rPr>
                <w:sz w:val="20"/>
                <w:szCs w:val="20"/>
                <w:color w:val="auto"/>
              </w:rPr>
            </w:pPr>
          </w:p>
        </w:tc>
        <w:tc>
          <w:tcPr>
            <w:tcW w:w="2860" w:type="dxa"/>
            <w:vAlign w:val="bottom"/>
            <w:gridSpan w:val="8"/>
          </w:tcPr>
          <w:p>
            <w:pPr>
              <w:ind w:left="100"/>
              <w:spacing w:after="0"/>
              <w:rPr>
                <w:sz w:val="20"/>
                <w:szCs w:val="20"/>
                <w:color w:val="auto"/>
              </w:rPr>
            </w:pPr>
            <w:r>
              <w:rPr>
                <w:rFonts w:ascii="Arial" w:cs="Arial" w:eastAsia="Arial" w:hAnsi="Arial"/>
                <w:sz w:val="18"/>
                <w:szCs w:val="18"/>
                <w:color w:val="auto"/>
              </w:rPr>
              <w:t>Three Months Ended March 31,</w:t>
            </w:r>
          </w:p>
        </w:tc>
        <w:tc>
          <w:tcPr>
            <w:tcW w:w="120" w:type="dxa"/>
            <w:vAlign w:val="bottom"/>
          </w:tcPr>
          <w:p>
            <w:pPr>
              <w:spacing w:after="0"/>
              <w:rPr>
                <w:sz w:val="20"/>
                <w:szCs w:val="20"/>
                <w:color w:val="auto"/>
              </w:rPr>
            </w:pPr>
          </w:p>
        </w:tc>
        <w:tc>
          <w:tcPr>
            <w:tcW w:w="2600" w:type="dxa"/>
            <w:vAlign w:val="bottom"/>
            <w:gridSpan w:val="8"/>
          </w:tcPr>
          <w:p>
            <w:pPr>
              <w:jc w:val="right"/>
              <w:ind w:right="140"/>
              <w:spacing w:after="0"/>
              <w:rPr>
                <w:sz w:val="20"/>
                <w:szCs w:val="20"/>
                <w:color w:val="auto"/>
              </w:rPr>
            </w:pPr>
            <w:r>
              <w:rPr>
                <w:rFonts w:ascii="Arial" w:cs="Arial" w:eastAsia="Arial" w:hAnsi="Arial"/>
                <w:sz w:val="18"/>
                <w:szCs w:val="18"/>
                <w:color w:val="auto"/>
              </w:rPr>
              <w:t>Nine Months Ended March 31,</w:t>
            </w:r>
          </w:p>
        </w:tc>
      </w:tr>
      <w:tr>
        <w:trPr>
          <w:trHeight w:val="183"/>
        </w:trPr>
        <w:tc>
          <w:tcPr>
            <w:tcW w:w="566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color w:val="auto"/>
                <w:w w:val="94"/>
              </w:rPr>
              <w:t>2021</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3"/>
          </w:tcPr>
          <w:p>
            <w:pPr>
              <w:jc w:val="right"/>
              <w:ind w:right="460"/>
              <w:spacing w:after="0" w:line="182" w:lineRule="exact"/>
              <w:rPr>
                <w:sz w:val="20"/>
                <w:szCs w:val="20"/>
                <w:color w:val="auto"/>
              </w:rPr>
            </w:pPr>
            <w:r>
              <w:rPr>
                <w:rFonts w:ascii="Arial" w:cs="Arial" w:eastAsia="Arial" w:hAnsi="Arial"/>
                <w:sz w:val="18"/>
                <w:szCs w:val="18"/>
                <w:color w:val="auto"/>
              </w:rPr>
              <w:t>2021</w:t>
            </w:r>
          </w:p>
        </w:tc>
      </w:tr>
      <w:tr>
        <w:trPr>
          <w:trHeight w:val="20"/>
        </w:trPr>
        <w:tc>
          <w:tcPr>
            <w:tcW w:w="5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84,707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71,409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282,490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234,607</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 information:</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30"/>
        </w:trPr>
        <w:tc>
          <w:tcPr>
            <w:tcW w:w="5660" w:type="dxa"/>
            <w:vAlign w:val="bottom"/>
          </w:tcPr>
          <w:p>
            <w:pPr>
              <w:ind w:left="220"/>
              <w:spacing w:after="0" w:line="230" w:lineRule="exact"/>
              <w:rPr>
                <w:sz w:val="20"/>
                <w:szCs w:val="20"/>
                <w:color w:val="auto"/>
              </w:rPr>
            </w:pPr>
            <w:r>
              <w:rPr>
                <w:rFonts w:ascii="Arial" w:cs="Arial" w:eastAsia="Arial" w:hAnsi="Arial"/>
                <w:sz w:val="18"/>
                <w:szCs w:val="18"/>
                <w:color w:val="auto"/>
              </w:rPr>
              <w:t>Weighted average shares outstanding for basic earnings per share</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72,835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75,357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73,477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76,022</w:t>
            </w:r>
          </w:p>
        </w:tc>
      </w:tr>
      <w:tr>
        <w:trPr>
          <w:trHeight w:val="229"/>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and restricted stock</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r>
      <w:tr>
        <w:trPr>
          <w:trHeight w:val="223"/>
        </w:trPr>
        <w:tc>
          <w:tcPr>
            <w:tcW w:w="5660" w:type="dxa"/>
            <w:vAlign w:val="bottom"/>
          </w:tcPr>
          <w:p>
            <w:pPr>
              <w:ind w:left="20"/>
              <w:spacing w:after="0" w:line="223" w:lineRule="exact"/>
              <w:rPr>
                <w:sz w:val="20"/>
                <w:szCs w:val="20"/>
                <w:color w:val="auto"/>
              </w:rPr>
            </w:pPr>
            <w:r>
              <w:rPr>
                <w:rFonts w:ascii="Arial" w:cs="Arial" w:eastAsia="Arial" w:hAnsi="Arial"/>
                <w:sz w:val="18"/>
                <w:szCs w:val="18"/>
                <w:color w:val="auto"/>
              </w:rPr>
              <w:t>Weighted average shares outstanding for diluted earnings per share</w:t>
            </w:r>
            <w:r>
              <w:rPr>
                <w:rFonts w:ascii="Arial" w:cs="Arial" w:eastAsia="Arial" w:hAnsi="Arial"/>
                <w:sz w:val="23"/>
                <w:szCs w:val="23"/>
                <w:color w:val="auto"/>
                <w:vertAlign w:val="superscript"/>
              </w:rPr>
              <w:t>1</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73,019</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75,431</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73,619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76,141</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24"/>
        </w:trPr>
        <w:tc>
          <w:tcPr>
            <w:tcW w:w="56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Basic earnings per share</w:t>
            </w:r>
            <w:r>
              <w:rPr>
                <w:rFonts w:ascii="Arial" w:cs="Arial" w:eastAsia="Arial" w:hAnsi="Arial"/>
                <w:sz w:val="23"/>
                <w:szCs w:val="23"/>
                <w:color w:val="auto"/>
                <w:vertAlign w:val="superscript"/>
              </w:rPr>
              <w:t>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3.09</w:t>
            </w:r>
          </w:p>
        </w:tc>
      </w:tr>
      <w:tr>
        <w:trPr>
          <w:trHeight w:val="316"/>
        </w:trPr>
        <w:tc>
          <w:tcPr>
            <w:tcW w:w="5660" w:type="dxa"/>
            <w:vAlign w:val="bottom"/>
          </w:tcPr>
          <w:p>
            <w:pPr>
              <w:ind w:left="20"/>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2</w:t>
            </w: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0.95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3.84</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3.08</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The change in weighted average shares outstanding is primarily due to the weighted effect of the Company's repurchase of 2,800 shares of common stock during all of fiscal</w:t>
      </w:r>
    </w:p>
    <w:p>
      <w:pPr>
        <w:spacing w:after="0"/>
        <w:rPr>
          <w:sz w:val="20"/>
          <w:szCs w:val="20"/>
          <w:color w:val="auto"/>
        </w:rPr>
      </w:pPr>
      <w:r>
        <w:rPr>
          <w:rFonts w:ascii="Arial" w:cs="Arial" w:eastAsia="Arial" w:hAnsi="Arial"/>
          <w:sz w:val="14"/>
          <w:szCs w:val="14"/>
          <w:color w:val="auto"/>
        </w:rPr>
        <w:t>2021 (2,500 shares repurchased during the first three quarters of fiscal 2021) and the repurchase of 1,250 shares during fiscal year-to-date 2022.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Common stock repurchases during the trailing twelve months contributed $0.02 to diluted earnings per share for the third fiscal quarter and $0.05 for year-to-date fiscal 2022.</w:t>
      </w:r>
    </w:p>
    <w:p>
      <w:pPr>
        <w:spacing w:after="0" w:line="3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Per share information is based on the weighted average number of common shares outstanding for the three and nine months ended March 31, 2022, and 2021. Stock options and restricted stock units have been included in the calculation of earnings per share to the extent they are dilutive. There were nominal and 10 anti-dilutive stock options or restricted stock units excluded for the three and nine months ended March 31, 2022, respectively, and there were none excluded for both the three and nine months ended March 31, 2021.</w:t>
      </w:r>
    </w:p>
    <w:p>
      <w:pPr>
        <w:spacing w:after="0" w:line="37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NOTE 10.</w:t>
      </w:r>
      <w:r>
        <w:rPr>
          <w:sz w:val="20"/>
          <w:szCs w:val="20"/>
          <w:color w:val="auto"/>
        </w:rPr>
        <w:tab/>
      </w:r>
      <w:r>
        <w:rPr>
          <w:rFonts w:ascii="Arial" w:cs="Arial" w:eastAsia="Arial" w:hAnsi="Arial"/>
          <w:sz w:val="17"/>
          <w:szCs w:val="17"/>
          <w:color w:val="auto"/>
        </w:rPr>
        <w:t>REPORTABLE SEGMENT INFORMATION</w:t>
      </w:r>
    </w:p>
    <w:p>
      <w:pPr>
        <w:spacing w:after="0" w:line="10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is a provider of integrated computer systems that perform data processing (available for on-premise installations or JKHY cloud-based services) for banks and credit unions.</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transaction processing services, online and mobile bill pay solutions, Automated Clearing House ("ACH") origination and remote deposit capture processing, and risk management products and services. The Complementary segment provides additional software and services that can be integrated with our core solutions, and many can be used independently. The Corporate and Other segment includes hardware revenue and costs, as well as operating costs not directly attributable to the other three segments.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Immaterial adjustments were made to reclassify cost of revenue in the quarter and year-to-date periods of fiscal 2021 from the Core segment to the Corporate and Other segment to be consistent with the current allocation of cost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of revenue by segment. The amounts reclassified for the three and nine months ended March 31, 2021 were $34 and $97, respectively.</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evaluates the performance of its segments and allocates resources to them based on various factors, including performance against trend, budget, and forecast. Only revenue and costs of revenue are considered in the evaluation for each segment.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March 31, 2022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2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141,194</w:t>
            </w:r>
          </w:p>
        </w:tc>
        <w:tc>
          <w:tcPr>
            <w:tcW w:w="34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22,455</w:t>
            </w:r>
          </w:p>
        </w:tc>
        <w:tc>
          <w:tcPr>
            <w:tcW w:w="1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107,730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11,542</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282,921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4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155,092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195,339</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tcBorders>
          </w:tcPr>
          <w:p>
            <w:pPr>
              <w:ind w:left="54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150,799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177,547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137,710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478,260</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66,576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94,628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58,957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62,178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282,339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30,725</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3240" w:type="dxa"/>
            <w:vAlign w:val="bottom"/>
            <w:tcBorders>
              <w:bottom w:val="single" w:sz="8" w:color="CCEEFF"/>
              <w:right w:val="single" w:sz="8" w:color="CECECE"/>
            </w:tcBorders>
          </w:tcPr>
          <w:p>
            <w:pPr>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53,607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gridSpan w:val="2"/>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78,753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(49,974)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111,589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40" w:type="dxa"/>
            <w:vAlign w:val="bottom"/>
            <w:tcBorders>
              <w:right w:val="single" w:sz="8" w:color="CECECE"/>
            </w:tcBorders>
            <w:shd w:val="clear" w:color="auto" w:fill="CCEEFF"/>
          </w:tcPr>
          <w:p>
            <w:pPr>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tcPr>
          <w:p>
            <w:pPr>
              <w:spacing w:after="0"/>
              <w:rPr>
                <w:sz w:val="22"/>
                <w:szCs w:val="22"/>
                <w:color w:val="auto"/>
              </w:rPr>
            </w:pPr>
          </w:p>
        </w:tc>
        <w:tc>
          <w:tcPr>
            <w:tcW w:w="3240" w:type="dxa"/>
            <w:vAlign w:val="bottom"/>
            <w:tcBorders>
              <w:bottom w:val="single" w:sz="8" w:color="CCEEFF"/>
            </w:tcBorders>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right w:val="single" w:sz="8" w:color="CECECE"/>
            </w:tcBorders>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740" w:type="dxa"/>
            <w:vAlign w:val="bottom"/>
            <w:tcBorders>
              <w:top w:val="single" w:sz="8" w:color="CECECE"/>
              <w:bottom w:val="single" w:sz="8" w:color="CECECE"/>
            </w:tcBorders>
            <w:gridSpan w:val="4"/>
            <w:vMerge w:val="restart"/>
          </w:tcPr>
          <w:p>
            <w:pPr>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9"/>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March 31, 2021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Core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Payments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Complementary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Corporate and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40"/>
              <w:spacing w:after="0"/>
              <w:rPr>
                <w:sz w:val="20"/>
                <w:szCs w:val="20"/>
                <w:color w:val="auto"/>
              </w:rPr>
            </w:pPr>
            <w:r>
              <w:rPr>
                <w:rFonts w:ascii="Arial" w:cs="Arial" w:eastAsia="Arial" w:hAnsi="Arial"/>
                <w:sz w:val="16"/>
                <w:szCs w:val="16"/>
                <w:color w:val="auto"/>
              </w:rPr>
              <w:t>Services and Support</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126,400</w:t>
            </w:r>
          </w:p>
        </w:tc>
        <w:tc>
          <w:tcPr>
            <w:tcW w:w="34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15,978</w:t>
            </w:r>
          </w:p>
        </w:tc>
        <w:tc>
          <w:tcPr>
            <w:tcW w:w="1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100,421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11,840</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254,639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144,863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25,010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540"/>
              <w:spacing w:after="0"/>
              <w:rPr>
                <w:sz w:val="20"/>
                <w:szCs w:val="20"/>
                <w:color w:val="auto"/>
              </w:rPr>
            </w:pPr>
            <w:r>
              <w:rPr>
                <w:rFonts w:ascii="Arial" w:cs="Arial" w:eastAsia="Arial" w:hAnsi="Arial"/>
                <w:sz w:val="16"/>
                <w:szCs w:val="16"/>
                <w:b w:val="1"/>
                <w:bCs w:val="1"/>
                <w:color w:val="auto"/>
              </w:rPr>
              <w:t>Total Revenue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135,149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160,841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125,431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433,776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63,225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87,628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54,207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62,710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267,770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20" w:type="dxa"/>
            <w:vAlign w:val="bottom"/>
            <w:tcBorders>
              <w:bottom w:val="single" w:sz="8" w:color="CECECE"/>
            </w:tcBorders>
            <w:shd w:val="clear" w:color="auto" w:fill="CECECE"/>
          </w:tcPr>
          <w:p>
            <w:pPr>
              <w:spacing w:after="0"/>
              <w:rPr>
                <w:sz w:val="18"/>
                <w:szCs w:val="18"/>
                <w:color w:val="auto"/>
              </w:rPr>
            </w:pPr>
          </w:p>
        </w:tc>
        <w:tc>
          <w:tcPr>
            <w:tcW w:w="114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220" w:type="dxa"/>
            <w:vAlign w:val="bottom"/>
            <w:tcBorders>
              <w:bottom w:val="single" w:sz="8" w:color="CECECE"/>
            </w:tcBorders>
            <w:shd w:val="clear" w:color="auto" w:fill="CECECE"/>
          </w:tcPr>
          <w:p>
            <w:pPr>
              <w:spacing w:after="0"/>
              <w:rPr>
                <w:sz w:val="18"/>
                <w:szCs w:val="18"/>
                <w:color w:val="auto"/>
              </w:rPr>
            </w:pPr>
          </w:p>
        </w:tc>
        <w:tc>
          <w:tcPr>
            <w:tcW w:w="12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0" w:type="dxa"/>
            <w:vAlign w:val="bottom"/>
            <w:tcBorders>
              <w:bottom w:val="single" w:sz="8" w:color="CECECE"/>
            </w:tcBorders>
            <w:shd w:val="clear" w:color="auto" w:fill="CECECE"/>
          </w:tcPr>
          <w:p>
            <w:pPr>
              <w:spacing w:after="0"/>
              <w:rPr>
                <w:sz w:val="18"/>
                <w:szCs w:val="18"/>
                <w:color w:val="auto"/>
              </w:rPr>
            </w:pPr>
          </w:p>
        </w:tc>
        <w:tc>
          <w:tcPr>
            <w:tcW w:w="140" w:type="dxa"/>
            <w:vAlign w:val="bottom"/>
            <w:tcBorders>
              <w:bottom w:val="single" w:sz="8" w:color="CECECE"/>
            </w:tcBorders>
            <w:shd w:val="clear" w:color="auto" w:fill="CECECE"/>
          </w:tcPr>
          <w:p>
            <w:pPr>
              <w:spacing w:after="0"/>
              <w:rPr>
                <w:sz w:val="18"/>
                <w:szCs w:val="18"/>
                <w:color w:val="auto"/>
              </w:rPr>
            </w:pPr>
          </w:p>
        </w:tc>
        <w:tc>
          <w:tcPr>
            <w:tcW w:w="13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342,573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gridSpan w:val="4"/>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71,924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73,213</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71,224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(50,355)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91,203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20" w:type="dxa"/>
            <w:vAlign w:val="bottom"/>
            <w:shd w:val="clear" w:color="auto" w:fill="CECECE"/>
          </w:tcPr>
          <w:p>
            <w:pPr>
              <w:spacing w:after="0"/>
              <w:rPr>
                <w:sz w:val="18"/>
                <w:szCs w:val="18"/>
                <w:color w:val="auto"/>
              </w:rPr>
            </w:pPr>
          </w:p>
        </w:tc>
        <w:tc>
          <w:tcPr>
            <w:tcW w:w="114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220" w:type="dxa"/>
            <w:vAlign w:val="bottom"/>
            <w:shd w:val="clear" w:color="auto" w:fill="CECECE"/>
          </w:tcPr>
          <w:p>
            <w:pPr>
              <w:spacing w:after="0"/>
              <w:rPr>
                <w:sz w:val="18"/>
                <w:szCs w:val="18"/>
                <w:color w:val="auto"/>
              </w:rPr>
            </w:pPr>
          </w:p>
        </w:tc>
        <w:tc>
          <w:tcPr>
            <w:tcW w:w="12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0" w:type="dxa"/>
            <w:vAlign w:val="bottom"/>
            <w:shd w:val="clear" w:color="auto" w:fill="CECECE"/>
          </w:tcPr>
          <w:p>
            <w:pPr>
              <w:spacing w:after="0"/>
              <w:rPr>
                <w:sz w:val="18"/>
                <w:szCs w:val="18"/>
                <w:color w:val="auto"/>
              </w:rPr>
            </w:pPr>
          </w:p>
        </w:tc>
        <w:tc>
          <w:tcPr>
            <w:tcW w:w="140" w:type="dxa"/>
            <w:vAlign w:val="bottom"/>
            <w:shd w:val="clear" w:color="auto" w:fill="CECECE"/>
          </w:tcPr>
          <w:p>
            <w:pPr>
              <w:spacing w:after="0"/>
              <w:rPr>
                <w:sz w:val="18"/>
                <w:szCs w:val="18"/>
                <w:color w:val="auto"/>
              </w:rPr>
            </w:pPr>
          </w:p>
        </w:tc>
        <w:tc>
          <w:tcPr>
            <w:tcW w:w="13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40" w:type="dxa"/>
            <w:vAlign w:val="bottom"/>
            <w:tcBorders>
              <w:bottom w:val="single" w:sz="8" w:color="CCEEFF"/>
            </w:tcBorders>
          </w:tcPr>
          <w:p>
            <w:pPr>
              <w:spacing w:after="0"/>
              <w:rPr>
                <w:sz w:val="22"/>
                <w:szCs w:val="22"/>
                <w:color w:val="auto"/>
              </w:rPr>
            </w:pPr>
          </w:p>
        </w:tc>
        <w:tc>
          <w:tcPr>
            <w:tcW w:w="320" w:type="dxa"/>
            <w:vAlign w:val="bottom"/>
            <w:tcBorders>
              <w:bottom w:val="single" w:sz="8" w:color="CECECE"/>
            </w:tcBorders>
          </w:tcPr>
          <w:p>
            <w:pPr>
              <w:spacing w:after="0"/>
              <w:rPr>
                <w:sz w:val="22"/>
                <w:szCs w:val="22"/>
                <w:color w:val="auto"/>
              </w:rPr>
            </w:pPr>
          </w:p>
        </w:tc>
        <w:tc>
          <w:tcPr>
            <w:tcW w:w="114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220" w:type="dxa"/>
            <w:vAlign w:val="bottom"/>
            <w:tcBorders>
              <w:bottom w:val="single" w:sz="8" w:color="CECECE"/>
            </w:tcBorders>
          </w:tcPr>
          <w:p>
            <w:pPr>
              <w:spacing w:after="0"/>
              <w:rPr>
                <w:sz w:val="22"/>
                <w:szCs w:val="22"/>
                <w:color w:val="auto"/>
              </w:rPr>
            </w:pPr>
          </w:p>
        </w:tc>
        <w:tc>
          <w:tcPr>
            <w:tcW w:w="12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0" w:type="dxa"/>
            <w:vAlign w:val="bottom"/>
            <w:tcBorders>
              <w:bottom w:val="single" w:sz="8" w:color="CECECE"/>
            </w:tcBorders>
          </w:tcPr>
          <w:p>
            <w:pPr>
              <w:spacing w:after="0"/>
              <w:rPr>
                <w:sz w:val="22"/>
                <w:szCs w:val="22"/>
                <w:color w:val="auto"/>
              </w:rPr>
            </w:pPr>
          </w:p>
        </w:tc>
        <w:tc>
          <w:tcPr>
            <w:tcW w:w="140" w:type="dxa"/>
            <w:vAlign w:val="bottom"/>
            <w:tcBorders>
              <w:bottom w:val="single" w:sz="8" w:color="CECECE"/>
            </w:tcBorders>
          </w:tcPr>
          <w:p>
            <w:pPr>
              <w:spacing w:after="0"/>
              <w:rPr>
                <w:sz w:val="22"/>
                <w:szCs w:val="22"/>
                <w:color w:val="auto"/>
              </w:rPr>
            </w:pPr>
          </w:p>
        </w:tc>
        <w:tc>
          <w:tcPr>
            <w:tcW w:w="1340" w:type="dxa"/>
            <w:vAlign w:val="bottom"/>
            <w:tcBorders>
              <w:bottom w:val="single" w:sz="8" w:color="CECECE"/>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19"/>
                <w:szCs w:val="19"/>
                <w:color w:val="auto"/>
              </w:rPr>
            </w:pPr>
          </w:p>
        </w:tc>
        <w:tc>
          <w:tcPr>
            <w:tcW w:w="32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ECECE"/>
            </w:tcBorders>
            <w:shd w:val="clear" w:color="auto" w:fill="CECECE"/>
          </w:tcPr>
          <w:p>
            <w:pPr>
              <w:spacing w:after="0"/>
              <w:rPr>
                <w:sz w:val="19"/>
                <w:szCs w:val="19"/>
                <w:color w:val="auto"/>
              </w:rPr>
            </w:pPr>
          </w:p>
        </w:tc>
        <w:tc>
          <w:tcPr>
            <w:tcW w:w="114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220" w:type="dxa"/>
            <w:vAlign w:val="bottom"/>
            <w:tcBorders>
              <w:bottom w:val="single" w:sz="8" w:color="CECECE"/>
            </w:tcBorders>
            <w:shd w:val="clear" w:color="auto" w:fill="CECECE"/>
          </w:tcPr>
          <w:p>
            <w:pPr>
              <w:spacing w:after="0"/>
              <w:rPr>
                <w:sz w:val="19"/>
                <w:szCs w:val="19"/>
                <w:color w:val="auto"/>
              </w:rPr>
            </w:pPr>
          </w:p>
        </w:tc>
        <w:tc>
          <w:tcPr>
            <w:tcW w:w="12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0" w:type="dxa"/>
            <w:vAlign w:val="bottom"/>
            <w:tcBorders>
              <w:bottom w:val="single" w:sz="8" w:color="CECECE"/>
            </w:tcBorders>
            <w:shd w:val="clear" w:color="auto" w:fill="CECECE"/>
          </w:tcPr>
          <w:p>
            <w:pPr>
              <w:spacing w:after="0"/>
              <w:rPr>
                <w:sz w:val="19"/>
                <w:szCs w:val="19"/>
                <w:color w:val="auto"/>
              </w:rPr>
            </w:pPr>
          </w:p>
        </w:tc>
        <w:tc>
          <w:tcPr>
            <w:tcW w:w="140" w:type="dxa"/>
            <w:vAlign w:val="bottom"/>
            <w:tcBorders>
              <w:bottom w:val="single" w:sz="8" w:color="CECECE"/>
            </w:tcBorders>
            <w:shd w:val="clear" w:color="auto" w:fill="CECECE"/>
          </w:tcPr>
          <w:p>
            <w:pPr>
              <w:spacing w:after="0"/>
              <w:rPr>
                <w:sz w:val="19"/>
                <w:szCs w:val="19"/>
                <w:color w:val="auto"/>
              </w:rPr>
            </w:pPr>
          </w:p>
        </w:tc>
        <w:tc>
          <w:tcPr>
            <w:tcW w:w="134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ECECE"/>
            </w:tcBorders>
          </w:tcPr>
          <w:p>
            <w:pPr>
              <w:spacing w:after="0" w:line="20" w:lineRule="exact"/>
              <w:rPr>
                <w:sz w:val="1"/>
                <w:szCs w:val="1"/>
                <w:color w:val="auto"/>
              </w:rPr>
            </w:pPr>
          </w:p>
        </w:tc>
        <w:tc>
          <w:tcPr>
            <w:tcW w:w="114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220" w:type="dxa"/>
            <w:vAlign w:val="bottom"/>
            <w:tcBorders>
              <w:top w:val="single" w:sz="8" w:color="CECECE"/>
            </w:tcBorders>
          </w:tcPr>
          <w:p>
            <w:pPr>
              <w:spacing w:after="0" w:line="20" w:lineRule="exact"/>
              <w:rPr>
                <w:sz w:val="1"/>
                <w:szCs w:val="1"/>
                <w:color w:val="auto"/>
              </w:rPr>
            </w:pPr>
          </w:p>
        </w:tc>
        <w:tc>
          <w:tcPr>
            <w:tcW w:w="12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0" w:type="dxa"/>
            <w:vAlign w:val="bottom"/>
            <w:tcBorders>
              <w:top w:val="single" w:sz="8" w:color="CECECE"/>
            </w:tcBorders>
          </w:tcPr>
          <w:p>
            <w:pPr>
              <w:spacing w:after="0" w:line="20" w:lineRule="exact"/>
              <w:rPr>
                <w:sz w:val="1"/>
                <w:szCs w:val="1"/>
                <w:color w:val="auto"/>
              </w:rPr>
            </w:pPr>
          </w:p>
        </w:tc>
        <w:tc>
          <w:tcPr>
            <w:tcW w:w="140" w:type="dxa"/>
            <w:vAlign w:val="bottom"/>
            <w:tcBorders>
              <w:top w:val="single" w:sz="8" w:color="CECECE"/>
            </w:tcBorders>
          </w:tcPr>
          <w:p>
            <w:pPr>
              <w:spacing w:after="0" w:line="20" w:lineRule="exact"/>
              <w:rPr>
                <w:sz w:val="1"/>
                <w:szCs w:val="1"/>
                <w:color w:val="auto"/>
              </w:rPr>
            </w:pPr>
          </w:p>
        </w:tc>
        <w:tc>
          <w:tcPr>
            <w:tcW w:w="13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2022</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Complementary</w:t>
            </w:r>
          </w:p>
        </w:tc>
        <w:tc>
          <w:tcPr>
            <w:tcW w:w="1920" w:type="dxa"/>
            <w:vAlign w:val="bottom"/>
            <w:gridSpan w:val="4"/>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442,730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62,049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335,174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36,672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876,625</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28,232</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467,648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85,741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583,587</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470,962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529,697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420,915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1,460,212</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198,032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283,423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172,593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187,751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841,799</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60" w:type="dxa"/>
            <w:vAlign w:val="bottom"/>
            <w:shd w:val="clear" w:color="auto" w:fill="CECECE"/>
          </w:tcPr>
          <w:p>
            <w:pPr>
              <w:spacing w:after="0"/>
              <w:rPr>
                <w:sz w:val="18"/>
                <w:szCs w:val="18"/>
                <w:color w:val="auto"/>
              </w:rPr>
            </w:pPr>
          </w:p>
        </w:tc>
        <w:tc>
          <w:tcPr>
            <w:tcW w:w="10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87,394</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460" w:type="dxa"/>
            <w:vAlign w:val="bottom"/>
            <w:tcBorders>
              <w:bottom w:val="single" w:sz="8" w:color="CECECE"/>
            </w:tcBorders>
            <w:shd w:val="clear" w:color="auto" w:fill="CECECE"/>
          </w:tcPr>
          <w:p>
            <w:pPr>
              <w:spacing w:after="0"/>
              <w:rPr>
                <w:sz w:val="18"/>
                <w:szCs w:val="18"/>
                <w:color w:val="auto"/>
              </w:rPr>
            </w:pPr>
          </w:p>
        </w:tc>
        <w:tc>
          <w:tcPr>
            <w:tcW w:w="104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160,172</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60" w:type="dxa"/>
            <w:vAlign w:val="bottom"/>
            <w:shd w:val="clear" w:color="auto" w:fill="CECECE"/>
          </w:tcPr>
          <w:p>
            <w:pPr>
              <w:spacing w:after="0"/>
              <w:rPr>
                <w:sz w:val="18"/>
                <w:szCs w:val="18"/>
                <w:color w:val="auto"/>
              </w:rPr>
            </w:pPr>
          </w:p>
        </w:tc>
        <w:tc>
          <w:tcPr>
            <w:tcW w:w="10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1,089,365</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272,930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246,274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248,322</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(149,113)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60" w:type="dxa"/>
            <w:vAlign w:val="bottom"/>
            <w:shd w:val="clear" w:color="auto" w:fill="CECECE"/>
          </w:tcPr>
          <w:p>
            <w:pPr>
              <w:spacing w:after="0"/>
              <w:rPr>
                <w:sz w:val="18"/>
                <w:szCs w:val="18"/>
                <w:color w:val="auto"/>
              </w:rPr>
            </w:pPr>
          </w:p>
        </w:tc>
        <w:tc>
          <w:tcPr>
            <w:tcW w:w="10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370,847</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60" w:type="dxa"/>
            <w:vAlign w:val="bottom"/>
            <w:shd w:val="clear" w:color="auto" w:fill="CECECE"/>
          </w:tcPr>
          <w:p>
            <w:pPr>
              <w:spacing w:after="0"/>
              <w:rPr>
                <w:sz w:val="18"/>
                <w:szCs w:val="18"/>
                <w:color w:val="auto"/>
              </w:rPr>
            </w:pPr>
          </w:p>
        </w:tc>
        <w:tc>
          <w:tcPr>
            <w:tcW w:w="104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top w:val="single" w:sz="8" w:color="CECECE"/>
              <w:bottom w:val="single" w:sz="8" w:color="CECECE"/>
            </w:tcBorders>
            <w:shd w:val="clear" w:color="auto" w:fill="CECECE"/>
          </w:tcPr>
          <w:p>
            <w:pPr>
              <w:spacing w:after="0"/>
              <w:rPr>
                <w:sz w:val="19"/>
                <w:szCs w:val="19"/>
                <w:color w:val="auto"/>
              </w:rPr>
            </w:pPr>
          </w:p>
        </w:tc>
        <w:tc>
          <w:tcPr>
            <w:tcW w:w="1160" w:type="dxa"/>
            <w:vAlign w:val="bottom"/>
            <w:tcBorders>
              <w:top w:val="single" w:sz="8" w:color="CECECE"/>
              <w:bottom w:val="single" w:sz="8" w:color="CECECE"/>
            </w:tcBorders>
            <w:shd w:val="clear" w:color="auto" w:fill="CECECE"/>
          </w:tcPr>
          <w:p>
            <w:pPr>
              <w:spacing w:after="0"/>
              <w:rPr>
                <w:sz w:val="19"/>
                <w:szCs w:val="19"/>
                <w:color w:val="auto"/>
              </w:rPr>
            </w:pPr>
          </w:p>
        </w:tc>
        <w:tc>
          <w:tcPr>
            <w:tcW w:w="100" w:type="dxa"/>
            <w:vAlign w:val="bottom"/>
            <w:tcBorders>
              <w:top w:val="single" w:sz="8" w:color="CECECE"/>
              <w:bottom w:val="single" w:sz="8" w:color="CECECE"/>
            </w:tcBorders>
            <w:shd w:val="clear" w:color="auto" w:fill="CECECE"/>
          </w:tcPr>
          <w:p>
            <w:pPr>
              <w:spacing w:after="0"/>
              <w:rPr>
                <w:sz w:val="19"/>
                <w:szCs w:val="19"/>
                <w:color w:val="auto"/>
              </w:rPr>
            </w:pPr>
          </w:p>
        </w:tc>
        <w:tc>
          <w:tcPr>
            <w:tcW w:w="240" w:type="dxa"/>
            <w:vAlign w:val="bottom"/>
            <w:tcBorders>
              <w:top w:val="single" w:sz="8" w:color="CECECE"/>
              <w:bottom w:val="single" w:sz="8" w:color="CECECE"/>
            </w:tcBorders>
            <w:shd w:val="clear" w:color="auto" w:fill="CECECE"/>
          </w:tcPr>
          <w:p>
            <w:pPr>
              <w:spacing w:after="0"/>
              <w:rPr>
                <w:sz w:val="19"/>
                <w:szCs w:val="19"/>
                <w:color w:val="auto"/>
              </w:rPr>
            </w:pPr>
          </w:p>
        </w:tc>
        <w:tc>
          <w:tcPr>
            <w:tcW w:w="1240" w:type="dxa"/>
            <w:vAlign w:val="bottom"/>
            <w:tcBorders>
              <w:top w:val="single" w:sz="8" w:color="CECECE"/>
              <w:bottom w:val="single" w:sz="8" w:color="CECECE"/>
            </w:tcBorders>
            <w:shd w:val="clear" w:color="auto" w:fill="CECECE"/>
          </w:tcPr>
          <w:p>
            <w:pPr>
              <w:spacing w:after="0"/>
              <w:rPr>
                <w:sz w:val="19"/>
                <w:szCs w:val="19"/>
                <w:color w:val="auto"/>
              </w:rPr>
            </w:pPr>
          </w:p>
        </w:tc>
        <w:tc>
          <w:tcPr>
            <w:tcW w:w="120" w:type="dxa"/>
            <w:vAlign w:val="bottom"/>
            <w:tcBorders>
              <w:top w:val="single" w:sz="8" w:color="CECECE"/>
              <w:bottom w:val="single" w:sz="8" w:color="CECECE"/>
            </w:tcBorders>
            <w:shd w:val="clear" w:color="auto" w:fill="CECECE"/>
          </w:tcPr>
          <w:p>
            <w:pPr>
              <w:spacing w:after="0"/>
              <w:rPr>
                <w:sz w:val="19"/>
                <w:szCs w:val="19"/>
                <w:color w:val="auto"/>
              </w:rPr>
            </w:pPr>
          </w:p>
        </w:tc>
        <w:tc>
          <w:tcPr>
            <w:tcW w:w="160" w:type="dxa"/>
            <w:vAlign w:val="bottom"/>
            <w:tcBorders>
              <w:top w:val="single" w:sz="8" w:color="CECECE"/>
              <w:bottom w:val="single" w:sz="8" w:color="CECECE"/>
            </w:tcBorders>
            <w:shd w:val="clear" w:color="auto" w:fill="CECECE"/>
          </w:tcPr>
          <w:p>
            <w:pPr>
              <w:spacing w:after="0"/>
              <w:rPr>
                <w:sz w:val="19"/>
                <w:szCs w:val="19"/>
                <w:color w:val="auto"/>
              </w:rPr>
            </w:pPr>
          </w:p>
        </w:tc>
        <w:tc>
          <w:tcPr>
            <w:tcW w:w="1480" w:type="dxa"/>
            <w:vAlign w:val="bottom"/>
            <w:tcBorders>
              <w:top w:val="single" w:sz="8" w:color="CECECE"/>
              <w:bottom w:val="single" w:sz="8" w:color="CECECE"/>
            </w:tcBorders>
            <w:shd w:val="clear" w:color="auto" w:fill="CECECE"/>
          </w:tcPr>
          <w:p>
            <w:pPr>
              <w:spacing w:after="0"/>
              <w:rPr>
                <w:sz w:val="19"/>
                <w:szCs w:val="19"/>
                <w:color w:val="auto"/>
              </w:rPr>
            </w:pPr>
          </w:p>
        </w:tc>
        <w:tc>
          <w:tcPr>
            <w:tcW w:w="100" w:type="dxa"/>
            <w:vAlign w:val="bottom"/>
            <w:tcBorders>
              <w:top w:val="single" w:sz="8" w:color="CECECE"/>
              <w:bottom w:val="single" w:sz="8" w:color="CECECE"/>
            </w:tcBorders>
            <w:shd w:val="clear" w:color="auto" w:fill="CECECE"/>
          </w:tcPr>
          <w:p>
            <w:pPr>
              <w:spacing w:after="0"/>
              <w:rPr>
                <w:sz w:val="19"/>
                <w:szCs w:val="19"/>
                <w:color w:val="auto"/>
              </w:rPr>
            </w:pPr>
          </w:p>
        </w:tc>
        <w:tc>
          <w:tcPr>
            <w:tcW w:w="460" w:type="dxa"/>
            <w:vAlign w:val="bottom"/>
            <w:tcBorders>
              <w:top w:val="single" w:sz="8" w:color="CECECE"/>
              <w:bottom w:val="single" w:sz="8" w:color="CECECE"/>
            </w:tcBorders>
            <w:shd w:val="clear" w:color="auto" w:fill="CECECE"/>
          </w:tcPr>
          <w:p>
            <w:pPr>
              <w:spacing w:after="0"/>
              <w:rPr>
                <w:sz w:val="19"/>
                <w:szCs w:val="19"/>
                <w:color w:val="auto"/>
              </w:rPr>
            </w:pPr>
          </w:p>
        </w:tc>
        <w:tc>
          <w:tcPr>
            <w:tcW w:w="1040" w:type="dxa"/>
            <w:vAlign w:val="bottom"/>
            <w:tcBorders>
              <w:top w:val="single" w:sz="8" w:color="CECECE"/>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369,476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4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460" w:type="dxa"/>
            <w:vAlign w:val="bottom"/>
            <w:tcBorders>
              <w:top w:val="single" w:sz="8" w:color="CECECE"/>
            </w:tcBorders>
          </w:tcPr>
          <w:p>
            <w:pPr>
              <w:spacing w:after="0" w:line="20" w:lineRule="exact"/>
              <w:rPr>
                <w:sz w:val="1"/>
                <w:szCs w:val="1"/>
                <w:color w:val="auto"/>
              </w:rPr>
            </w:pPr>
          </w:p>
        </w:tc>
        <w:tc>
          <w:tcPr>
            <w:tcW w:w="104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ind w:left="40"/>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March 31, 2021</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34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Core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Complementary</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&amp; 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6"/>
                <w:szCs w:val="16"/>
                <w:color w:val="auto"/>
              </w:rPr>
              <w:t>Services and Support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397,744</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47,090</w:t>
            </w:r>
          </w:p>
        </w:tc>
        <w:tc>
          <w:tcPr>
            <w:tcW w:w="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307,798</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33,877</w:t>
            </w:r>
          </w:p>
        </w:tc>
        <w:tc>
          <w:tcPr>
            <w:tcW w:w="4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786,509</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25,509</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425,666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69,395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521,429</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ind w:left="560"/>
              <w:spacing w:after="0"/>
              <w:rPr>
                <w:sz w:val="20"/>
                <w:szCs w:val="20"/>
                <w:color w:val="auto"/>
              </w:rPr>
            </w:pPr>
            <w:r>
              <w:rPr>
                <w:rFonts w:ascii="Arial" w:cs="Arial" w:eastAsia="Arial" w:hAnsi="Arial"/>
                <w:sz w:val="16"/>
                <w:szCs w:val="16"/>
                <w:b w:val="1"/>
                <w:bCs w:val="1"/>
                <w:color w:val="auto"/>
              </w:rPr>
              <w:t>Total Revenue</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423,253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472,756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377,193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34,736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1,307,938</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185,571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260,411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158,638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183,861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788,481</w:t>
            </w: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80,233</w:t>
            </w:r>
          </w:p>
        </w:tc>
        <w:tc>
          <w:tcPr>
            <w:tcW w:w="0" w:type="dxa"/>
            <w:vAlign w:val="bottom"/>
          </w:tcPr>
          <w:p>
            <w:pPr>
              <w:spacing w:after="0"/>
              <w:rPr>
                <w:sz w:val="1"/>
                <w:szCs w:val="1"/>
                <w:color w:val="auto"/>
              </w:rPr>
            </w:pPr>
          </w:p>
        </w:tc>
      </w:tr>
      <w:tr>
        <w:trPr>
          <w:trHeight w:val="215"/>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CECECE"/>
            </w:tcBorders>
            <w:shd w:val="clear" w:color="auto" w:fill="CECECE"/>
          </w:tcPr>
          <w:p>
            <w:pPr>
              <w:spacing w:after="0"/>
              <w:rPr>
                <w:sz w:val="18"/>
                <w:szCs w:val="18"/>
                <w:color w:val="auto"/>
              </w:rPr>
            </w:pPr>
          </w:p>
        </w:tc>
        <w:tc>
          <w:tcPr>
            <w:tcW w:w="11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240" w:type="dxa"/>
            <w:vAlign w:val="bottom"/>
            <w:tcBorders>
              <w:bottom w:val="single" w:sz="8" w:color="CECECE"/>
            </w:tcBorders>
            <w:shd w:val="clear" w:color="auto" w:fill="CECECE"/>
          </w:tcPr>
          <w:p>
            <w:pPr>
              <w:spacing w:after="0"/>
              <w:rPr>
                <w:sz w:val="18"/>
                <w:szCs w:val="18"/>
                <w:color w:val="auto"/>
              </w:rPr>
            </w:pPr>
          </w:p>
        </w:tc>
        <w:tc>
          <w:tcPr>
            <w:tcW w:w="1240" w:type="dxa"/>
            <w:vAlign w:val="bottom"/>
            <w:tcBorders>
              <w:bottom w:val="single" w:sz="8" w:color="CECECE"/>
            </w:tcBorders>
            <w:shd w:val="clear" w:color="auto" w:fill="CECECE"/>
          </w:tcPr>
          <w:p>
            <w:pPr>
              <w:spacing w:after="0"/>
              <w:rPr>
                <w:sz w:val="18"/>
                <w:szCs w:val="18"/>
                <w:color w:val="auto"/>
              </w:rPr>
            </w:pPr>
          </w:p>
        </w:tc>
        <w:tc>
          <w:tcPr>
            <w:tcW w:w="120" w:type="dxa"/>
            <w:vAlign w:val="bottom"/>
            <w:tcBorders>
              <w:bottom w:val="single" w:sz="8" w:color="CECECE"/>
            </w:tcBorders>
            <w:shd w:val="clear" w:color="auto" w:fill="CECECE"/>
          </w:tcPr>
          <w:p>
            <w:pPr>
              <w:spacing w:after="0"/>
              <w:rPr>
                <w:sz w:val="18"/>
                <w:szCs w:val="18"/>
                <w:color w:val="auto"/>
              </w:rPr>
            </w:pPr>
          </w:p>
        </w:tc>
        <w:tc>
          <w:tcPr>
            <w:tcW w:w="160" w:type="dxa"/>
            <w:vAlign w:val="bottom"/>
            <w:tcBorders>
              <w:bottom w:val="single" w:sz="8" w:color="CECECE"/>
            </w:tcBorders>
            <w:shd w:val="clear" w:color="auto" w:fill="CECECE"/>
          </w:tcPr>
          <w:p>
            <w:pPr>
              <w:spacing w:after="0"/>
              <w:rPr>
                <w:sz w:val="18"/>
                <w:szCs w:val="18"/>
                <w:color w:val="auto"/>
              </w:rPr>
            </w:pPr>
          </w:p>
        </w:tc>
        <w:tc>
          <w:tcPr>
            <w:tcW w:w="148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ECECE"/>
            </w:tcBorders>
            <w:shd w:val="clear" w:color="auto" w:fill="CECECE"/>
          </w:tcPr>
          <w:p>
            <w:pPr>
              <w:spacing w:after="0"/>
              <w:rPr>
                <w:sz w:val="18"/>
                <w:szCs w:val="18"/>
                <w:color w:val="auto"/>
              </w:rPr>
            </w:pPr>
          </w:p>
        </w:tc>
        <w:tc>
          <w:tcPr>
            <w:tcW w:w="440" w:type="dxa"/>
            <w:vAlign w:val="bottom"/>
            <w:tcBorders>
              <w:bottom w:val="single" w:sz="8" w:color="CECECE"/>
            </w:tcBorders>
            <w:shd w:val="clear" w:color="auto" w:fill="CECECE"/>
          </w:tcPr>
          <w:p>
            <w:pPr>
              <w:spacing w:after="0"/>
              <w:rPr>
                <w:sz w:val="18"/>
                <w:szCs w:val="18"/>
                <w:color w:val="auto"/>
              </w:rPr>
            </w:pPr>
          </w:p>
        </w:tc>
        <w:tc>
          <w:tcPr>
            <w:tcW w:w="1060" w:type="dxa"/>
            <w:vAlign w:val="bottom"/>
            <w:tcBorders>
              <w:bottom w:val="single" w:sz="8" w:color="CECECE"/>
            </w:tcBorders>
            <w:shd w:val="clear" w:color="auto" w:fill="CECEC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136,801</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1,005,515</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INCOME</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237,682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212,345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218,555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(149,125)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302,423</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340" w:type="dxa"/>
            <w:vAlign w:val="bottom"/>
            <w:shd w:val="clear" w:color="auto" w:fill="CECECE"/>
          </w:tcPr>
          <w:p>
            <w:pPr>
              <w:spacing w:after="0"/>
              <w:rPr>
                <w:sz w:val="18"/>
                <w:szCs w:val="18"/>
                <w:color w:val="auto"/>
              </w:rPr>
            </w:pPr>
          </w:p>
        </w:tc>
        <w:tc>
          <w:tcPr>
            <w:tcW w:w="116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240" w:type="dxa"/>
            <w:vAlign w:val="bottom"/>
            <w:shd w:val="clear" w:color="auto" w:fill="CECECE"/>
          </w:tcPr>
          <w:p>
            <w:pPr>
              <w:spacing w:after="0"/>
              <w:rPr>
                <w:sz w:val="18"/>
                <w:szCs w:val="18"/>
                <w:color w:val="auto"/>
              </w:rPr>
            </w:pPr>
          </w:p>
        </w:tc>
        <w:tc>
          <w:tcPr>
            <w:tcW w:w="1240" w:type="dxa"/>
            <w:vAlign w:val="bottom"/>
            <w:shd w:val="clear" w:color="auto" w:fill="CECECE"/>
          </w:tcPr>
          <w:p>
            <w:pPr>
              <w:spacing w:after="0"/>
              <w:rPr>
                <w:sz w:val="18"/>
                <w:szCs w:val="18"/>
                <w:color w:val="auto"/>
              </w:rPr>
            </w:pPr>
          </w:p>
        </w:tc>
        <w:tc>
          <w:tcPr>
            <w:tcW w:w="120" w:type="dxa"/>
            <w:vAlign w:val="bottom"/>
            <w:shd w:val="clear" w:color="auto" w:fill="CECECE"/>
          </w:tcPr>
          <w:p>
            <w:pPr>
              <w:spacing w:after="0"/>
              <w:rPr>
                <w:sz w:val="18"/>
                <w:szCs w:val="18"/>
                <w:color w:val="auto"/>
              </w:rPr>
            </w:pPr>
          </w:p>
        </w:tc>
        <w:tc>
          <w:tcPr>
            <w:tcW w:w="160" w:type="dxa"/>
            <w:vAlign w:val="bottom"/>
            <w:shd w:val="clear" w:color="auto" w:fill="CECECE"/>
          </w:tcPr>
          <w:p>
            <w:pPr>
              <w:spacing w:after="0"/>
              <w:rPr>
                <w:sz w:val="18"/>
                <w:szCs w:val="18"/>
                <w:color w:val="auto"/>
              </w:rPr>
            </w:pPr>
          </w:p>
        </w:tc>
        <w:tc>
          <w:tcPr>
            <w:tcW w:w="1480" w:type="dxa"/>
            <w:vAlign w:val="bottom"/>
            <w:shd w:val="clear" w:color="auto" w:fill="CECECE"/>
          </w:tcPr>
          <w:p>
            <w:pPr>
              <w:spacing w:after="0"/>
              <w:rPr>
                <w:sz w:val="18"/>
                <w:szCs w:val="18"/>
                <w:color w:val="auto"/>
              </w:rPr>
            </w:pPr>
          </w:p>
        </w:tc>
        <w:tc>
          <w:tcPr>
            <w:tcW w:w="100" w:type="dxa"/>
            <w:vAlign w:val="bottom"/>
            <w:shd w:val="clear" w:color="auto" w:fill="CECECE"/>
          </w:tcPr>
          <w:p>
            <w:pPr>
              <w:spacing w:after="0"/>
              <w:rPr>
                <w:sz w:val="18"/>
                <w:szCs w:val="18"/>
                <w:color w:val="auto"/>
              </w:rPr>
            </w:pPr>
          </w:p>
        </w:tc>
        <w:tc>
          <w:tcPr>
            <w:tcW w:w="440" w:type="dxa"/>
            <w:vAlign w:val="bottom"/>
            <w:shd w:val="clear" w:color="auto" w:fill="CECECE"/>
          </w:tcPr>
          <w:p>
            <w:pPr>
              <w:spacing w:after="0"/>
              <w:rPr>
                <w:sz w:val="18"/>
                <w:szCs w:val="18"/>
                <w:color w:val="auto"/>
              </w:rPr>
            </w:pPr>
          </w:p>
        </w:tc>
        <w:tc>
          <w:tcPr>
            <w:tcW w:w="1060" w:type="dxa"/>
            <w:vAlign w:val="bottom"/>
            <w:shd w:val="clear" w:color="auto" w:fill="CECECE"/>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tcPr>
          <w:p>
            <w:pPr>
              <w:spacing w:after="0"/>
              <w:rPr>
                <w:sz w:val="22"/>
                <w:szCs w:val="22"/>
                <w:color w:val="auto"/>
              </w:rPr>
            </w:pPr>
          </w:p>
        </w:tc>
        <w:tc>
          <w:tcPr>
            <w:tcW w:w="340" w:type="dxa"/>
            <w:vAlign w:val="bottom"/>
            <w:tcBorders>
              <w:bottom w:val="single" w:sz="8" w:color="CECECE"/>
            </w:tcBorders>
          </w:tcPr>
          <w:p>
            <w:pPr>
              <w:spacing w:after="0"/>
              <w:rPr>
                <w:sz w:val="22"/>
                <w:szCs w:val="22"/>
                <w:color w:val="auto"/>
              </w:rPr>
            </w:pPr>
          </w:p>
        </w:tc>
        <w:tc>
          <w:tcPr>
            <w:tcW w:w="116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240" w:type="dxa"/>
            <w:vAlign w:val="bottom"/>
            <w:tcBorders>
              <w:bottom w:val="single" w:sz="8" w:color="CECECE"/>
            </w:tcBorders>
          </w:tcPr>
          <w:p>
            <w:pPr>
              <w:spacing w:after="0"/>
              <w:rPr>
                <w:sz w:val="22"/>
                <w:szCs w:val="22"/>
                <w:color w:val="auto"/>
              </w:rPr>
            </w:pPr>
          </w:p>
        </w:tc>
        <w:tc>
          <w:tcPr>
            <w:tcW w:w="1240" w:type="dxa"/>
            <w:vAlign w:val="bottom"/>
            <w:tcBorders>
              <w:bottom w:val="single" w:sz="8" w:color="CECECE"/>
            </w:tcBorders>
          </w:tcPr>
          <w:p>
            <w:pPr>
              <w:spacing w:after="0"/>
              <w:rPr>
                <w:sz w:val="22"/>
                <w:szCs w:val="22"/>
                <w:color w:val="auto"/>
              </w:rPr>
            </w:pPr>
          </w:p>
        </w:tc>
        <w:tc>
          <w:tcPr>
            <w:tcW w:w="120" w:type="dxa"/>
            <w:vAlign w:val="bottom"/>
            <w:tcBorders>
              <w:bottom w:val="single" w:sz="8" w:color="CECECE"/>
            </w:tcBorders>
          </w:tcPr>
          <w:p>
            <w:pPr>
              <w:spacing w:after="0"/>
              <w:rPr>
                <w:sz w:val="22"/>
                <w:szCs w:val="22"/>
                <w:color w:val="auto"/>
              </w:rPr>
            </w:pPr>
          </w:p>
        </w:tc>
        <w:tc>
          <w:tcPr>
            <w:tcW w:w="160" w:type="dxa"/>
            <w:vAlign w:val="bottom"/>
            <w:tcBorders>
              <w:bottom w:val="single" w:sz="8" w:color="CECECE"/>
            </w:tcBorders>
          </w:tcPr>
          <w:p>
            <w:pPr>
              <w:spacing w:after="0"/>
              <w:rPr>
                <w:sz w:val="22"/>
                <w:szCs w:val="22"/>
                <w:color w:val="auto"/>
              </w:rPr>
            </w:pPr>
          </w:p>
        </w:tc>
        <w:tc>
          <w:tcPr>
            <w:tcW w:w="1480" w:type="dxa"/>
            <w:vAlign w:val="bottom"/>
            <w:tcBorders>
              <w:bottom w:val="single" w:sz="8" w:color="CECECE"/>
            </w:tcBorders>
          </w:tcPr>
          <w:p>
            <w:pPr>
              <w:spacing w:after="0"/>
              <w:rPr>
                <w:sz w:val="22"/>
                <w:szCs w:val="22"/>
                <w:color w:val="auto"/>
              </w:rPr>
            </w:pPr>
          </w:p>
        </w:tc>
        <w:tc>
          <w:tcPr>
            <w:tcW w:w="100" w:type="dxa"/>
            <w:vAlign w:val="bottom"/>
            <w:tcBorders>
              <w:bottom w:val="single" w:sz="8" w:color="CECECE"/>
            </w:tcBorders>
          </w:tcPr>
          <w:p>
            <w:pPr>
              <w:spacing w:after="0"/>
              <w:rPr>
                <w:sz w:val="22"/>
                <w:szCs w:val="22"/>
                <w:color w:val="auto"/>
              </w:rPr>
            </w:pPr>
          </w:p>
        </w:tc>
        <w:tc>
          <w:tcPr>
            <w:tcW w:w="440" w:type="dxa"/>
            <w:vAlign w:val="bottom"/>
            <w:tcBorders>
              <w:bottom w:val="single" w:sz="8" w:color="CECECE"/>
            </w:tcBorders>
          </w:tcPr>
          <w:p>
            <w:pPr>
              <w:spacing w:after="0"/>
              <w:rPr>
                <w:sz w:val="22"/>
                <w:szCs w:val="22"/>
                <w:color w:val="auto"/>
              </w:rPr>
            </w:pPr>
          </w:p>
        </w:tc>
        <w:tc>
          <w:tcPr>
            <w:tcW w:w="1060" w:type="dxa"/>
            <w:vAlign w:val="bottom"/>
            <w:tcBorders>
              <w:bottom w:val="single" w:sz="8" w:color="CECECE"/>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Borders>
              <w:bottom w:val="single" w:sz="8" w:color="CECECE"/>
            </w:tcBorders>
            <w:shd w:val="clear" w:color="auto" w:fill="CECECE"/>
          </w:tcPr>
          <w:p>
            <w:pPr>
              <w:spacing w:after="0"/>
              <w:rPr>
                <w:sz w:val="19"/>
                <w:szCs w:val="19"/>
                <w:color w:val="auto"/>
              </w:rPr>
            </w:pPr>
          </w:p>
        </w:tc>
        <w:tc>
          <w:tcPr>
            <w:tcW w:w="116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240" w:type="dxa"/>
            <w:vAlign w:val="bottom"/>
            <w:tcBorders>
              <w:bottom w:val="single" w:sz="8" w:color="CECECE"/>
            </w:tcBorders>
            <w:shd w:val="clear" w:color="auto" w:fill="CECECE"/>
          </w:tcPr>
          <w:p>
            <w:pPr>
              <w:spacing w:after="0"/>
              <w:rPr>
                <w:sz w:val="19"/>
                <w:szCs w:val="19"/>
                <w:color w:val="auto"/>
              </w:rPr>
            </w:pPr>
          </w:p>
        </w:tc>
        <w:tc>
          <w:tcPr>
            <w:tcW w:w="1240" w:type="dxa"/>
            <w:vAlign w:val="bottom"/>
            <w:tcBorders>
              <w:bottom w:val="single" w:sz="8" w:color="CECECE"/>
            </w:tcBorders>
            <w:shd w:val="clear" w:color="auto" w:fill="CECECE"/>
          </w:tcPr>
          <w:p>
            <w:pPr>
              <w:spacing w:after="0"/>
              <w:rPr>
                <w:sz w:val="19"/>
                <w:szCs w:val="19"/>
                <w:color w:val="auto"/>
              </w:rPr>
            </w:pPr>
          </w:p>
        </w:tc>
        <w:tc>
          <w:tcPr>
            <w:tcW w:w="120" w:type="dxa"/>
            <w:vAlign w:val="bottom"/>
            <w:tcBorders>
              <w:bottom w:val="single" w:sz="8" w:color="CECECE"/>
            </w:tcBorders>
            <w:shd w:val="clear" w:color="auto" w:fill="CECECE"/>
          </w:tcPr>
          <w:p>
            <w:pPr>
              <w:spacing w:after="0"/>
              <w:rPr>
                <w:sz w:val="19"/>
                <w:szCs w:val="19"/>
                <w:color w:val="auto"/>
              </w:rPr>
            </w:pPr>
          </w:p>
        </w:tc>
        <w:tc>
          <w:tcPr>
            <w:tcW w:w="160" w:type="dxa"/>
            <w:vAlign w:val="bottom"/>
            <w:tcBorders>
              <w:bottom w:val="single" w:sz="8" w:color="CECECE"/>
            </w:tcBorders>
            <w:shd w:val="clear" w:color="auto" w:fill="CECECE"/>
          </w:tcPr>
          <w:p>
            <w:pPr>
              <w:spacing w:after="0"/>
              <w:rPr>
                <w:sz w:val="19"/>
                <w:szCs w:val="19"/>
                <w:color w:val="auto"/>
              </w:rPr>
            </w:pPr>
          </w:p>
        </w:tc>
        <w:tc>
          <w:tcPr>
            <w:tcW w:w="1480" w:type="dxa"/>
            <w:vAlign w:val="bottom"/>
            <w:tcBorders>
              <w:bottom w:val="single" w:sz="8" w:color="CECECE"/>
            </w:tcBorders>
            <w:shd w:val="clear" w:color="auto" w:fill="CECECE"/>
          </w:tcPr>
          <w:p>
            <w:pPr>
              <w:spacing w:after="0"/>
              <w:rPr>
                <w:sz w:val="19"/>
                <w:szCs w:val="19"/>
                <w:color w:val="auto"/>
              </w:rPr>
            </w:pPr>
          </w:p>
        </w:tc>
        <w:tc>
          <w:tcPr>
            <w:tcW w:w="100" w:type="dxa"/>
            <w:vAlign w:val="bottom"/>
            <w:tcBorders>
              <w:bottom w:val="single" w:sz="8" w:color="CECECE"/>
            </w:tcBorders>
            <w:shd w:val="clear" w:color="auto" w:fill="CECECE"/>
          </w:tcPr>
          <w:p>
            <w:pPr>
              <w:spacing w:after="0"/>
              <w:rPr>
                <w:sz w:val="19"/>
                <w:szCs w:val="19"/>
                <w:color w:val="auto"/>
              </w:rPr>
            </w:pPr>
          </w:p>
        </w:tc>
        <w:tc>
          <w:tcPr>
            <w:tcW w:w="440" w:type="dxa"/>
            <w:vAlign w:val="bottom"/>
            <w:tcBorders>
              <w:bottom w:val="single" w:sz="8" w:color="CECECE"/>
            </w:tcBorders>
            <w:shd w:val="clear" w:color="auto" w:fill="CECECE"/>
          </w:tcPr>
          <w:p>
            <w:pPr>
              <w:spacing w:after="0"/>
              <w:rPr>
                <w:sz w:val="19"/>
                <w:szCs w:val="19"/>
                <w:color w:val="auto"/>
              </w:rPr>
            </w:pPr>
          </w:p>
        </w:tc>
        <w:tc>
          <w:tcPr>
            <w:tcW w:w="1060" w:type="dxa"/>
            <w:vAlign w:val="bottom"/>
            <w:tcBorders>
              <w:bottom w:val="single" w:sz="8" w:color="CECECE"/>
            </w:tcBorders>
            <w:shd w:val="clear" w:color="auto" w:fill="CECEC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302,042</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ECECE"/>
            </w:tcBorders>
          </w:tcPr>
          <w:p>
            <w:pPr>
              <w:spacing w:after="0" w:line="20" w:lineRule="exact"/>
              <w:rPr>
                <w:sz w:val="1"/>
                <w:szCs w:val="1"/>
                <w:color w:val="auto"/>
              </w:rPr>
            </w:pPr>
          </w:p>
        </w:tc>
        <w:tc>
          <w:tcPr>
            <w:tcW w:w="116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240" w:type="dxa"/>
            <w:vAlign w:val="bottom"/>
            <w:tcBorders>
              <w:top w:val="single" w:sz="8" w:color="CECECE"/>
            </w:tcBorders>
          </w:tcPr>
          <w:p>
            <w:pPr>
              <w:spacing w:after="0" w:line="20" w:lineRule="exact"/>
              <w:rPr>
                <w:sz w:val="1"/>
                <w:szCs w:val="1"/>
                <w:color w:val="auto"/>
              </w:rPr>
            </w:pPr>
          </w:p>
        </w:tc>
        <w:tc>
          <w:tcPr>
            <w:tcW w:w="1240" w:type="dxa"/>
            <w:vAlign w:val="bottom"/>
            <w:tcBorders>
              <w:top w:val="single" w:sz="8" w:color="CECECE"/>
            </w:tcBorders>
          </w:tcPr>
          <w:p>
            <w:pPr>
              <w:spacing w:after="0" w:line="20" w:lineRule="exact"/>
              <w:rPr>
                <w:sz w:val="1"/>
                <w:szCs w:val="1"/>
                <w:color w:val="auto"/>
              </w:rPr>
            </w:pPr>
          </w:p>
        </w:tc>
        <w:tc>
          <w:tcPr>
            <w:tcW w:w="120" w:type="dxa"/>
            <w:vAlign w:val="bottom"/>
            <w:tcBorders>
              <w:top w:val="single" w:sz="8" w:color="CECECE"/>
            </w:tcBorders>
          </w:tcPr>
          <w:p>
            <w:pPr>
              <w:spacing w:after="0" w:line="20" w:lineRule="exact"/>
              <w:rPr>
                <w:sz w:val="1"/>
                <w:szCs w:val="1"/>
                <w:color w:val="auto"/>
              </w:rPr>
            </w:pPr>
          </w:p>
        </w:tc>
        <w:tc>
          <w:tcPr>
            <w:tcW w:w="160" w:type="dxa"/>
            <w:vAlign w:val="bottom"/>
            <w:tcBorders>
              <w:top w:val="single" w:sz="8" w:color="CECECE"/>
            </w:tcBorders>
          </w:tcPr>
          <w:p>
            <w:pPr>
              <w:spacing w:after="0" w:line="20" w:lineRule="exact"/>
              <w:rPr>
                <w:sz w:val="1"/>
                <w:szCs w:val="1"/>
                <w:color w:val="auto"/>
              </w:rPr>
            </w:pPr>
          </w:p>
        </w:tc>
        <w:tc>
          <w:tcPr>
            <w:tcW w:w="1480" w:type="dxa"/>
            <w:vAlign w:val="bottom"/>
            <w:tcBorders>
              <w:top w:val="single" w:sz="8" w:color="CECECE"/>
            </w:tcBorders>
          </w:tcPr>
          <w:p>
            <w:pPr>
              <w:spacing w:after="0" w:line="20" w:lineRule="exact"/>
              <w:rPr>
                <w:sz w:val="1"/>
                <w:szCs w:val="1"/>
                <w:color w:val="auto"/>
              </w:rPr>
            </w:pPr>
          </w:p>
        </w:tc>
        <w:tc>
          <w:tcPr>
            <w:tcW w:w="100" w:type="dxa"/>
            <w:vAlign w:val="bottom"/>
            <w:tcBorders>
              <w:top w:val="single" w:sz="8" w:color="CECECE"/>
            </w:tcBorders>
          </w:tcPr>
          <w:p>
            <w:pPr>
              <w:spacing w:after="0" w:line="20" w:lineRule="exact"/>
              <w:rPr>
                <w:sz w:val="1"/>
                <w:szCs w:val="1"/>
                <w:color w:val="auto"/>
              </w:rPr>
            </w:pPr>
          </w:p>
        </w:tc>
        <w:tc>
          <w:tcPr>
            <w:tcW w:w="440" w:type="dxa"/>
            <w:vAlign w:val="bottom"/>
            <w:tcBorders>
              <w:top w:val="single" w:sz="8" w:color="CECECE"/>
            </w:tcBorders>
          </w:tcPr>
          <w:p>
            <w:pPr>
              <w:spacing w:after="0" w:line="20" w:lineRule="exact"/>
              <w:rPr>
                <w:sz w:val="1"/>
                <w:szCs w:val="1"/>
                <w:color w:val="auto"/>
              </w:rPr>
            </w:pPr>
          </w:p>
        </w:tc>
        <w:tc>
          <w:tcPr>
            <w:tcW w:w="1060" w:type="dxa"/>
            <w:vAlign w:val="bottom"/>
            <w:tcBorders>
              <w:top w:val="single" w:sz="8" w:color="CECEC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Company has not disclosed any additional asset information by segment, as the information is not generated for internal management reporting to the Chief Executive Officer, who is also the Chief Operating Decision Maker.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NOTE 11: SUBSEQUENT EVENTS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discussion and analysis should be read in conjunction with the condensed consolidated financial statements and the accompanying notes to the condensed consolidated financial statements included in this Form 10-Q for the fiscal quarter ended March 31, 2022.</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Jack Henry &amp; Associates, Inc. ("JKHY") is a leading provider of technology solutions and payment processing services primarily for financial services organizations. Its solutions are marketed and supported through three primary brands. Jack Henry Banking® provides innovative solutions to community and regional banks. Symitar® provides industry-leading solutions to credit unions of all sizes. ProfitStars® offers highly specialized solutions to financial institutions of every asset size, as well as diverse corporate entities outside of the financial services industry, to mitigate and control risks, optimize revenue and growth opportunities, and contain costs. JKHY's integrated solutions are generally available for on-premise installation and delivery in our JKHY private or the public cloud.</w:t>
      </w:r>
    </w:p>
    <w:p>
      <w:pPr>
        <w:spacing w:after="0" w:line="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two primary revenue streams are "services and support" and "processing." Services and support includes: "private and public cloud" fees (formerly known as "outsourcing and cloud" fees - see Note 3 to the condensed consolidated financial statements) that predominantly have contract terms of seven years or longer at inception; "product delivery and services" revenue, which includes revenue from the sales of licenses, implementation services, deconversion fees, consulting, and hardware; and "on-premise support" revenue (formerly known as "in-house support" revenue - see Note 3 to the condensed consolidated financial statements), composed of maintenance fees which primarily contain annual contract terms. Processing revenue includes: "remittance" revenue from payment processing, remote capture, and ACH transactions; "card" fees, including card transaction processing and monthly fees; and "transaction and digital" revenue, which includes transaction and mobile processing fees. We continually seek opportunities to increase revenue while at the same time containing costs to expand margins.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the following discussion are in thousands, except per share amounts.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 and Response</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its outbreak in early calendar 2020, COVID-19 has rapidly spread and continues to represent a public health concern. The health, safety, and well-being of our employees and customers is of paramount importance to us. In March 2020, we established an internal task force composed of executive officers and other members of management to frequently assess updates to the COVID-19 situation and recommend Company actions. We offered remote working as a recommended option to employees whose job duties allowed them to work off-site, and we suspended all non-essential business travel. This company-wide recommendation initially extended until July 1, 2021, at which point we began transition to a return to our facilities and normalization of travel activities. However, we reimplemented our company-wide recommendation for remote work on August 3, 2021, based on new virus variants and increased infection rates. As of April 29, 2022, the majority of our employees were continuing to work remotely either full time or in a hybrid capacity. We have announced that our official return-to-office date is September 6, 2022, though employees can voluntarily return to the office on May 2, 2022. Individual decisions on returning to the office will be manager-coordinated and based on conversations with specific teams and departments. A large number of our employees have requested to remain fully remote or participate in a hybrid approach where they would split their time between remote and in-person working. While our business travel has increased in recent months, we continue to encourage a cautious approach to business travel activities.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Customers</w:t>
      </w:r>
    </w:p>
    <w:p>
      <w:pPr>
        <w:spacing w:after="0" w:line="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work closely with our customers who are scheduled for on-site visits to ensure their needs are met while taking necessary safety precautions when our employees are required to be at a customer site. Delays of customer system installations due to COVID-19 have been limited, and we have developed processes to handle remote installations when available. We expect these processes to provide flexibility and value both during and after the COVID-19 pandemic. Even though a substantial portion of our workforce has worked remotely during the outbreak and business travel has been limited, we have not yet experienced significant disruption to our operations. We believe our technological capabilities are well positioned to allow our employees to work remotely without materially impacting our business.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impact</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changes and restrictions caused by COVID-19, the overall financial and operational impact on our business has been limited and our liquidity, balance sheet, and business trends remain strong. We experienced positive operating cash flows during fiscal 2021 and the first nine months of fiscal 2022, and we do not expect that to change in the near term. However, we are unable to accurately predict the future impact of COVID-19 due to a number of uncertainties, including further government actions; the duration, severity and recurrence of the outbreak, including the onset of variants of the virus; the effectiveness of vaccines against new variants; the development and effectiveness of treatments; the effect on the economy generally; the potential impact to our customers, vendors, and employees; and how the potential impact might affect future customer services, processing and installation-related revenue, and processes and efficiencies within the Company directly or indirectly impacting financial results. We will continue to monitor COVID-19 and its possible impact on the Company and to take steps necessary to protect the health and safety of our employees and customers.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third quarter of fiscal 2022, total revenue increased 10%, or $44,484, compared to the same quarter in fiscal 2021. Total revenue less deconversion fee and acquisition and divestiture revenues of $ 17,431 and $71, respectively, for the current fiscal quarter and less deconversion fee revenues of $4,367 for the prior fiscal quarter, results in an increase of 7%, quarter over quarter. This increase was primarily driven by growth in public and private cloud, transaction and digital, remittance processing, card processing, and implementation fee revenues.</w:t>
      </w:r>
    </w:p>
    <w:p>
      <w:pPr>
        <w:spacing w:after="0" w:line="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expenses increased 7% for the third quarter of fiscal 2022 compared to the third quarter of fiscal 2021, primarily due to increased direct costs and higher personnel costs. The increase in direct costs was primarily related to increased card volume activity processed through our card payment processing platform and Jack Henry digital and were in alignment with the increases in revenue described above. Higher personnel costs were primarily related to salary and pay-related increases in the trailing twelve months.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increased 22% for the third quarter of fiscal 2022 compared to the third quarter of fiscal 2021. Operating income less deconversion fee operating income of $15,482 and adjusted for acquisition and divestiture operating loss of $306 for the current fiscal quarter, and less deconversion fee operating income of $3,967 for the prior fiscal quarter, results in an 11% increase for the third quarter of fiscal 2022, quarter over quarter. This increase in operating income was primarily driven by revenue growth partially offset by increased operating expenses, as detailed above.</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provision for income taxes increased 34% for the third quarter of fiscal 2022 compared to the prior fiscal third quarter. The effective tax rate for the third quarter of fiscal 2022 was 23.6% compared to 21.5% for the same quarter a year ago. The increase in the effective tax rate was primarily due to differences in the impact of increases in operating income relative to the impact of other items affecting the effective tax rate in the current fiscal period, the most significant of which are federal and state income tax credits.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Due to the above changes, net income increased 19% for the third quarter of fiscal 2022 compared to the third quarter of fiscal 2021.</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March 31, 2022, total revenue increased 12%, or $152,274, over the nine months ended March 31, 2021. Total revenue less deconversion fee and acquisition and divestiture revenues of $48,058 and $273, respectively, for the current fiscal period and deconversion fee and acquisition and divestiture revenues of $12,405 and $1,182, respectively, for the prior fiscal period, results in a 9% increase for the period compared to the same period a year ago. This total revenue increase was primarily driven by growth in public and private cloud, card processing, remittance processing, transaction and digital, and implementation fee revenues.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for the nine months ended March 31, 2022, increased 8% compared to the equivalent period in the prior fiscal year, primarily due to increased direct costs, higher personnel costs, and increased operating licenses and fees. The increased direct costs were primarily related to increased card volume activity processed through our card payment processing platform and Jack Henry digital and were in alignment with the increases in revenue described above. Higher personnel costs were primarily related to salary and pay-related increases in the trailing twelve months.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increased 23% for the nine months ended March 31, 2022, compared to the nine months ended March 31, 2021. Operating income less deconversion fee operating income of $43,022 and adjusted for acquisition and divestiture operating loss of $372 for the current fiscal period, and less deconversion fee operating income of $11,105 and income from divestitures and a gain on disposals totaling $2,410 for the prior fiscal period, results in a 14% increase for the nine months ended March 31, 2022, compared to the same period a year ago. This increase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was primarily driven by revenue growth described above partially offset by increased operating expenses, as detailed above.</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provision for income taxes increased 29% for the nine months ended March 31, 2022, compared to the nine months ended March 31, 2021. The effective tax rate for the current fiscal period was 23.5% compared to 22.3% for the prior fiscal period. The effective tax rate increase was primarily due to the relative impact of the increase in operating income in the current period and a larger excess tax benefit received from share-based compensation in the prior period.</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result of the above changes led to net income that increased 20% for the nine months ended March 31, 2022, compared to the same period in the prior fiscal year.</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move into the fourth quarter of fiscal 2022 with optimism following strong performance in the third quarter, but with some uncertainty as to the future impact of the COVID-19 pandemic (see "COVID-19 Impact and Response" section above). Significant portions of our business continue to come from recurring revenues and our sales pipeline also remains encouraging. Our customers continue to face regulatory and operational challenges which our products and services address, and in these uncertain times, we believe they have an even greater need for our solutions that directly address institutional profitability, efficiency, and security. Our strong balance sheet, access to extensive lines of credit, the continued strength of our existing lines of revenue, and an unwavering commitment to superior customer service should position us well to address current and future opportunities.</w:t>
      </w:r>
    </w:p>
    <w:p>
      <w:pPr>
        <w:spacing w:after="0" w:line="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detailed discussion of the major components of the results of operations for the three and nine months ended March 31, 2022, follows. Discussions compare the current fiscal three and nine months ended March 31, 2022, to the prior fiscal three and nine months ended March 31, 2021.</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040" w:type="dxa"/>
            <w:vAlign w:val="bottom"/>
          </w:tcPr>
          <w:p>
            <w:pPr>
              <w:ind w:left="20"/>
              <w:spacing w:after="0" w:line="190" w:lineRule="exact"/>
              <w:rPr>
                <w:sz w:val="20"/>
                <w:szCs w:val="20"/>
                <w:color w:val="auto"/>
              </w:rPr>
            </w:pPr>
            <w:r>
              <w:rPr>
                <w:rFonts w:ascii="Arial" w:cs="Arial" w:eastAsia="Arial" w:hAnsi="Arial"/>
                <w:sz w:val="18"/>
                <w:szCs w:val="18"/>
                <w:b w:val="1"/>
                <w:bCs w:val="1"/>
                <w:color w:val="auto"/>
              </w:rPr>
              <w:t>Services and Support</w:t>
            </w:r>
          </w:p>
        </w:tc>
        <w:tc>
          <w:tcPr>
            <w:tcW w:w="120" w:type="dxa"/>
            <w:vAlign w:val="bottom"/>
          </w:tcPr>
          <w:p>
            <w:pPr>
              <w:spacing w:after="0"/>
              <w:rPr>
                <w:sz w:val="16"/>
                <w:szCs w:val="16"/>
                <w:color w:val="auto"/>
              </w:rPr>
            </w:pPr>
          </w:p>
        </w:tc>
        <w:tc>
          <w:tcPr>
            <w:tcW w:w="2820" w:type="dxa"/>
            <w:vAlign w:val="bottom"/>
            <w:gridSpan w:val="8"/>
            <w:vMerge w:val="restart"/>
          </w:tcPr>
          <w:p>
            <w:pPr>
              <w:ind w:left="20"/>
              <w:spacing w:after="0"/>
              <w:rPr>
                <w:sz w:val="20"/>
                <w:szCs w:val="20"/>
                <w:color w:val="auto"/>
              </w:rPr>
            </w:pPr>
            <w:r>
              <w:rPr>
                <w:rFonts w:ascii="Arial" w:cs="Arial" w:eastAsia="Arial" w:hAnsi="Arial"/>
                <w:sz w:val="18"/>
                <w:szCs w:val="18"/>
                <w:color w:val="auto"/>
              </w:rPr>
              <w:t>Three Months Ended March 31,</w:t>
            </w:r>
          </w:p>
        </w:tc>
        <w:tc>
          <w:tcPr>
            <w:tcW w:w="1080" w:type="dxa"/>
            <w:vAlign w:val="bottom"/>
          </w:tcPr>
          <w:p>
            <w:pPr>
              <w:jc w:val="right"/>
              <w:ind w:right="370"/>
              <w:spacing w:after="0" w:line="19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8"/>
            <w:vMerge w:val="restart"/>
          </w:tcPr>
          <w:p>
            <w:pPr>
              <w:ind w:left="6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line="19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gridSpan w:val="8"/>
            <w:vMerge w:val="continue"/>
          </w:tcPr>
          <w:p>
            <w:pPr>
              <w:spacing w:after="0"/>
              <w:rPr>
                <w:sz w:val="21"/>
                <w:szCs w:val="21"/>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rPr>
              <w:t>Change</w:t>
            </w:r>
          </w:p>
        </w:tc>
        <w:tc>
          <w:tcPr>
            <w:tcW w:w="2800" w:type="dxa"/>
            <w:vAlign w:val="bottom"/>
            <w:gridSpan w:val="8"/>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and Support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282,921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254,639</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11 %  $</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876,625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786,509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59 %</w:t>
            </w:r>
          </w:p>
        </w:tc>
        <w:tc>
          <w:tcPr>
            <w:tcW w:w="3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59 %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60 %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Services and support revenue increased 11% for the third quarter of fiscal 2022 compared to the same quarter a year ago. Total services and support revenue less deconversion fee revenue for the current and prior fiscal quarter of $17,431 and $4,367, respectively, results in growth of 6%, quarter over quarter. This increase was primarily driven by growth in data processing and hosting fee revenues as new customers were added and volumes continued to expand, as well as higher implementation revenues when compared to the prior fiscal quarter.</w:t>
      </w:r>
    </w:p>
    <w:p>
      <w:pPr>
        <w:spacing w:after="0" w:line="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March 31, 2022, services and support revenue increased 11% compared to the same fiscal period a year ago. Total services and support revenue less deconversion fee revenue for the current and prior fiscal periods of $48,058 and $12,405, respectively, and for revenue from acquisitions and divestitures of $1,181 from the prior fiscal period, results in growth of 7% period over period. This increase was primarily driven by growth in data processing and hosting fee revenues, as new customers were added and volumes continued to expand, as well as higher implementation fee and software usage fee revenues when compared to the prior fiscal period.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Processing</w:t>
            </w:r>
          </w:p>
        </w:tc>
        <w:tc>
          <w:tcPr>
            <w:tcW w:w="120" w:type="dxa"/>
            <w:vAlign w:val="bottom"/>
          </w:tcPr>
          <w:p>
            <w:pPr>
              <w:spacing w:after="0"/>
              <w:rPr>
                <w:sz w:val="18"/>
                <w:szCs w:val="18"/>
                <w:color w:val="auto"/>
              </w:rPr>
            </w:pPr>
          </w:p>
        </w:tc>
        <w:tc>
          <w:tcPr>
            <w:tcW w:w="2820" w:type="dxa"/>
            <w:vAlign w:val="bottom"/>
            <w:gridSpan w:val="8"/>
            <w:vMerge w:val="restart"/>
          </w:tcPr>
          <w:p>
            <w:pPr>
              <w:ind w:left="20"/>
              <w:spacing w:after="0"/>
              <w:rPr>
                <w:sz w:val="20"/>
                <w:szCs w:val="20"/>
                <w:color w:val="auto"/>
              </w:rPr>
            </w:pPr>
            <w:r>
              <w:rPr>
                <w:rFonts w:ascii="Arial" w:cs="Arial" w:eastAsia="Arial" w:hAnsi="Arial"/>
                <w:sz w:val="18"/>
                <w:szCs w:val="18"/>
                <w:color w:val="auto"/>
              </w:rPr>
              <w:t>Three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8"/>
            <w:vMerge w:val="restart"/>
          </w:tcPr>
          <w:p>
            <w:pPr>
              <w:ind w:left="6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8"/>
            <w:vMerge w:val="continue"/>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rPr>
              <w:t>Change</w:t>
            </w:r>
          </w:p>
        </w:tc>
        <w:tc>
          <w:tcPr>
            <w:tcW w:w="2800" w:type="dxa"/>
            <w:vAlign w:val="bottom"/>
            <w:gridSpan w:val="8"/>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195,339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179,137</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9 %  $</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583,587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521,429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41 %</w:t>
            </w:r>
          </w:p>
        </w:tc>
        <w:tc>
          <w:tcPr>
            <w:tcW w:w="3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40 %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Processing revenue increased 9% for the third quarter of fiscal 2022 compared to the same quarter a year ago. The increase was driven by growth in card processing, Jack Henry digital, and remote capture and ACH fee revenues, as customers were added and volumes expanded during the fiscal quarter compared to the prior fiscal quarter.</w:t>
      </w:r>
    </w:p>
    <w:p>
      <w:pPr>
        <w:spacing w:after="0" w:line="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Each processing revenue component also experienced customer additions and volume growth in the fiscal year-to-date period, leading to an increase in processing revenue of 12% for the nine months ended March 31, 2022, compared to the nine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Cost of Revenue</w:t>
            </w:r>
          </w:p>
        </w:tc>
        <w:tc>
          <w:tcPr>
            <w:tcW w:w="120" w:type="dxa"/>
            <w:vAlign w:val="bottom"/>
          </w:tcPr>
          <w:p>
            <w:pPr>
              <w:spacing w:after="0"/>
              <w:rPr>
                <w:sz w:val="24"/>
                <w:szCs w:val="24"/>
                <w:color w:val="auto"/>
              </w:rPr>
            </w:pPr>
          </w:p>
        </w:tc>
        <w:tc>
          <w:tcPr>
            <w:tcW w:w="2820" w:type="dxa"/>
            <w:vAlign w:val="bottom"/>
            <w:gridSpan w:val="8"/>
            <w:vMerge w:val="restart"/>
          </w:tcPr>
          <w:p>
            <w:pPr>
              <w:ind w:left="20"/>
              <w:spacing w:after="0"/>
              <w:rPr>
                <w:sz w:val="20"/>
                <w:szCs w:val="20"/>
                <w:color w:val="auto"/>
              </w:rPr>
            </w:pPr>
            <w:r>
              <w:rPr>
                <w:rFonts w:ascii="Arial" w:cs="Arial" w:eastAsia="Arial" w:hAnsi="Arial"/>
                <w:sz w:val="18"/>
                <w:szCs w:val="18"/>
                <w:color w:val="auto"/>
              </w:rPr>
              <w:t>Three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gridSpan w:val="8"/>
            <w:vMerge w:val="restart"/>
          </w:tcPr>
          <w:p>
            <w:pPr>
              <w:ind w:left="6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8"/>
            <w:vMerge w:val="continue"/>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rPr>
              <w:t>Change</w:t>
            </w:r>
          </w:p>
        </w:tc>
        <w:tc>
          <w:tcPr>
            <w:tcW w:w="2800" w:type="dxa"/>
            <w:vAlign w:val="bottom"/>
            <w:gridSpan w:val="8"/>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282,339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267,770</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5 %  $</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841,799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788,481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0" w:type="dxa"/>
            <w:vAlign w:val="bottom"/>
          </w:tcPr>
          <w:p>
            <w:pPr>
              <w:spacing w:after="0"/>
              <w:rPr>
                <w:sz w:val="1"/>
                <w:szCs w:val="1"/>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59 %</w:t>
            </w:r>
          </w:p>
        </w:tc>
        <w:tc>
          <w:tcPr>
            <w:tcW w:w="36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62 %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58 %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Cost of revenue for the third quarter of fiscal 2022 increased 5% over the prior fiscal year third quarter. This increase was primarily due to higher direct costs associated with increased card volume activity processed through our card processing platform and higher personnel costs. Cost of revenue decreased 3% compared to the prior fiscal quarter as a percentage of total revenue due to the impact of increased deconversion fees in the current quarter that yield higher margins.</w:t>
      </w:r>
    </w:p>
    <w:p>
      <w:pPr>
        <w:spacing w:after="0" w:line="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current fiscal year-to-date period, cost of revenue increased 7% over the prior fiscal year-to-date period. This increase in costs was primarily due to higher costs associated with increased card volume activity processed through our card processing platform, higher personnel costs, and operating licenses and fees. Cost of revenue decreased 2% compared to the prior fiscal year-to-date period as a percentage of total revenue due to the impact of increased deconversion fees in the current period that yield higher margins.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Research and Development</w:t>
            </w:r>
          </w:p>
        </w:tc>
        <w:tc>
          <w:tcPr>
            <w:tcW w:w="120" w:type="dxa"/>
            <w:vAlign w:val="bottom"/>
          </w:tcPr>
          <w:p>
            <w:pPr>
              <w:spacing w:after="0"/>
              <w:rPr>
                <w:sz w:val="17"/>
                <w:szCs w:val="17"/>
                <w:color w:val="auto"/>
              </w:rPr>
            </w:pPr>
          </w:p>
        </w:tc>
        <w:tc>
          <w:tcPr>
            <w:tcW w:w="2800" w:type="dxa"/>
            <w:vAlign w:val="bottom"/>
            <w:gridSpan w:val="7"/>
            <w:vMerge w:val="restart"/>
          </w:tcPr>
          <w:p>
            <w:pPr>
              <w:ind w:left="20"/>
              <w:spacing w:after="0"/>
              <w:rPr>
                <w:sz w:val="20"/>
                <w:szCs w:val="20"/>
                <w:color w:val="auto"/>
              </w:rPr>
            </w:pPr>
            <w:r>
              <w:rPr>
                <w:rFonts w:ascii="Arial" w:cs="Arial" w:eastAsia="Arial" w:hAnsi="Arial"/>
                <w:sz w:val="18"/>
                <w:szCs w:val="18"/>
                <w:color w:val="auto"/>
              </w:rPr>
              <w:t>Three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7"/>
            <w:vMerge w:val="restart"/>
          </w:tcPr>
          <w:p>
            <w:pPr>
              <w:ind w:left="4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gridSpan w:val="7"/>
            <w:vMerge w:val="continue"/>
          </w:tcPr>
          <w:p>
            <w:pPr>
              <w:spacing w:after="0"/>
              <w:rPr>
                <w:sz w:val="21"/>
                <w:szCs w:val="21"/>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rPr>
              <w:t>Change</w:t>
            </w:r>
          </w:p>
        </w:tc>
        <w:tc>
          <w:tcPr>
            <w:tcW w:w="2760" w:type="dxa"/>
            <w:vAlign w:val="bottom"/>
            <w:gridSpan w:val="7"/>
            <w:vMerge w:val="continue"/>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color w:val="auto"/>
                <w:w w:val="94"/>
              </w:rPr>
              <w:t>2021</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30,725</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27,395</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12 %  $</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87,394</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80,233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c>
          <w:tcPr>
            <w:tcW w:w="0" w:type="dxa"/>
            <w:vAlign w:val="bottom"/>
          </w:tcPr>
          <w:p>
            <w:pPr>
              <w:spacing w:after="0"/>
              <w:rPr>
                <w:sz w:val="1"/>
                <w:szCs w:val="1"/>
                <w:color w:val="auto"/>
              </w:rPr>
            </w:pPr>
          </w:p>
        </w:tc>
      </w:tr>
      <w:tr>
        <w:trPr>
          <w:trHeight w:val="247"/>
        </w:trPr>
        <w:tc>
          <w:tcPr>
            <w:tcW w:w="310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6 %</w:t>
            </w:r>
          </w:p>
        </w:tc>
        <w:tc>
          <w:tcPr>
            <w:tcW w:w="5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6 %</w:t>
            </w:r>
          </w:p>
        </w:tc>
        <w:tc>
          <w:tcPr>
            <w:tcW w:w="54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increased 12% for the third quarter of fiscal 2022 over the prior fiscal third quarter. Total research and development expense adjusted for acquisition and divestiture research and development expense of $322 for the current fiscal quarter, results in an increase of 11%, quarter over quarter. This increase was primarily due to higher personnel costs, net of capitalization, quarter over quarter. Research and development expense remained consistent compared to the prior fiscal third quarter as a percentage of total revenue.</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current fiscal year-to-date period, research and development expense increased 9% over the prior fiscal year-to-date period. The increase was primarily due to higher personnel costs, net of capitalization, period over period. Research and development expense remained consistent compared to the prior fiscal year-to-date period as a percentage of total revenue.</w:t>
      </w:r>
    </w:p>
    <w:p>
      <w:pPr>
        <w:spacing w:after="0" w:line="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growth of this expense category in both the third quarter and year-to-date fiscal periods reflects our continuing commitment to the development of strategic products.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Selling, General, and</w:t>
            </w:r>
          </w:p>
        </w:tc>
        <w:tc>
          <w:tcPr>
            <w:tcW w:w="120" w:type="dxa"/>
            <w:vAlign w:val="bottom"/>
          </w:tcPr>
          <w:p>
            <w:pPr>
              <w:spacing w:after="0"/>
              <w:rPr>
                <w:sz w:val="18"/>
                <w:szCs w:val="18"/>
                <w:color w:val="auto"/>
              </w:rPr>
            </w:pPr>
          </w:p>
        </w:tc>
        <w:tc>
          <w:tcPr>
            <w:tcW w:w="2780" w:type="dxa"/>
            <w:vAlign w:val="bottom"/>
            <w:gridSpan w:val="7"/>
            <w:vMerge w:val="restart"/>
          </w:tcPr>
          <w:p>
            <w:pPr>
              <w:ind w:left="20"/>
              <w:spacing w:after="0"/>
              <w:rPr>
                <w:sz w:val="20"/>
                <w:szCs w:val="20"/>
                <w:color w:val="auto"/>
              </w:rPr>
            </w:pPr>
            <w:r>
              <w:rPr>
                <w:rFonts w:ascii="Arial" w:cs="Arial" w:eastAsia="Arial" w:hAnsi="Arial"/>
                <w:sz w:val="18"/>
                <w:szCs w:val="18"/>
                <w:color w:val="auto"/>
              </w:rPr>
              <w:t>Three Months Ended March 31,</w:t>
            </w: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gridSpan w:val="8"/>
            <w:vMerge w:val="restart"/>
          </w:tcPr>
          <w:p>
            <w:pPr>
              <w:ind w:left="6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Administrative</w:t>
            </w:r>
          </w:p>
        </w:tc>
        <w:tc>
          <w:tcPr>
            <w:tcW w:w="120" w:type="dxa"/>
            <w:vAlign w:val="bottom"/>
          </w:tcPr>
          <w:p>
            <w:pPr>
              <w:spacing w:after="0"/>
              <w:rPr>
                <w:sz w:val="20"/>
                <w:szCs w:val="20"/>
                <w:color w:val="auto"/>
              </w:rPr>
            </w:pPr>
          </w:p>
        </w:tc>
        <w:tc>
          <w:tcPr>
            <w:tcW w:w="2780" w:type="dxa"/>
            <w:vAlign w:val="bottom"/>
            <w:gridSpan w:val="7"/>
            <w:vMerge w:val="continue"/>
          </w:tcPr>
          <w:p>
            <w:pPr>
              <w:spacing w:after="0"/>
              <w:rPr>
                <w:sz w:val="20"/>
                <w:szCs w:val="20"/>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color w:val="auto"/>
              </w:rPr>
              <w:t>Change</w:t>
            </w:r>
          </w:p>
        </w:tc>
        <w:tc>
          <w:tcPr>
            <w:tcW w:w="2800" w:type="dxa"/>
            <w:vAlign w:val="bottom"/>
            <w:gridSpan w:val="8"/>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3"/>
          </w:tcPr>
          <w:p>
            <w:pPr>
              <w:jc w:val="right"/>
              <w:ind w:right="520"/>
              <w:spacing w:after="0" w:line="182" w:lineRule="exact"/>
              <w:rPr>
                <w:sz w:val="20"/>
                <w:szCs w:val="20"/>
                <w:color w:val="auto"/>
              </w:rPr>
            </w:pPr>
            <w:r>
              <w:rPr>
                <w:rFonts w:ascii="Arial" w:cs="Arial" w:eastAsia="Arial" w:hAnsi="Arial"/>
                <w:sz w:val="18"/>
                <w:szCs w:val="18"/>
                <w:b w:val="1"/>
                <w:bCs w:val="1"/>
                <w:color w:val="auto"/>
              </w:rPr>
              <w:t>2022</w:t>
            </w:r>
          </w:p>
        </w:tc>
        <w:tc>
          <w:tcPr>
            <w:tcW w:w="5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color w:val="auto"/>
                <w:w w:val="94"/>
              </w:rPr>
              <w:t>2021</w:t>
            </w:r>
          </w:p>
        </w:tc>
        <w:tc>
          <w:tcPr>
            <w:tcW w:w="1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53,607</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47,408</w:t>
            </w:r>
          </w:p>
        </w:tc>
        <w:tc>
          <w:tcPr>
            <w:tcW w:w="1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13 %  $</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160,172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136,801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17 %</w:t>
            </w:r>
          </w:p>
        </w:tc>
        <w:tc>
          <w:tcPr>
            <w:tcW w:w="0" w:type="dxa"/>
            <w:vAlign w:val="bottom"/>
          </w:tcPr>
          <w:p>
            <w:pPr>
              <w:spacing w:after="0"/>
              <w:rPr>
                <w:sz w:val="1"/>
                <w:szCs w:val="1"/>
                <w:color w:val="auto"/>
              </w:rPr>
            </w:pPr>
          </w:p>
        </w:tc>
      </w:tr>
      <w:tr>
        <w:trPr>
          <w:trHeight w:val="247"/>
        </w:trPr>
        <w:tc>
          <w:tcPr>
            <w:tcW w:w="3080" w:type="dxa"/>
            <w:vAlign w:val="bottom"/>
          </w:tcPr>
          <w:p>
            <w:pPr>
              <w:ind w:left="20"/>
              <w:spacing w:after="0"/>
              <w:rPr>
                <w:sz w:val="20"/>
                <w:szCs w:val="20"/>
                <w:color w:val="auto"/>
              </w:rPr>
            </w:pPr>
            <w:r>
              <w:rPr>
                <w:rFonts w:ascii="Arial" w:cs="Arial" w:eastAsia="Arial" w:hAnsi="Arial"/>
                <w:sz w:val="18"/>
                <w:szCs w:val="18"/>
                <w:color w:val="auto"/>
              </w:rPr>
              <w:t>Percentage of total revenue</w:t>
            </w:r>
          </w:p>
        </w:tc>
        <w:tc>
          <w:tcPr>
            <w:tcW w:w="120" w:type="dxa"/>
            <w:vAlign w:val="bottom"/>
          </w:tcPr>
          <w:p>
            <w:pPr>
              <w:spacing w:after="0"/>
              <w:rPr>
                <w:sz w:val="21"/>
                <w:szCs w:val="21"/>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11 %</w:t>
            </w:r>
          </w:p>
        </w:tc>
        <w:tc>
          <w:tcPr>
            <w:tcW w:w="5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11 %</w:t>
            </w:r>
          </w:p>
        </w:tc>
        <w:tc>
          <w:tcPr>
            <w:tcW w:w="360" w:type="dxa"/>
            <w:vAlign w:val="bottom"/>
          </w:tcPr>
          <w:p>
            <w:pPr>
              <w:spacing w:after="0"/>
              <w:rPr>
                <w:sz w:val="21"/>
                <w:szCs w:val="21"/>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 increased 13% in the third quarter of fiscal 2022 over the same quarter a year ago. Total selling, general, and administrative expenses less deconversion-related expenses, which were $820 for the current fiscal quarter and $49 for the prior fiscal quarter, and the effects of acquisitions and divestitures of $10 in the current fiscal quarter, results in an 11% increase quarter over quarter. This increase was primarily due to higher personnel costs related to a 2% growth in headcount and salary and pay-related increases in the trailing twelve months. Selling, general, and administrative expense remained consistent as a percentage of total revenue in fiscal third quarter versus the prior fiscal third quarter.</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fiscal year-to-date period, selling, general, and administrative expense increased 17% over the prior fiscal year-to-date period. Total selling, general, and administrative expenses less deconversion-related expenses from each period, which were $1,968 for the current fiscal period and $300 for the prior fiscal period, and less the effects of acquisitions and divestitures, which were $30 for the current fiscal period and $28 for the prior fiscal period, and adjusted for a gain on disposals of $2,040 in the prior fiscal period, results in a 14% increase period over period. This increase was primarily due to higher personnel costs related to a 2% growth in headcount and salary and pay-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related increases in the trailing twelve months and an increase in travel expenses. Selling, general, and administrative expense increased 1% as a percentage of total revenue for the current fiscal period versus the year-ago fiscal period.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INTEREST INCOME (EXPENSE)</w:t>
            </w:r>
          </w:p>
        </w:tc>
        <w:tc>
          <w:tcPr>
            <w:tcW w:w="2700" w:type="dxa"/>
            <w:vAlign w:val="bottom"/>
            <w:gridSpan w:val="9"/>
            <w:vMerge w:val="restart"/>
          </w:tcPr>
          <w:p>
            <w:pPr>
              <w:ind w:left="20"/>
              <w:spacing w:after="0"/>
              <w:rPr>
                <w:sz w:val="20"/>
                <w:szCs w:val="20"/>
                <w:color w:val="auto"/>
              </w:rPr>
            </w:pPr>
            <w:r>
              <w:rPr>
                <w:rFonts w:ascii="Arial" w:cs="Arial" w:eastAsia="Arial" w:hAnsi="Arial"/>
                <w:sz w:val="18"/>
                <w:szCs w:val="18"/>
                <w:color w:val="auto"/>
              </w:rPr>
              <w:t>Three Months Ended March 31,</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740" w:type="dxa"/>
            <w:vAlign w:val="bottom"/>
            <w:gridSpan w:val="7"/>
            <w:vMerge w:val="restart"/>
          </w:tcPr>
          <w:p>
            <w:pPr>
              <w:ind w:left="100"/>
              <w:spacing w:after="0"/>
              <w:rPr>
                <w:sz w:val="20"/>
                <w:szCs w:val="20"/>
                <w:color w:val="auto"/>
              </w:rPr>
            </w:pPr>
            <w:r>
              <w:rPr>
                <w:rFonts w:ascii="Arial" w:cs="Arial" w:eastAsia="Arial" w:hAnsi="Arial"/>
                <w:sz w:val="18"/>
                <w:szCs w:val="18"/>
                <w:color w:val="auto"/>
              </w:rPr>
              <w:t>Nine Months Ended March 31,</w:t>
            </w:r>
          </w:p>
        </w:tc>
        <w:tc>
          <w:tcPr>
            <w:tcW w:w="11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440" w:type="dxa"/>
            <w:vAlign w:val="bottom"/>
          </w:tcPr>
          <w:p>
            <w:pPr>
              <w:spacing w:after="0"/>
              <w:rPr>
                <w:sz w:val="20"/>
                <w:szCs w:val="20"/>
                <w:color w:val="auto"/>
              </w:rPr>
            </w:pPr>
          </w:p>
        </w:tc>
        <w:tc>
          <w:tcPr>
            <w:tcW w:w="2700" w:type="dxa"/>
            <w:vAlign w:val="bottom"/>
            <w:gridSpan w:val="9"/>
            <w:vMerge w:val="continue"/>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color w:val="auto"/>
              </w:rPr>
              <w:t>Change</w:t>
            </w:r>
          </w:p>
        </w:tc>
        <w:tc>
          <w:tcPr>
            <w:tcW w:w="2740" w:type="dxa"/>
            <w:vAlign w:val="bottom"/>
            <w:gridSpan w:val="7"/>
            <w:vMerge w:val="continue"/>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183"/>
        </w:trPr>
        <w:tc>
          <w:tcPr>
            <w:tcW w:w="34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3"/>
          </w:tcPr>
          <w:p>
            <w:pPr>
              <w:jc w:val="right"/>
              <w:ind w:right="370"/>
              <w:spacing w:after="0" w:line="182" w:lineRule="exact"/>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3"/>
          </w:tcPr>
          <w:p>
            <w:pPr>
              <w:jc w:val="right"/>
              <w:ind w:right="330"/>
              <w:spacing w:after="0" w:line="182" w:lineRule="exact"/>
              <w:rPr>
                <w:sz w:val="20"/>
                <w:szCs w:val="20"/>
                <w:color w:val="auto"/>
              </w:rPr>
            </w:pPr>
            <w:r>
              <w:rPr>
                <w:rFonts w:ascii="Arial" w:cs="Arial" w:eastAsia="Arial" w:hAnsi="Arial"/>
                <w:sz w:val="18"/>
                <w:szCs w:val="18"/>
                <w:color w:val="auto"/>
              </w:rPr>
              <w:t>2021</w:t>
            </w: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390"/>
              <w:spacing w:after="0" w:line="182" w:lineRule="exact"/>
              <w:rPr>
                <w:sz w:val="20"/>
                <w:szCs w:val="20"/>
                <w:color w:val="auto"/>
              </w:rPr>
            </w:pPr>
            <w:r>
              <w:rPr>
                <w:rFonts w:ascii="Arial" w:cs="Arial" w:eastAsia="Arial" w:hAnsi="Arial"/>
                <w:sz w:val="18"/>
                <w:szCs w:val="18"/>
                <w:b w:val="1"/>
                <w:bCs w:val="1"/>
                <w:color w:val="auto"/>
                <w:w w:val="94"/>
              </w:rPr>
              <w:t>2022</w:t>
            </w:r>
          </w:p>
        </w:tc>
        <w:tc>
          <w:tcPr>
            <w:tcW w:w="4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35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4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top w:val="single" w:sz="8" w:color="auto"/>
            </w:tcBorders>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b w:val="1"/>
                <w:bCs w:val="1"/>
                <w:color w:val="auto"/>
              </w:rPr>
              <w:t>16</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(691)</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(1,387)</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fluctuated due to changes in invested balances and yields on invested balances during the third quarter of fiscal 2022 compared to the third quarter a year ago. Interest expense increased when compared to the prior fiscal quarter due to interest rate fluctuations, length of borrowing time, and amounts borrowed. There was a $ 225,000 outstanding balance under the credit facility at March 31, 2022, and $200,000 outstanding balance at March 31, 2021. The credit facility balance increase was primarily due to the increase in the Company's repurchases of common stock for the treasury during the trailing twelve months.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40" w:type="dxa"/>
            <w:vAlign w:val="bottom"/>
          </w:tcPr>
          <w:p>
            <w:pPr>
              <w:spacing w:after="0"/>
              <w:rPr>
                <w:sz w:val="17"/>
                <w:szCs w:val="17"/>
                <w:color w:val="auto"/>
              </w:rPr>
            </w:pPr>
          </w:p>
        </w:tc>
        <w:tc>
          <w:tcPr>
            <w:tcW w:w="2780" w:type="dxa"/>
            <w:vAlign w:val="bottom"/>
            <w:gridSpan w:val="8"/>
            <w:vMerge w:val="restart"/>
          </w:tcPr>
          <w:p>
            <w:pPr>
              <w:spacing w:after="0"/>
              <w:rPr>
                <w:sz w:val="20"/>
                <w:szCs w:val="20"/>
                <w:color w:val="auto"/>
              </w:rPr>
            </w:pPr>
            <w:r>
              <w:rPr>
                <w:rFonts w:ascii="Arial" w:cs="Arial" w:eastAsia="Arial" w:hAnsi="Arial"/>
                <w:sz w:val="18"/>
                <w:szCs w:val="18"/>
                <w:color w:val="auto"/>
              </w:rPr>
              <w:t>Three Months Ended March 31,</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7"/>
            <w:vMerge w:val="restart"/>
          </w:tcPr>
          <w:p>
            <w:pPr>
              <w:ind w:left="40"/>
              <w:spacing w:after="0"/>
              <w:rPr>
                <w:sz w:val="20"/>
                <w:szCs w:val="20"/>
                <w:color w:val="auto"/>
              </w:rPr>
            </w:pPr>
            <w:r>
              <w:rPr>
                <w:rFonts w:ascii="Arial" w:cs="Arial" w:eastAsia="Arial" w:hAnsi="Arial"/>
                <w:sz w:val="18"/>
                <w:szCs w:val="18"/>
                <w:color w:val="auto"/>
              </w:rPr>
              <w:t>Nine Months Ended March 31,</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8"/>
            <w:vMerge w:val="continue"/>
          </w:tcPr>
          <w:p>
            <w:pPr>
              <w:spacing w:after="0"/>
              <w:rPr>
                <w:sz w:val="20"/>
                <w:szCs w:val="20"/>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8"/>
                <w:szCs w:val="18"/>
                <w:color w:val="auto"/>
                <w:w w:val="98"/>
              </w:rPr>
              <w:t>Change</w:t>
            </w:r>
          </w:p>
        </w:tc>
        <w:tc>
          <w:tcPr>
            <w:tcW w:w="2780" w:type="dxa"/>
            <w:vAlign w:val="bottom"/>
            <w:gridSpan w:val="7"/>
            <w:vMerge w:val="continue"/>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5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48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3"/>
          </w:tcPr>
          <w:p>
            <w:pPr>
              <w:jc w:val="right"/>
              <w:ind w:right="540"/>
              <w:spacing w:after="0" w:line="182" w:lineRule="exact"/>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ind w:right="48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21"/>
                <w:szCs w:val="2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26,194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19,528</w:t>
            </w:r>
          </w:p>
        </w:tc>
        <w:tc>
          <w:tcPr>
            <w:tcW w:w="100" w:type="dxa"/>
            <w:vAlign w:val="bottom"/>
          </w:tcPr>
          <w:p>
            <w:pPr>
              <w:spacing w:after="0"/>
              <w:rPr>
                <w:sz w:val="21"/>
                <w:szCs w:val="21"/>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34 %  $</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86,986</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67,435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29 %</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Rate</w:t>
            </w: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23.6 %</w:t>
            </w:r>
          </w:p>
        </w:tc>
        <w:tc>
          <w:tcPr>
            <w:tcW w:w="3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21.5 %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23.5 %</w:t>
            </w:r>
          </w:p>
        </w:tc>
        <w:tc>
          <w:tcPr>
            <w:tcW w:w="5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the effective tax rate for the third quarter of fiscal 2022 compared to the same quarter a year ago was primarily due to the differences in the impact of increases in operating income relative to the impact of other items affecting the effective tax rate in the current quarter, the most significant of which are federal and state income tax credits.</w:t>
      </w:r>
    </w:p>
    <w:p>
      <w:pPr>
        <w:spacing w:after="0" w:line="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effective tax rate for the current fiscal year-to-date period compared to the prior fiscal year-to-date period was primarily due to the relative impact of the increase in operating income in the current period and a larger excess tax benefit received from share-based compensation in the prior period.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720" w:type="dxa"/>
            <w:vAlign w:val="bottom"/>
            <w:gridSpan w:val="8"/>
            <w:vMerge w:val="restart"/>
          </w:tcPr>
          <w:p>
            <w:pPr>
              <w:ind w:left="40"/>
              <w:spacing w:after="0"/>
              <w:rPr>
                <w:sz w:val="20"/>
                <w:szCs w:val="20"/>
                <w:color w:val="auto"/>
              </w:rPr>
            </w:pPr>
            <w:r>
              <w:rPr>
                <w:rFonts w:ascii="Arial" w:cs="Arial" w:eastAsia="Arial" w:hAnsi="Arial"/>
                <w:sz w:val="18"/>
                <w:szCs w:val="18"/>
                <w:color w:val="auto"/>
              </w:rPr>
              <w:t>Three Months Ended March 31,</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740" w:type="dxa"/>
            <w:vAlign w:val="bottom"/>
            <w:gridSpan w:val="7"/>
            <w:vMerge w:val="restart"/>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2720" w:type="dxa"/>
            <w:vAlign w:val="bottom"/>
            <w:gridSpan w:val="8"/>
            <w:vMerge w:val="continue"/>
          </w:tcPr>
          <w:p>
            <w:pPr>
              <w:spacing w:after="0"/>
              <w:rPr>
                <w:sz w:val="21"/>
                <w:szCs w:val="21"/>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rPr>
              <w:t>Change</w:t>
            </w:r>
          </w:p>
        </w:tc>
        <w:tc>
          <w:tcPr>
            <w:tcW w:w="2740" w:type="dxa"/>
            <w:vAlign w:val="bottom"/>
            <w:gridSpan w:val="7"/>
            <w:vMerge w:val="continue"/>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Change</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4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42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2022</w:t>
            </w: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84,707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71,409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19 %</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282,490</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234,607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20 %</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3.84</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Net income increased 19% to $84,707, or $1.16 per diluted share, for the third quarter of fiscal 2022 compared to $71,409, or $0.95 per diluted share in the prior fiscal third quarter, resulting in a 23% increase in diluted earnings per share.</w:t>
      </w:r>
    </w:p>
    <w:p>
      <w:pPr>
        <w:spacing w:after="0" w:line="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income increased 20% to $282,490, or $3.84 per diluted share, for the current fiscal year-to-date period, compared to $234,607, or $3.08 per diluted share in the prior fiscal year-to-date period, resulting in a 25% increase in diluted earnings per share.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 DISCUSSION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leading provider of technology solutions and payment processing services primarily for financial services organizations.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operations are classified into four reportable segments: Core, Payments, Complementary, and Corporate and Other. The Core segment provides core information processing platforms to banks and credit unions, which consist of integrated applications required to process deposit, loan, and general ledger transactions, and maintain centralized customer/member information. The Payments segment provides secure payment processing tools and services, including ATM, debit, and credit card processing services; online and mobile bill pay solutions; ACH origination and remote deposit capture processing; and risk management products and services. The Complementary segment provides additional software, hosted processing platforms, and services, including call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center support, and network security management, consulting, and monitoring, that can be integrated with our core solutions, and many can be used independently. The Corporate and Other segment includes revenue and costs from hardware and other products not attributed to any of the other three segments, as well as operating costs not directly attributable to the other three segments.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Core</w:t>
            </w:r>
          </w:p>
        </w:tc>
        <w:tc>
          <w:tcPr>
            <w:tcW w:w="2760" w:type="dxa"/>
            <w:vAlign w:val="bottom"/>
            <w:gridSpan w:val="9"/>
            <w:vMerge w:val="restart"/>
          </w:tcPr>
          <w:p>
            <w:pPr>
              <w:ind w:left="60"/>
              <w:spacing w:after="0"/>
              <w:rPr>
                <w:sz w:val="20"/>
                <w:szCs w:val="20"/>
                <w:color w:val="auto"/>
              </w:rPr>
            </w:pPr>
            <w:r>
              <w:rPr>
                <w:rFonts w:ascii="Arial" w:cs="Arial" w:eastAsia="Arial" w:hAnsi="Arial"/>
                <w:sz w:val="18"/>
                <w:szCs w:val="18"/>
                <w:color w:val="auto"/>
              </w:rPr>
              <w:t>Three Months Ended March 31,</w:t>
            </w: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2740" w:type="dxa"/>
            <w:vAlign w:val="bottom"/>
            <w:gridSpan w:val="7"/>
            <w:vMerge w:val="restart"/>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18"/>
        </w:trPr>
        <w:tc>
          <w:tcPr>
            <w:tcW w:w="3360" w:type="dxa"/>
            <w:vAlign w:val="bottom"/>
          </w:tcPr>
          <w:p>
            <w:pPr>
              <w:spacing w:after="0"/>
              <w:rPr>
                <w:sz w:val="18"/>
                <w:szCs w:val="18"/>
                <w:color w:val="auto"/>
              </w:rPr>
            </w:pPr>
          </w:p>
        </w:tc>
        <w:tc>
          <w:tcPr>
            <w:tcW w:w="2760" w:type="dxa"/>
            <w:vAlign w:val="bottom"/>
            <w:gridSpan w:val="9"/>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740" w:type="dxa"/>
            <w:vAlign w:val="bottom"/>
            <w:gridSpan w:val="7"/>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4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2022</w:t>
            </w: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150,799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135,149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470,962</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423,253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66,576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63,225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198,032</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185,571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the Core segment increased 12% and cost of revenue increased 5% for the three months ended March 31, 2022, compared to the three months ended March 31, 2021. Core revenue less deconversion fee revenue for the third quarter of $8,154 and less deconversion fee revenue of $1,362 for the prior fiscal third quarter, results in a 7% increase, quarter over quarter. This increase was primarily driven by growth in data processing and hosting fee revenue. Cost of revenue decreased 3% as a percentage of revenue for the third quarter of fiscal 2022 compared to the prior fiscal third quarter.</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March 31, 2022, revenue in the Core segment increased 11% compared to the prior fiscal year-to-date period. Core revenue less deconversion fee revenue in both periods, which totaled $21,176 for the current fiscal period and $4,297 for the prior fiscal period and revenue from acquisitions and divestitures of $1,182 from the prior fiscal period, results in an 8% increase, period over period. This increase was primarily driven by the growth in data processing and hosting fee revenue. Cost of revenue decreased 2% as a percentage of revenue for year-to-date fiscal 2022 compared to the year-ago period.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Payments</w:t>
            </w:r>
          </w:p>
        </w:tc>
        <w:tc>
          <w:tcPr>
            <w:tcW w:w="2760" w:type="dxa"/>
            <w:vAlign w:val="bottom"/>
            <w:gridSpan w:val="9"/>
            <w:vMerge w:val="restart"/>
          </w:tcPr>
          <w:p>
            <w:pPr>
              <w:ind w:left="60"/>
              <w:spacing w:after="0"/>
              <w:rPr>
                <w:sz w:val="20"/>
                <w:szCs w:val="20"/>
                <w:color w:val="auto"/>
              </w:rPr>
            </w:pPr>
            <w:r>
              <w:rPr>
                <w:rFonts w:ascii="Arial" w:cs="Arial" w:eastAsia="Arial" w:hAnsi="Arial"/>
                <w:sz w:val="18"/>
                <w:szCs w:val="18"/>
                <w:color w:val="auto"/>
              </w:rPr>
              <w:t>Three Months Ended March 31,</w:t>
            </w: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2740" w:type="dxa"/>
            <w:vAlign w:val="bottom"/>
            <w:gridSpan w:val="7"/>
            <w:vMerge w:val="restart"/>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18"/>
        </w:trPr>
        <w:tc>
          <w:tcPr>
            <w:tcW w:w="3360" w:type="dxa"/>
            <w:vAlign w:val="bottom"/>
          </w:tcPr>
          <w:p>
            <w:pPr>
              <w:spacing w:after="0"/>
              <w:rPr>
                <w:sz w:val="18"/>
                <w:szCs w:val="18"/>
                <w:color w:val="auto"/>
              </w:rPr>
            </w:pPr>
          </w:p>
        </w:tc>
        <w:tc>
          <w:tcPr>
            <w:tcW w:w="2760" w:type="dxa"/>
            <w:vAlign w:val="bottom"/>
            <w:gridSpan w:val="9"/>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740" w:type="dxa"/>
            <w:vAlign w:val="bottom"/>
            <w:gridSpan w:val="7"/>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4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2022</w:t>
            </w: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177,547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160,841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529,697</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472,756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94,628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87,628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283,423</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260,411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the Payments segment increased 10% for the third quarter of fiscal 2022 compared to the prior fiscal quarter. Payments revenue less deconversion fee revenue in both periods, which totaled $4,703 for the third quarter of fiscal 2022 and $1,911 for the prior fiscal third quarter, results in a 9% increase, quarter over quarter. This growth was primarily due to increased card and remittance fee revenues within processing. Cost of revenue decreased 1% as a percentage of revenue for the third quarter of fiscal 2022 compared to the same quarter of fiscal 2021.</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March 31, 2022, revenue in the Payments segment increased 12% compared to the same fiscal period a year ago. Payments revenue less deconversion fee revenue in both periods, which totaled $13,084 for year-to-date fiscal 2022 and $4,433 for year-to-date fiscal 2021, results in a 10% increase period over period. This Payments revenue growth was primarily due to increased card and remittance revenues within processing. Cost of revenue as a percentage of revenue decreased 2% for year-to-date fiscal 2022 compared to the same period of fiscal 2021.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Complementary</w:t>
            </w:r>
          </w:p>
        </w:tc>
        <w:tc>
          <w:tcPr>
            <w:tcW w:w="2760" w:type="dxa"/>
            <w:vAlign w:val="bottom"/>
            <w:gridSpan w:val="9"/>
            <w:vMerge w:val="restart"/>
          </w:tcPr>
          <w:p>
            <w:pPr>
              <w:ind w:left="60"/>
              <w:spacing w:after="0"/>
              <w:rPr>
                <w:sz w:val="20"/>
                <w:szCs w:val="20"/>
                <w:color w:val="auto"/>
              </w:rPr>
            </w:pPr>
            <w:r>
              <w:rPr>
                <w:rFonts w:ascii="Arial" w:cs="Arial" w:eastAsia="Arial" w:hAnsi="Arial"/>
                <w:sz w:val="18"/>
                <w:szCs w:val="18"/>
                <w:color w:val="auto"/>
              </w:rPr>
              <w:t>Three Months Ended March 31,</w:t>
            </w:r>
          </w:p>
        </w:tc>
        <w:tc>
          <w:tcPr>
            <w:tcW w:w="1240" w:type="dxa"/>
            <w:vAlign w:val="bottom"/>
            <w:gridSpan w:val="2"/>
            <w:vMerge w:val="restart"/>
          </w:tcPr>
          <w:p>
            <w:pPr>
              <w:ind w:left="140"/>
              <w:spacing w:after="0"/>
              <w:rPr>
                <w:sz w:val="20"/>
                <w:szCs w:val="20"/>
                <w:color w:val="auto"/>
              </w:rPr>
            </w:pPr>
            <w:r>
              <w:rPr>
                <w:rFonts w:ascii="Arial" w:cs="Arial" w:eastAsia="Arial" w:hAnsi="Arial"/>
                <w:sz w:val="18"/>
                <w:szCs w:val="18"/>
                <w:color w:val="auto"/>
              </w:rPr>
              <w:t>% Change</w:t>
            </w:r>
          </w:p>
        </w:tc>
        <w:tc>
          <w:tcPr>
            <w:tcW w:w="2740" w:type="dxa"/>
            <w:vAlign w:val="bottom"/>
            <w:gridSpan w:val="7"/>
            <w:vMerge w:val="restart"/>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18"/>
        </w:trPr>
        <w:tc>
          <w:tcPr>
            <w:tcW w:w="3360" w:type="dxa"/>
            <w:vAlign w:val="bottom"/>
          </w:tcPr>
          <w:p>
            <w:pPr>
              <w:spacing w:after="0"/>
              <w:rPr>
                <w:sz w:val="18"/>
                <w:szCs w:val="18"/>
                <w:color w:val="auto"/>
              </w:rPr>
            </w:pPr>
          </w:p>
        </w:tc>
        <w:tc>
          <w:tcPr>
            <w:tcW w:w="2760" w:type="dxa"/>
            <w:vAlign w:val="bottom"/>
            <w:gridSpan w:val="9"/>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740" w:type="dxa"/>
            <w:vAlign w:val="bottom"/>
            <w:gridSpan w:val="7"/>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4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2022</w:t>
            </w: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137,710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125,431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420,915</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377,193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58,957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54,207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172,593</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158,638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the Complementary segment increased 10% for the third quarter of fiscal 2022 compared to the same quarter of the prior fiscal year. Complementary revenue less deconversion fee revenue in both periods, which totaled $4,540 for the third quarter of fiscal 2022 and $1,080 for the prior fiscal third quarter, and less acquisitions and divestitures revenue in the current quarter of $71, results in a 7% increase, quarter over quarter. This growth was primarily driven by growth in Jack Henry digital and hosting fee revenues. Cost of revenue as a percentage of revenue remained consistent for the third quarter of fiscal 2022 compared to the same quarter of fiscal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March 31, 2022, revenue in the Complementary segment increased 12% compared to the same period last fiscal year. Complementary revenue less deconversion fee revenue in both periods, which totaled $13,554 for year-to-date fiscal 2022 and $ 3,588 for year-to-date fiscal 2021, and less acquisitions and divestitures revenue in the current fiscal year-to-date period of $273, results in a 9% increase period over period. This increase in Complementary revenue was primarily driven by growth in Jack Henry digital and hosting fee revenues. Cost of revenue decreased 1% as a percentage of revenue for year-to-date fiscal 2022 compared to the same period of fiscal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Corporate and Other</w:t>
            </w:r>
          </w:p>
        </w:tc>
        <w:tc>
          <w:tcPr>
            <w:tcW w:w="2720" w:type="dxa"/>
            <w:vAlign w:val="bottom"/>
            <w:gridSpan w:val="8"/>
            <w:vMerge w:val="restart"/>
          </w:tcPr>
          <w:p>
            <w:pPr>
              <w:ind w:left="40"/>
              <w:spacing w:after="0"/>
              <w:rPr>
                <w:sz w:val="20"/>
                <w:szCs w:val="20"/>
                <w:color w:val="auto"/>
              </w:rPr>
            </w:pPr>
            <w:r>
              <w:rPr>
                <w:rFonts w:ascii="Arial" w:cs="Arial" w:eastAsia="Arial" w:hAnsi="Arial"/>
                <w:sz w:val="18"/>
                <w:szCs w:val="18"/>
                <w:color w:val="auto"/>
              </w:rPr>
              <w:t>Three Months Ended March 31,</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auto"/>
              </w:rPr>
              <w:t>% Change</w:t>
            </w:r>
          </w:p>
        </w:tc>
        <w:tc>
          <w:tcPr>
            <w:tcW w:w="2740" w:type="dxa"/>
            <w:vAlign w:val="bottom"/>
            <w:gridSpan w:val="7"/>
            <w:vMerge w:val="restart"/>
          </w:tcPr>
          <w:p>
            <w:pPr>
              <w:ind w:left="100"/>
              <w:spacing w:after="0"/>
              <w:rPr>
                <w:sz w:val="20"/>
                <w:szCs w:val="20"/>
                <w:color w:val="auto"/>
              </w:rPr>
            </w:pPr>
            <w:r>
              <w:rPr>
                <w:rFonts w:ascii="Arial" w:cs="Arial" w:eastAsia="Arial" w:hAnsi="Arial"/>
                <w:sz w:val="18"/>
                <w:szCs w:val="18"/>
                <w:color w:val="auto"/>
              </w:rPr>
              <w:t>Nine Months Ended March 31,</w:t>
            </w: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18"/>
        </w:trPr>
        <w:tc>
          <w:tcPr>
            <w:tcW w:w="3380" w:type="dxa"/>
            <w:vAlign w:val="bottom"/>
          </w:tcPr>
          <w:p>
            <w:pPr>
              <w:spacing w:after="0"/>
              <w:rPr>
                <w:sz w:val="18"/>
                <w:szCs w:val="18"/>
                <w:color w:val="auto"/>
              </w:rPr>
            </w:pPr>
          </w:p>
        </w:tc>
        <w:tc>
          <w:tcPr>
            <w:tcW w:w="2720" w:type="dxa"/>
            <w:vAlign w:val="bottom"/>
            <w:gridSpan w:val="8"/>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740" w:type="dxa"/>
            <w:vAlign w:val="bottom"/>
            <w:gridSpan w:val="7"/>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94"/>
              </w:rPr>
              <w:t>2022</w:t>
            </w:r>
          </w:p>
        </w:tc>
        <w:tc>
          <w:tcPr>
            <w:tcW w:w="4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ind w:right="420"/>
              <w:spacing w:after="0" w:line="182" w:lineRule="exact"/>
              <w:rPr>
                <w:sz w:val="20"/>
                <w:szCs w:val="20"/>
                <w:color w:val="auto"/>
              </w:rPr>
            </w:pPr>
            <w:r>
              <w:rPr>
                <w:rFonts w:ascii="Arial" w:cs="Arial" w:eastAsia="Arial" w:hAnsi="Arial"/>
                <w:sz w:val="18"/>
                <w:szCs w:val="18"/>
                <w:color w:val="auto"/>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w w:val="94"/>
              </w:rPr>
              <w:t>2022</w:t>
            </w:r>
          </w:p>
        </w:tc>
        <w:tc>
          <w:tcPr>
            <w:tcW w:w="5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ind w:right="440"/>
              <w:spacing w:after="0" w:line="182" w:lineRule="exact"/>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Revenue</w:t>
            </w:r>
          </w:p>
        </w:tc>
        <w:tc>
          <w:tcPr>
            <w:tcW w:w="4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12,204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12,355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38,638</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34,736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62,178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62,710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187,751</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183,861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in the Corporate and Other segment decreased 1% for the third quarter of fiscal 2022 compared to the same quarter of the prior fiscal year and increased 11% for the fiscal year-to-date period compared to the prior fiscal year-to-date period. The fiscal year-to-date increase was primarily due to higher services and support revenue, including an increase in software usage and subscription revenues. Revenues classified in the Corporate and Other segment include revenues from other products and services and hardware not specifically attributed to any of the other three segments.</w:t>
      </w:r>
    </w:p>
    <w:p>
      <w:pPr>
        <w:spacing w:after="0" w:line="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increased cost of revenue for the fiscal 2022 year-to-date period of 2% when compared to the prior fiscal period, was primarily due to higher operating licenses and fees.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and cash equivalents decreased to $39,797 at March 31, 2022, from $50,992 at June 30,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cash from operating activities in the statement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gridSpan w:val="4"/>
          </w:tcPr>
          <w:p>
            <w:pPr>
              <w:jc w:val="right"/>
              <w:ind w:right="550"/>
              <w:spacing w:after="0"/>
              <w:rPr>
                <w:sz w:val="20"/>
                <w:szCs w:val="20"/>
                <w:color w:val="auto"/>
              </w:rPr>
            </w:pPr>
            <w:r>
              <w:rPr>
                <w:rFonts w:ascii="Arial" w:cs="Arial" w:eastAsia="Arial" w:hAnsi="Arial"/>
                <w:sz w:val="18"/>
                <w:szCs w:val="18"/>
                <w:color w:val="auto"/>
              </w:rPr>
              <w:t>Nine Months Ended</w:t>
            </w:r>
          </w:p>
        </w:tc>
      </w:tr>
      <w:tr>
        <w:trPr>
          <w:trHeight w:val="235"/>
        </w:trPr>
        <w:tc>
          <w:tcPr>
            <w:tcW w:w="8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960" w:type="dxa"/>
            <w:vAlign w:val="bottom"/>
            <w:tcBorders>
              <w:bottom w:val="single" w:sz="8" w:color="auto"/>
            </w:tcBorders>
          </w:tcPr>
          <w:p>
            <w:pPr>
              <w:spacing w:after="0"/>
              <w:rPr>
                <w:sz w:val="20"/>
                <w:szCs w:val="20"/>
                <w:color w:val="auto"/>
              </w:rPr>
            </w:pPr>
          </w:p>
        </w:tc>
      </w:tr>
      <w:tr>
        <w:trPr>
          <w:trHeight w:val="223"/>
        </w:trPr>
        <w:tc>
          <w:tcPr>
            <w:tcW w:w="8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282,490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234,607</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168,187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157,963</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receivables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83,868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92,716</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Change in deferred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(177,987)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(177,021)</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other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(55,161)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(41,950)</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301,397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266,315</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provided by operating activities for the first nine months of fiscal 2022 increased 13% compared to the same period last year. Cash from operations is primarily used to repay debt, pay dividends, repurchase stock, and for capital expenditures.</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used in investing activities for the first nine months of fiscal 2022 totaled $145,024 and included: $108,950 for the ongoing enhancements and development of existing and new product and service offerings; capital expenditures on facilities and equipment of $28,386; and $7,726 for the purchase and development of internal use software. Uses of cash were partially offset by proceeds from dispositions of $38. Cash used in investing activities for the first nine months of fiscal 2021 totaled $126,140 and included: $95,991 for the development of software; $ 13,300 for purchase of investments; capital expenditures of $14,916; $5,820 for the purchase and development of internal use software; and a $2,300 payment for acquisitions, net of cash acquired. Uses of cash were partially offset by proceeds from dispositions of $6,187.</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Financing activities used cash of $167,568 for the first nine months of fiscal 2022 and included $193,916 for purchases of treasury stock; $167,091 for repayment on the revolving credit facility and payments on financing leases; and $103,376 for the payment of dividends to stockholders. Uses of cash were partially offset by borrowings on credit facilities of $292,000 and $ 4,815 net cash inflow from the issuance of stock and tax withholding related to stock-based compensation. Financing activities used cash of $283,404 in the first nine months of fiscal 2021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both"/>
        <w:spacing w:after="0" w:line="268" w:lineRule="auto"/>
        <w:rPr>
          <w:sz w:val="20"/>
          <w:szCs w:val="20"/>
          <w:color w:val="auto"/>
        </w:rPr>
      </w:pPr>
      <w:r>
        <w:rPr>
          <w:rFonts w:ascii="Arial" w:cs="Arial" w:eastAsia="Arial" w:hAnsi="Arial"/>
          <w:sz w:val="18"/>
          <w:szCs w:val="18"/>
          <w:color w:val="auto"/>
        </w:rPr>
        <w:t>included: $384,378 for the purchase of treasury shares; and $99,778 for the payment of dividends to stockholders; and $86 for payments on financing leases. Uses of cash were partially offset by borrowing on credit facilities of $200,000 and $838 net cash inflow from the issuance of stock and tax withholding related to stock-based compensation.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Resources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generally uses existing resources and funds generated from operations to meet its capital requirements. Capital expenditures totaling $28,386 and $14,916 for the nine months ended March 31, 2022, and March 31, 2021, respectively, were made primarily for additional equipment and the improvement of existing facilities. These additions were primarily funded from cash generated by operations. Total consolidated capital expenditures on facilities and equipment for the Company for fiscal year 2022 are not expected to exceed $45,000 and will be primarily funded from cash generated by operations.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has authorized the Company to repurchase shares of its common stock. Under this authorization, the Company may finance its share repurchases with available cash reserves or borrowings on its existing line of credit. The share repurchase program does not include specific price targets or timetables and may be suspended at any time. At March 31, 2022, there were 31,043 shares of treasury stock, and the Company had the remaining authority to repurchase up to 3,948 additional shares. The total cost of treasury shares at March 31, 2022, was $1,807,118. During the first nine months of fiscal 2022, the Company repurchased 1,250 shares for the treasury. At June 30, 2021, there were 29,793 shares in treasury stock and the Company had the remaining authority to repurchase up to 5,198 additional shares. The total cost of treasury shares at June 30, 2021, was $1,613,202. During the first nine months of fiscal 2021, the Company repurchased 2,500 shares for the treasury and, the Company repurchased 2,800 shares for the treasury during all of fiscal 2021.</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10, 2020, the Company entered into a five-year senior, unsecured revolving credit facility. The credit facility allows for borrowings of up to $300,000, which may be increased by the Company at any time until maturity to $700,000. The credit facility bears interest at a variable rate equal to (a) a rate based on a eurocurrency rate or (b) an alternate base rate (the highest of (i) 0%, (ii) the U.S. Bank prime rate for such day, (iii) the sum of the Federal Funds Effective Rate for such day plus 0.50% and (iv) the eurocurrency rate for a one-month interest period on such day for dollars plus 1.0%), plus an applicable percentage in each case determined by the Company's leverage ratio. The credit facility is guaranteed by certain subsidiaries of the Company and is subject to various financial covenants that require the Company to maintain certain financial ratios as defined in the credit facility agreement. As of March 31, 2022, the Company was in compliance with all such covenants. The revolving credit facility terminates February 10, 2025. There was a $ 225,000 outstanding balance under the credit facility at March 31, 2022, and $100,000 outstanding balance at June 30, 2021. The increase in the outstanding credit facility balance was primarily due to the Company's repurchases of common stock during the current fiscal year-to-date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lines of credit</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an unsecured bank credit line which provides for funding of up to $5,000 and bears interest at the prime rate less 1%. The credit line expires on April 30, 2023. There was no balance outstanding at March 31, 2022, and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ind w:right="4240"/>
        <w:spacing w:after="0" w:line="352"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color w:val="auto"/>
        </w:rPr>
        <w:t>Dollar amounts in this item are in thousands.</w:t>
      </w:r>
    </w:p>
    <w:p>
      <w:pPr>
        <w:jc w:val="both"/>
        <w:spacing w:after="0" w:line="259"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indices, volatilities, correlations or other market factors such as liquidity, will result in losses for a certain financial instrument or group of financial instruments. We are currently exposed to credit risk on credit extended to customers and at times are exposed to interest rate risk on outstanding debt. We do not currently use any derivative financial instruments. We actively monitor these risks through a variety of controlled procedures involving senior management.</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Based on the controls in place and the credit worthiness of the customer base, we believe the credit risk associated with the extension of credit to our customers will not have a material adverse effect on our consolidated financial position, results of operations, or cash flows.</w:t>
      </w:r>
    </w:p>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$225,000 outstanding debt with variable interest rates as of March 31, 2022, and a 1% increase in our borrowing rate would increase our annual interest expense by $2,250.</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end of the period covered by this Quarterly Report on Form 10-Q, an evaluation was carried out under the supervision and with the participation of our management, including the Company's Chief Executive Officer ("CEO") and Chief Financial Officer ("CFO"), of the effectiveness of the design and operation of our disclosure controls and procedures as defined in Exchange Act Rules 13a-15(e) and 15d-15(e). Based upon that evaluation (required in Exchange Act Rules 13a-15(b) and 15d-15(b)), the CEO and CFO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For this purpose, disclosure controls and procedures include controls and procedures designed to ensure that information required to be disclosed under the Exchange Act is accumulated and communicated to the Company's management, including the CEO and CFO, as appropriate to allow timely decisions regarding required disclosure.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fiscal quarter ended March 31, 2022, there were no changes in internal control over financial reporting which were identified in connection with management’s evaluation required by Rules 13a-15(d) and 15d-15(d) under the Exchange Act, that have materially affected, or are reasonably likely to materially affect, the Company’s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routine legal proceedings and claims arising in the ordinary course of our business. In the opinion of management, any liabilities resulting from current lawsuits are not expected, either individually or in the aggregate, to have a material adverse effect on our consolidated financial statements.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660" w:type="dxa"/>
            <w:vAlign w:val="bottom"/>
            <w:gridSpan w:val="9"/>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5320" w:type="dxa"/>
            <w:vAlign w:val="bottom"/>
            <w:gridSpan w:val="5"/>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060" w:type="dxa"/>
            <w:vAlign w:val="bottom"/>
          </w:tcPr>
          <w:p>
            <w:pPr>
              <w:spacing w:after="0"/>
              <w:rPr>
                <w:sz w:val="20"/>
                <w:szCs w:val="20"/>
                <w:color w:val="auto"/>
              </w:rPr>
            </w:pPr>
            <w:r>
              <w:rPr>
                <w:rFonts w:ascii="Arial" w:cs="Arial" w:eastAsia="Arial" w:hAnsi="Arial"/>
                <w:sz w:val="18"/>
                <w:szCs w:val="18"/>
                <w:color w:val="auto"/>
              </w:rPr>
              <w:t>The   following   shares   of   the</w:t>
            </w:r>
          </w:p>
        </w:tc>
        <w:tc>
          <w:tcPr>
            <w:tcW w:w="3540" w:type="dxa"/>
            <w:vAlign w:val="bottom"/>
            <w:gridSpan w:val="7"/>
          </w:tcPr>
          <w:p>
            <w:pPr>
              <w:jc w:val="center"/>
              <w:ind w:left="10"/>
              <w:spacing w:after="0"/>
              <w:rPr>
                <w:sz w:val="20"/>
                <w:szCs w:val="20"/>
                <w:color w:val="auto"/>
              </w:rPr>
            </w:pPr>
            <w:r>
              <w:rPr>
                <w:rFonts w:ascii="Arial" w:cs="Arial" w:eastAsia="Arial" w:hAnsi="Arial"/>
                <w:sz w:val="18"/>
                <w:szCs w:val="18"/>
                <w:color w:val="auto"/>
              </w:rPr>
              <w:t>Company   were   repurchased   during</w:t>
            </w:r>
          </w:p>
        </w:tc>
        <w:tc>
          <w:tcPr>
            <w:tcW w:w="2060" w:type="dxa"/>
            <w:vAlign w:val="bottom"/>
          </w:tcPr>
          <w:p>
            <w:pPr>
              <w:ind w:left="220"/>
              <w:spacing w:after="0"/>
              <w:rPr>
                <w:sz w:val="20"/>
                <w:szCs w:val="20"/>
                <w:color w:val="auto"/>
              </w:rPr>
            </w:pPr>
            <w:r>
              <w:rPr>
                <w:rFonts w:ascii="Arial" w:cs="Arial" w:eastAsia="Arial" w:hAnsi="Arial"/>
                <w:sz w:val="18"/>
                <w:szCs w:val="18"/>
                <w:color w:val="auto"/>
              </w:rPr>
              <w:t>the   fiscal   quarter</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rPr>
              <w:t>ended   March   31,   2022:</w:t>
            </w:r>
          </w:p>
        </w:tc>
        <w:tc>
          <w:tcPr>
            <w:tcW w:w="0" w:type="dxa"/>
            <w:vAlign w:val="bottom"/>
          </w:tcPr>
          <w:p>
            <w:pPr>
              <w:spacing w:after="0"/>
              <w:rPr>
                <w:sz w:val="1"/>
                <w:szCs w:val="1"/>
                <w:color w:val="auto"/>
              </w:rPr>
            </w:pPr>
          </w:p>
        </w:tc>
      </w:tr>
      <w:tr>
        <w:trPr>
          <w:trHeight w:val="293"/>
        </w:trPr>
        <w:tc>
          <w:tcPr>
            <w:tcW w:w="3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gridSpan w:val="3"/>
            <w:vMerge w:val="restart"/>
          </w:tcPr>
          <w:p>
            <w:pPr>
              <w:jc w:val="center"/>
              <w:ind w:right="190"/>
              <w:spacing w:after="0"/>
              <w:rPr>
                <w:sz w:val="20"/>
                <w:szCs w:val="20"/>
                <w:color w:val="auto"/>
              </w:rPr>
            </w:pPr>
            <w:r>
              <w:rPr>
                <w:rFonts w:ascii="Arial" w:cs="Arial" w:eastAsia="Arial" w:hAnsi="Arial"/>
                <w:sz w:val="18"/>
                <w:szCs w:val="18"/>
                <w:b w:val="1"/>
                <w:bCs w:val="1"/>
                <w:color w:val="auto"/>
                <w:w w:val="98"/>
              </w:rPr>
              <w:t>Total Number</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Total Number of Shares</w:t>
            </w:r>
          </w:p>
        </w:tc>
        <w:tc>
          <w:tcPr>
            <w:tcW w:w="100" w:type="dxa"/>
            <w:vAlign w:val="bottom"/>
          </w:tcPr>
          <w:p>
            <w:pPr>
              <w:spacing w:after="0"/>
              <w:rPr>
                <w:sz w:val="24"/>
                <w:szCs w:val="24"/>
                <w:color w:val="auto"/>
              </w:rPr>
            </w:pPr>
          </w:p>
        </w:tc>
        <w:tc>
          <w:tcPr>
            <w:tcW w:w="2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Maximum Number of Shares</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280" w:type="dxa"/>
            <w:vAlign w:val="bottom"/>
            <w:gridSpan w:val="3"/>
          </w:tcPr>
          <w:p>
            <w:pPr>
              <w:jc w:val="center"/>
              <w:ind w:right="390"/>
              <w:spacing w:after="0" w:line="189" w:lineRule="exact"/>
              <w:rPr>
                <w:sz w:val="20"/>
                <w:szCs w:val="20"/>
                <w:color w:val="auto"/>
              </w:rPr>
            </w:pPr>
            <w:r>
              <w:rPr>
                <w:rFonts w:ascii="Arial" w:cs="Arial" w:eastAsia="Arial" w:hAnsi="Arial"/>
                <w:sz w:val="18"/>
                <w:szCs w:val="18"/>
                <w:b w:val="1"/>
                <w:bCs w:val="1"/>
                <w:color w:val="auto"/>
              </w:rPr>
              <w:t>Average</w:t>
            </w:r>
          </w:p>
        </w:tc>
        <w:tc>
          <w:tcPr>
            <w:tcW w:w="2060" w:type="dxa"/>
            <w:vAlign w:val="bottom"/>
          </w:tcPr>
          <w:p>
            <w:pPr>
              <w:jc w:val="center"/>
              <w:ind w:right="110"/>
              <w:spacing w:after="0" w:line="189" w:lineRule="exact"/>
              <w:rPr>
                <w:sz w:val="20"/>
                <w:szCs w:val="20"/>
                <w:color w:val="auto"/>
              </w:rPr>
            </w:pPr>
            <w:r>
              <w:rPr>
                <w:rFonts w:ascii="Arial" w:cs="Arial" w:eastAsia="Arial" w:hAnsi="Arial"/>
                <w:sz w:val="18"/>
                <w:szCs w:val="18"/>
                <w:b w:val="1"/>
                <w:bCs w:val="1"/>
                <w:color w:val="auto"/>
                <w:w w:val="99"/>
              </w:rPr>
              <w:t>Purchased as Part of</w:t>
            </w:r>
          </w:p>
        </w:tc>
        <w:tc>
          <w:tcPr>
            <w:tcW w:w="100" w:type="dxa"/>
            <w:vAlign w:val="bottom"/>
          </w:tcPr>
          <w:p>
            <w:pPr>
              <w:spacing w:after="0"/>
              <w:rPr>
                <w:sz w:val="16"/>
                <w:szCs w:val="16"/>
                <w:color w:val="auto"/>
              </w:rPr>
            </w:pPr>
          </w:p>
        </w:tc>
        <w:tc>
          <w:tcPr>
            <w:tcW w:w="2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20" w:type="dxa"/>
            <w:vAlign w:val="bottom"/>
            <w:gridSpan w:val="3"/>
          </w:tcPr>
          <w:p>
            <w:pPr>
              <w:jc w:val="center"/>
              <w:ind w:right="190"/>
              <w:spacing w:after="0" w:line="176" w:lineRule="exact"/>
              <w:rPr>
                <w:sz w:val="20"/>
                <w:szCs w:val="20"/>
                <w:color w:val="auto"/>
              </w:rPr>
            </w:pPr>
            <w:r>
              <w:rPr>
                <w:rFonts w:ascii="Arial" w:cs="Arial" w:eastAsia="Arial" w:hAnsi="Arial"/>
                <w:sz w:val="18"/>
                <w:szCs w:val="18"/>
                <w:b w:val="1"/>
                <w:bCs w:val="1"/>
                <w:color w:val="auto"/>
                <w:w w:val="99"/>
              </w:rPr>
              <w:t>of Shares</w:t>
            </w:r>
          </w:p>
        </w:tc>
        <w:tc>
          <w:tcPr>
            <w:tcW w:w="1280" w:type="dxa"/>
            <w:vAlign w:val="bottom"/>
            <w:gridSpan w:val="3"/>
          </w:tcPr>
          <w:p>
            <w:pPr>
              <w:jc w:val="center"/>
              <w:ind w:right="410"/>
              <w:spacing w:after="0" w:line="176" w:lineRule="exact"/>
              <w:rPr>
                <w:sz w:val="20"/>
                <w:szCs w:val="20"/>
                <w:color w:val="auto"/>
              </w:rPr>
            </w:pPr>
            <w:r>
              <w:rPr>
                <w:rFonts w:ascii="Arial" w:cs="Arial" w:eastAsia="Arial" w:hAnsi="Arial"/>
                <w:sz w:val="18"/>
                <w:szCs w:val="18"/>
                <w:b w:val="1"/>
                <w:bCs w:val="1"/>
                <w:color w:val="auto"/>
                <w:w w:val="99"/>
              </w:rPr>
              <w:t>Price of</w:t>
            </w:r>
          </w:p>
        </w:tc>
        <w:tc>
          <w:tcPr>
            <w:tcW w:w="20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rPr>
              <w:t>Publicly Announced</w:t>
            </w:r>
          </w:p>
        </w:tc>
        <w:tc>
          <w:tcPr>
            <w:tcW w:w="100" w:type="dxa"/>
            <w:vAlign w:val="bottom"/>
          </w:tcPr>
          <w:p>
            <w:pPr>
              <w:spacing w:after="0"/>
              <w:rPr>
                <w:sz w:val="15"/>
                <w:szCs w:val="15"/>
                <w:color w:val="auto"/>
              </w:rPr>
            </w:pPr>
          </w:p>
        </w:tc>
        <w:tc>
          <w:tcPr>
            <w:tcW w:w="2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323"/>
        </w:trPr>
        <w:tc>
          <w:tcPr>
            <w:tcW w:w="3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9"/>
              </w:rPr>
              <w:t>Purchased</w:t>
            </w:r>
          </w:p>
        </w:tc>
        <w:tc>
          <w:tcPr>
            <w:tcW w:w="128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99"/>
              </w:rPr>
              <w:t>Share</w:t>
            </w:r>
          </w:p>
        </w:tc>
        <w:tc>
          <w:tcPr>
            <w:tcW w:w="2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Plans</w:t>
            </w: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5"/>
              </w:rPr>
              <w:t xml:space="preserve">Under the Plans </w:t>
            </w:r>
            <w:r>
              <w:rPr>
                <w:rFonts w:ascii="Arial" w:cs="Arial" w:eastAsia="Arial" w:hAnsi="Arial"/>
                <w:sz w:val="23"/>
                <w:szCs w:val="23"/>
                <w:b w:val="1"/>
                <w:bCs w:val="1"/>
                <w:color w:val="auto"/>
                <w:w w:val="95"/>
                <w:vertAlign w:val="superscript"/>
              </w:rPr>
              <w:t>(1)</w:t>
            </w:r>
          </w:p>
        </w:tc>
        <w:tc>
          <w:tcPr>
            <w:tcW w:w="0" w:type="dxa"/>
            <w:vAlign w:val="bottom"/>
          </w:tcPr>
          <w:p>
            <w:pPr>
              <w:spacing w:after="0"/>
              <w:rPr>
                <w:sz w:val="1"/>
                <w:szCs w:val="1"/>
                <w:color w:val="auto"/>
              </w:rPr>
            </w:pPr>
          </w:p>
        </w:tc>
      </w:tr>
      <w:tr>
        <w:trPr>
          <w:trHeight w:val="224"/>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1 - January 31, 2022</w:t>
            </w:r>
          </w:p>
        </w:tc>
        <w:tc>
          <w:tcPr>
            <w:tcW w:w="6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3,947,713</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February 1 - February 28, 2022</w:t>
            </w:r>
          </w:p>
        </w:tc>
        <w:tc>
          <w:tcPr>
            <w:tcW w:w="640" w:type="dxa"/>
            <w:vAlign w:val="bottom"/>
          </w:tcPr>
          <w:p>
            <w:pPr>
              <w:spacing w:after="0"/>
              <w:rPr>
                <w:sz w:val="19"/>
                <w:szCs w:val="19"/>
                <w:color w:val="auto"/>
              </w:rPr>
            </w:pPr>
          </w:p>
        </w:tc>
        <w:tc>
          <w:tcPr>
            <w:tcW w:w="1620" w:type="dxa"/>
            <w:vAlign w:val="bottom"/>
            <w:gridSpan w:val="3"/>
          </w:tcPr>
          <w:p>
            <w:pPr>
              <w:jc w:val="center"/>
              <w:ind w:left="630"/>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2060" w:type="dxa"/>
            <w:vAlign w:val="bottom"/>
          </w:tcPr>
          <w:p>
            <w:pPr>
              <w:ind w:left="1800"/>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3,947,713</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1 - March 31, 2022</w:t>
            </w:r>
          </w:p>
        </w:tc>
        <w:tc>
          <w:tcPr>
            <w:tcW w:w="6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3,947,713</w:t>
            </w:r>
          </w:p>
        </w:tc>
        <w:tc>
          <w:tcPr>
            <w:tcW w:w="0" w:type="dxa"/>
            <w:vAlign w:val="bottom"/>
          </w:tcPr>
          <w:p>
            <w:pPr>
              <w:spacing w:after="0"/>
              <w:rPr>
                <w:sz w:val="1"/>
                <w:szCs w:val="1"/>
                <w:color w:val="auto"/>
              </w:rPr>
            </w:pPr>
          </w:p>
        </w:tc>
      </w:tr>
      <w:tr>
        <w:trPr>
          <w:trHeight w:val="223"/>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640" w:type="dxa"/>
            <w:vAlign w:val="bottom"/>
          </w:tcPr>
          <w:p>
            <w:pPr>
              <w:spacing w:after="0"/>
              <w:rPr>
                <w:sz w:val="19"/>
                <w:szCs w:val="19"/>
                <w:color w:val="auto"/>
              </w:rPr>
            </w:pPr>
          </w:p>
        </w:tc>
        <w:tc>
          <w:tcPr>
            <w:tcW w:w="134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ind w:left="700"/>
              <w:spacing w:after="0"/>
              <w:rPr>
                <w:sz w:val="20"/>
                <w:szCs w:val="20"/>
                <w:color w:val="auto"/>
              </w:rPr>
            </w:pPr>
            <w:r>
              <w:rPr>
                <w:rFonts w:ascii="Arial" w:cs="Arial" w:eastAsia="Arial" w:hAnsi="Arial"/>
                <w:sz w:val="18"/>
                <w:szCs w:val="18"/>
                <w:b w:val="1"/>
                <w:bCs w:val="1"/>
                <w:color w:val="auto"/>
              </w:rPr>
              <w:t>—</w:t>
            </w:r>
          </w:p>
        </w:tc>
        <w:tc>
          <w:tcPr>
            <w:tcW w:w="2060" w:type="dxa"/>
            <w:vAlign w:val="bottom"/>
          </w:tcPr>
          <w:p>
            <w:pPr>
              <w:ind w:left="1800"/>
              <w:spacing w:after="0"/>
              <w:rPr>
                <w:sz w:val="20"/>
                <w:szCs w:val="20"/>
                <w:color w:val="auto"/>
              </w:rPr>
            </w:pPr>
            <w:r>
              <w:rPr>
                <w:rFonts w:ascii="Arial" w:cs="Arial" w:eastAsia="Arial" w:hAnsi="Arial"/>
                <w:sz w:val="18"/>
                <w:szCs w:val="18"/>
                <w:b w:val="1"/>
                <w:bCs w:val="1"/>
                <w:color w:val="auto"/>
              </w:rPr>
              <w:t>—</w:t>
            </w: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3,947,713</w:t>
            </w: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8"/>
        <w:spacing w:after="0" w:line="227" w:lineRule="auto"/>
        <w:tabs>
          <w:tab w:leader="none" w:pos="184"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Total stock repurchase authorizations approved by the Company's Board of Directors as of May 17, 2021 were for 35 million shares. The Company has repurchased 31,042,903 shares under these authorizations. The authorizations have no specific dollar or share price targets and no expiration dates.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239" w:lineRule="exact"/>
        <w:rPr>
          <w:sz w:val="20"/>
          <w:szCs w:val="20"/>
          <w:color w:val="auto"/>
        </w:rPr>
      </w:pPr>
    </w:p>
    <w:p>
      <w:pPr>
        <w:spacing w:after="0"/>
        <w:tabs>
          <w:tab w:leader="none" w:pos="640" w:val="left"/>
        </w:tabs>
        <w:rPr>
          <w:rFonts w:ascii="Arial" w:cs="Arial" w:eastAsia="Arial" w:hAnsi="Arial"/>
          <w:sz w:val="17"/>
          <w:szCs w:val="17"/>
          <w:u w:val="single" w:color="auto"/>
          <w:color w:val="0000FF"/>
        </w:rPr>
      </w:pPr>
      <w:r>
        <w:rPr>
          <w:rFonts w:ascii="Arial" w:cs="Arial" w:eastAsia="Arial" w:hAnsi="Arial"/>
          <w:sz w:val="18"/>
          <w:szCs w:val="18"/>
          <w:color w:val="auto"/>
        </w:rPr>
        <w:t>10.71</w:t>
      </w:r>
      <w:r>
        <w:rPr>
          <w:sz w:val="20"/>
          <w:szCs w:val="20"/>
          <w:color w:val="auto"/>
        </w:rPr>
        <w:tab/>
      </w:r>
      <w:hyperlink r:id="rId38">
        <w:r>
          <w:rPr>
            <w:rFonts w:ascii="Arial" w:cs="Arial" w:eastAsia="Arial" w:hAnsi="Arial"/>
            <w:sz w:val="17"/>
            <w:szCs w:val="17"/>
            <w:u w:val="single" w:color="auto"/>
            <w:color w:val="0000FF"/>
          </w:rPr>
          <w:t>Form of Indemnification Agreement attached as Exhibit 10.71 to the Company’s Current Report on Form 8-K filed February 17, 2022</w:t>
        </w:r>
      </w:hyperlink>
    </w:p>
    <w:p>
      <w:pPr>
        <w:spacing w:after="0" w:line="23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of the Chief Executive Officer.</w:t>
      </w:r>
    </w:p>
    <w:p>
      <w:pPr>
        <w:spacing w:after="0" w:line="23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of the Chief Financial Officer.</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of the Chief Executive Officer Pursuant to 18 U.S.C. Section 1350.</w:t>
      </w:r>
    </w:p>
    <w:p>
      <w:pPr>
        <w:spacing w:after="0" w:line="2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FF"/>
        </w:rPr>
        <w:t>Certification of the Chief Financial Officer Pursuant to 18 U.S.C. Section 1350.</w:t>
      </w:r>
    </w:p>
    <w:p>
      <w:pPr>
        <w:sectPr>
          <w:pgSz w:w="11900" w:h="16838" w:orient="portrait"/>
          <w:cols w:equalWidth="0" w:num="1">
            <w:col w:w="11240"/>
          </w:cols>
          <w:pgMar w:left="320" w:top="125"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40" w:hanging="375"/>
        <w:spacing w:after="0" w:line="287" w:lineRule="auto"/>
        <w:rPr>
          <w:sz w:val="20"/>
          <w:szCs w:val="20"/>
          <w:color w:val="auto"/>
        </w:rPr>
      </w:pPr>
      <w:r>
        <w:rPr>
          <w:rFonts w:ascii="Arial" w:cs="Arial" w:eastAsia="Arial" w:hAnsi="Arial"/>
          <w:sz w:val="18"/>
          <w:szCs w:val="18"/>
          <w:color w:val="auto"/>
        </w:rPr>
        <w:t>XBRL Instance Document- the instance document does not appear in the Interactive Data File as its XBRL tags are embedded within the Inline XBRL document</w:t>
      </w:r>
    </w:p>
    <w:p>
      <w:pPr>
        <w:spacing w:after="0" w:line="180" w:lineRule="exact"/>
        <w:rPr>
          <w:sz w:val="20"/>
          <w:szCs w:val="20"/>
          <w:color w:val="auto"/>
        </w:rPr>
      </w:pPr>
    </w:p>
    <w:p>
      <w:pPr>
        <w:sectPr>
          <w:pgSz w:w="11900" w:h="16838" w:orient="portrait"/>
          <w:cols w:equalWidth="0" w:num="2">
            <w:col w:w="720" w:space="580"/>
            <w:col w:w="9940"/>
          </w:cols>
          <w:pgMar w:left="320" w:top="125"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XBRL Taxonomy Extension Schema Document</w:t>
      </w:r>
    </w:p>
    <w:p>
      <w:pPr>
        <w:spacing w:after="0" w:line="200" w:lineRule="exact"/>
        <w:rPr>
          <w:sz w:val="20"/>
          <w:szCs w:val="20"/>
          <w:color w:val="auto"/>
        </w:rPr>
      </w:pPr>
    </w:p>
    <w:p>
      <w:pPr>
        <w:sectPr>
          <w:pgSz w:w="11900" w:h="16838" w:orient="portrait"/>
          <w:cols w:equalWidth="0" w:num="2">
            <w:col w:w="800" w:space="200"/>
            <w:col w:w="1024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Calculation Linkbase Document</w:t>
      </w:r>
    </w:p>
    <w:p>
      <w:pPr>
        <w:spacing w:after="0" w:line="211" w:lineRule="exact"/>
        <w:rPr>
          <w:sz w:val="20"/>
          <w:szCs w:val="20"/>
          <w:color w:val="auto"/>
        </w:rPr>
      </w:pPr>
    </w:p>
    <w:p>
      <w:pPr>
        <w:sectPr>
          <w:pgSz w:w="11900" w:h="16838" w:orient="portrait"/>
          <w:cols w:equalWidth="0" w:num="2">
            <w:col w:w="780" w:space="200"/>
            <w:col w:w="10260"/>
          </w:cols>
          <w:pgMar w:left="320" w:top="12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00" w:lineRule="exact"/>
        <w:rPr>
          <w:sz w:val="20"/>
          <w:szCs w:val="20"/>
          <w:color w:val="auto"/>
        </w:rPr>
      </w:pPr>
    </w:p>
    <w:p>
      <w:pPr>
        <w:sectPr>
          <w:pgSz w:w="11900" w:h="16838" w:orient="portrait"/>
          <w:cols w:equalWidth="0" w:num="2">
            <w:col w:w="780" w:space="200"/>
            <w:col w:w="1026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00" w:lineRule="exact"/>
        <w:rPr>
          <w:sz w:val="20"/>
          <w:szCs w:val="20"/>
          <w:color w:val="auto"/>
        </w:rPr>
      </w:pPr>
    </w:p>
    <w:p>
      <w:pPr>
        <w:sectPr>
          <w:pgSz w:w="11900" w:h="16838" w:orient="portrait"/>
          <w:cols w:equalWidth="0" w:num="2">
            <w:col w:w="760" w:space="200"/>
            <w:col w:w="10280"/>
          </w:cols>
          <w:pgMar w:left="320" w:top="125" w:right="3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800" w:space="200"/>
            <w:col w:w="10240"/>
          </w:cols>
          <w:pgMar w:left="320" w:top="125" w:right="339" w:bottom="1440" w:gutter="0" w:footer="0" w:header="0"/>
          <w:type w:val="continuous"/>
        </w:sectPr>
      </w:pPr>
    </w:p>
    <w:p>
      <w:pPr>
        <w:spacing w:after="0" w:line="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tab/>
        <w:t>Cover Page Interactive Data File (formatted as Inline XBRL and contained in Exhibit 101)</w:t>
      </w:r>
    </w:p>
    <w:p>
      <w:pPr>
        <w:spacing w:after="0" w:line="239" w:lineRule="exact"/>
        <w:rPr>
          <w:sz w:val="20"/>
          <w:szCs w:val="20"/>
          <w:color w:val="auto"/>
        </w:rPr>
      </w:pPr>
    </w:p>
    <w:p>
      <w:pPr>
        <w:jc w:val="both"/>
        <w:ind w:firstLine="8"/>
        <w:spacing w:after="0" w:line="257" w:lineRule="auto"/>
        <w:tabs>
          <w:tab w:leader="none" w:pos="165"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with this quarterly report on Form 10-Q are the following documents formatted in XBRL (Extensible Business Reporting Language): (i) the Condensed Consolidated Balance Sheets at March 31, 2022, and June 30, 2021, (ii) the Condensed Consolidated Statements of Income for the three and nine months ended March 31, 2022, and 2021, (iii) the Condensed Consolidated Statements of Changes in Shareholders' Equity for the three and nine months ended March 31, 2022, and 2021, (iv) the Condensed Consolidated Statements of Cash Flows for the nine months ended March 31, 2022, and 2021, and (v) Notes to Condensed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3180" w:type="dxa"/>
            <w:vAlign w:val="bottom"/>
            <w:gridSpan w:val="3"/>
          </w:tcPr>
          <w:p>
            <w:pPr>
              <w:ind w:left="120"/>
              <w:spacing w:after="0"/>
              <w:rPr>
                <w:sz w:val="20"/>
                <w:szCs w:val="20"/>
                <w:color w:val="auto"/>
              </w:rPr>
            </w:pPr>
            <w:r>
              <w:rPr>
                <w:rFonts w:ascii="Arial" w:cs="Arial" w:eastAsia="Arial" w:hAnsi="Arial"/>
                <w:sz w:val="18"/>
                <w:szCs w:val="18"/>
                <w:color w:val="auto"/>
              </w:rPr>
              <w:t>JACK HENRY &amp; ASSOCIATES, INC.</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May 6, 2022</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 David B. Foss</w:t>
            </w:r>
          </w:p>
        </w:tc>
        <w:tc>
          <w:tcPr>
            <w:tcW w:w="1820" w:type="dxa"/>
            <w:vAlign w:val="bottom"/>
            <w:gridSpan w:val="2"/>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David B. Foss</w:t>
            </w:r>
          </w:p>
        </w:tc>
      </w:tr>
      <w:tr>
        <w:trPr>
          <w:trHeight w:val="239"/>
        </w:trPr>
        <w:tc>
          <w:tcPr>
            <w:tcW w:w="624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9"/>
              </w:rPr>
              <w:t>Board Chair and Chief Executive Officer</w:t>
            </w:r>
          </w:p>
        </w:tc>
      </w:tr>
      <w:tr>
        <w:trPr>
          <w:trHeight w:val="441"/>
        </w:trPr>
        <w:tc>
          <w:tcPr>
            <w:tcW w:w="6240" w:type="dxa"/>
            <w:vAlign w:val="bottom"/>
          </w:tcPr>
          <w:p>
            <w:pPr>
              <w:spacing w:after="0"/>
              <w:rPr>
                <w:sz w:val="20"/>
                <w:szCs w:val="20"/>
                <w:color w:val="auto"/>
              </w:rPr>
            </w:pPr>
            <w:r>
              <w:rPr>
                <w:rFonts w:ascii="Arial" w:cs="Arial" w:eastAsia="Arial" w:hAnsi="Arial"/>
                <w:sz w:val="18"/>
                <w:szCs w:val="18"/>
                <w:color w:val="auto"/>
              </w:rPr>
              <w:t>Date: May 6, 2022</w:t>
            </w:r>
          </w:p>
        </w:tc>
        <w:tc>
          <w:tcPr>
            <w:tcW w:w="1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Kevin D. Williams</w:t>
            </w:r>
          </w:p>
        </w:tc>
        <w:tc>
          <w:tcPr>
            <w:tcW w:w="1540" w:type="dxa"/>
            <w:vAlign w:val="bottom"/>
          </w:tcPr>
          <w:p>
            <w:pPr>
              <w:spacing w:after="0"/>
              <w:rPr>
                <w:sz w:val="24"/>
                <w:szCs w:val="24"/>
                <w:color w:val="auto"/>
              </w:rPr>
            </w:pPr>
          </w:p>
        </w:tc>
      </w:tr>
      <w:tr>
        <w:trPr>
          <w:trHeight w:val="245"/>
        </w:trPr>
        <w:tc>
          <w:tcPr>
            <w:tcW w:w="624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Kevin D. Williams</w:t>
            </w:r>
          </w:p>
        </w:tc>
      </w:tr>
      <w:tr>
        <w:trPr>
          <w:trHeight w:val="239"/>
        </w:trPr>
        <w:tc>
          <w:tcPr>
            <w:tcW w:w="624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David B. Foss, certify that:</w:t>
      </w:r>
    </w:p>
    <w:p>
      <w:pPr>
        <w:spacing w:after="0" w:line="77"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May 6,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5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 Kevin D. Williams, certify that:</w:t>
      </w:r>
    </w:p>
    <w:p>
      <w:pPr>
        <w:spacing w:after="0" w:line="77"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Jack Henry &amp; Associates, Inc.;</w:t>
      </w:r>
    </w:p>
    <w:p>
      <w:pPr>
        <w:spacing w:after="0" w:line="90" w:lineRule="exact"/>
        <w:rPr>
          <w:rFonts w:ascii="Arial" w:cs="Arial" w:eastAsia="Arial" w:hAnsi="Arial"/>
          <w:sz w:val="18"/>
          <w:szCs w:val="18"/>
          <w:color w:val="auto"/>
        </w:rPr>
      </w:pPr>
    </w:p>
    <w:p>
      <w:pPr>
        <w:jc w:val="both"/>
        <w:ind w:firstLine="8"/>
        <w:spacing w:after="0" w:line="268" w:lineRule="auto"/>
        <w:tabs>
          <w:tab w:leader="none" w:pos="2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8"/>
          <w:szCs w:val="18"/>
          <w:color w:val="auto"/>
        </w:rPr>
      </w:pPr>
    </w:p>
    <w:p>
      <w:pPr>
        <w:ind w:firstLine="8"/>
        <w:spacing w:after="0" w:line="287" w:lineRule="auto"/>
        <w:tabs>
          <w:tab w:leader="none" w:pos="2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8"/>
          <w:szCs w:val="18"/>
          <w:color w:val="auto"/>
        </w:rPr>
      </w:pPr>
    </w:p>
    <w:p>
      <w:pPr>
        <w:jc w:val="both"/>
        <w:ind w:firstLine="8"/>
        <w:spacing w:after="0" w:line="268" w:lineRule="auto"/>
        <w:tabs>
          <w:tab w:leader="none" w:pos="2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6" w:lineRule="exact"/>
        <w:rPr>
          <w:sz w:val="20"/>
          <w:szCs w:val="20"/>
          <w:color w:val="auto"/>
        </w:rPr>
      </w:pPr>
    </w:p>
    <w:p>
      <w:pPr>
        <w:jc w:val="both"/>
        <w:ind w:right="20" w:firstLine="8"/>
        <w:spacing w:after="0" w:line="268" w:lineRule="auto"/>
        <w:tabs>
          <w:tab w:leader="none" w:pos="2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 w:lineRule="exact"/>
        <w:rPr>
          <w:rFonts w:ascii="Arial" w:cs="Arial" w:eastAsia="Arial" w:hAnsi="Arial"/>
          <w:sz w:val="18"/>
          <w:szCs w:val="18"/>
          <w:color w:val="auto"/>
        </w:rPr>
      </w:pPr>
    </w:p>
    <w:p>
      <w:pPr>
        <w:jc w:val="both"/>
        <w:ind w:firstLine="8"/>
        <w:spacing w:after="0" w:line="268" w:lineRule="auto"/>
        <w:tabs>
          <w:tab w:leader="none" w:pos="223"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 w:lineRule="exact"/>
        <w:rPr>
          <w:rFonts w:ascii="Arial" w:cs="Arial" w:eastAsia="Arial" w:hAnsi="Arial"/>
          <w:sz w:val="18"/>
          <w:szCs w:val="18"/>
          <w:color w:val="auto"/>
        </w:rPr>
      </w:pPr>
    </w:p>
    <w:p>
      <w:pPr>
        <w:ind w:right="20" w:firstLine="8"/>
        <w:spacing w:after="0" w:line="287" w:lineRule="auto"/>
        <w:tabs>
          <w:tab w:leader="none" w:pos="2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8"/>
          <w:szCs w:val="18"/>
          <w:color w:val="auto"/>
        </w:rPr>
      </w:pPr>
    </w:p>
    <w:p>
      <w:pPr>
        <w:jc w:val="both"/>
        <w:ind w:firstLine="8"/>
        <w:spacing w:after="0" w:line="268" w:lineRule="auto"/>
        <w:tabs>
          <w:tab w:leader="none" w:pos="2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 w:lineRule="exact"/>
        <w:rPr>
          <w:sz w:val="20"/>
          <w:szCs w:val="20"/>
          <w:color w:val="auto"/>
        </w:rPr>
      </w:pPr>
    </w:p>
    <w:p>
      <w:pPr>
        <w:jc w:val="both"/>
        <w:ind w:firstLine="8"/>
        <w:spacing w:after="0" w:line="268" w:lineRule="auto"/>
        <w:tabs>
          <w:tab w:leader="none" w:pos="2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sz w:val="20"/>
          <w:szCs w:val="20"/>
          <w:color w:val="auto"/>
        </w:rPr>
      </w:pPr>
    </w:p>
    <w:p>
      <w:pPr>
        <w:ind w:right="20" w:firstLine="8"/>
        <w:spacing w:after="0" w:line="287" w:lineRule="auto"/>
        <w:tabs>
          <w:tab w:leader="none" w:pos="2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right="20" w:firstLine="8"/>
        <w:spacing w:after="0" w:line="287" w:lineRule="auto"/>
        <w:tabs>
          <w:tab w:leader="none" w:pos="2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Date: May 6,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Kevin 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Kevin D. Williams</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5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Executive Officer of Jack Henry &amp; Associates, Inc. (the "Company"), hereby certify that, to my knowledge, the Quarterly Report on Form 10 -Q of the Company for the nine month period ended March 31, 2022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David B.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David B. Foss</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EXHIBIT 32.2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 of the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18 U.S.C. Section 1350</w:t>
      </w:r>
    </w:p>
    <w:p>
      <w:pPr>
        <w:spacing w:after="0" w:line="2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Solely for the purposes of complying with 18 U.S.C. Section 1350, I, the undersigned Chief Financial Officer of Jack Henry &amp; Associates, Inc. (the "Company"), hereby certify that, to my knowledge, the Quarterly Report on Form 10-Q of the Company for the nine month period ended March 31, 2022 (the "Report") fully complies with the requirements of Section 13(a) or 15(d) of the Securities Exchange Act of 1934, as amended, and that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2022</w:t>
      </w:r>
    </w:p>
    <w:p>
      <w:pPr>
        <w:spacing w:after="0" w:line="5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Kevin D.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17780</wp:posOffset>
            </wp:positionV>
            <wp:extent cx="16370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Kevin D. Williams</w:t>
      </w:r>
    </w:p>
    <w:p>
      <w:pPr>
        <w:spacing w:after="0" w:line="3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Jack Henry &amp; Associates, Inc. and will be retained by Jack Henry &amp; Associates,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5"/>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38" Type="http://schemas.openxmlformats.org/officeDocument/2006/relationships/hyperlink" Target="https://www.sec.gov/Archives/edgar/data/779152/000077915222000020/jkhy-1071formofindemnific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2022-05-06T14:36:03Z</dcterms:created>
  <dcterms:modified xsi:type="dcterms:W3CDTF">2022-05-06T14:36:03Z</dcterms:modified>
</cp:coreProperties>
</file>