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99"/>
        <w:spacing w:after="0"/>
        <w:rPr>
          <w:sz w:val="20"/>
          <w:szCs w:val="20"/>
          <w:color w:val="auto"/>
        </w:rPr>
      </w:pPr>
      <w:r>
        <w:rPr>
          <w:rFonts w:ascii="Courier New" w:cs="Courier New" w:eastAsia="Courier New" w:hAnsi="Courier New"/>
          <w:sz w:val="16"/>
          <w:szCs w:val="16"/>
          <w:color w:val="auto"/>
        </w:rPr>
        <w:t>UNITED STATES</w:t>
      </w:r>
    </w:p>
    <w:p>
      <w:pPr>
        <w:spacing w:after="0" w:line="2" w:lineRule="exact"/>
        <w:rPr>
          <w:sz w:val="24"/>
          <w:szCs w:val="24"/>
          <w:color w:val="auto"/>
        </w:rPr>
      </w:pPr>
    </w:p>
    <w:p>
      <w:pPr>
        <w:jc w:val="center"/>
        <w:ind w:right="259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2" w:lineRule="exact"/>
        <w:rPr>
          <w:sz w:val="24"/>
          <w:szCs w:val="24"/>
          <w:color w:val="auto"/>
        </w:rPr>
      </w:pPr>
    </w:p>
    <w:p>
      <w:pPr>
        <w:jc w:val="center"/>
        <w:ind w:right="2599"/>
        <w:spacing w:after="0"/>
        <w:rPr>
          <w:sz w:val="20"/>
          <w:szCs w:val="20"/>
          <w:color w:val="auto"/>
        </w:rPr>
      </w:pPr>
      <w:r>
        <w:rPr>
          <w:rFonts w:ascii="Courier New" w:cs="Courier New" w:eastAsia="Courier New" w:hAnsi="Courier New"/>
          <w:sz w:val="16"/>
          <w:szCs w:val="16"/>
          <w:color w:val="auto"/>
        </w:rPr>
        <w:t>Washington, D.C. 20549</w:t>
      </w:r>
    </w:p>
    <w:p>
      <w:pPr>
        <w:spacing w:after="0" w:line="186" w:lineRule="exact"/>
        <w:rPr>
          <w:sz w:val="24"/>
          <w:szCs w:val="24"/>
          <w:color w:val="auto"/>
        </w:rPr>
      </w:pPr>
    </w:p>
    <w:p>
      <w:pPr>
        <w:jc w:val="center"/>
        <w:ind w:right="2599"/>
        <w:spacing w:after="0"/>
        <w:rPr>
          <w:sz w:val="20"/>
          <w:szCs w:val="20"/>
          <w:color w:val="auto"/>
        </w:rPr>
      </w:pPr>
      <w:r>
        <w:rPr>
          <w:rFonts w:ascii="Courier New" w:cs="Courier New" w:eastAsia="Courier New" w:hAnsi="Courier New"/>
          <w:sz w:val="16"/>
          <w:szCs w:val="16"/>
          <w:color w:val="auto"/>
        </w:rPr>
        <w:t>FORM 8</w:t>
      </w:r>
    </w:p>
    <w:p>
      <w:pPr>
        <w:spacing w:after="0" w:line="186" w:lineRule="exact"/>
        <w:rPr>
          <w:sz w:val="24"/>
          <w:szCs w:val="24"/>
          <w:color w:val="auto"/>
        </w:rPr>
      </w:pPr>
    </w:p>
    <w:p>
      <w:pPr>
        <w:ind w:left="2200"/>
        <w:spacing w:after="0"/>
        <w:rPr>
          <w:sz w:val="20"/>
          <w:szCs w:val="20"/>
          <w:color w:val="auto"/>
        </w:rPr>
      </w:pPr>
      <w:r>
        <w:rPr>
          <w:rFonts w:ascii="Courier New" w:cs="Courier New" w:eastAsia="Courier New" w:hAnsi="Courier New"/>
          <w:sz w:val="16"/>
          <w:szCs w:val="16"/>
          <w:color w:val="auto"/>
        </w:rPr>
        <w:t>AMENDMENT TO APPLICATION OR REPORT</w:t>
      </w:r>
    </w:p>
    <w:p>
      <w:pPr>
        <w:spacing w:after="0" w:line="2" w:lineRule="exact"/>
        <w:rPr>
          <w:sz w:val="24"/>
          <w:szCs w:val="24"/>
          <w:color w:val="auto"/>
        </w:rPr>
      </w:pPr>
    </w:p>
    <w:p>
      <w:pPr>
        <w:ind w:left="1900"/>
        <w:spacing w:after="0"/>
        <w:rPr>
          <w:sz w:val="20"/>
          <w:szCs w:val="20"/>
          <w:color w:val="auto"/>
        </w:rPr>
      </w:pPr>
      <w:r>
        <w:rPr>
          <w:rFonts w:ascii="Courier New" w:cs="Courier New" w:eastAsia="Courier New" w:hAnsi="Courier New"/>
          <w:sz w:val="16"/>
          <w:szCs w:val="16"/>
          <w:color w:val="auto"/>
        </w:rPr>
        <w:t>FILED PURSUANT TO SECTION 12, 12 OR 15(d)</w:t>
      </w:r>
    </w:p>
    <w:p>
      <w:pPr>
        <w:spacing w:after="0" w:line="2" w:lineRule="exact"/>
        <w:rPr>
          <w:sz w:val="24"/>
          <w:szCs w:val="24"/>
          <w:color w:val="auto"/>
        </w:rPr>
      </w:pPr>
    </w:p>
    <w:p>
      <w:pPr>
        <w:ind w:left="2000"/>
        <w:spacing w:after="0"/>
        <w:rPr>
          <w:sz w:val="20"/>
          <w:szCs w:val="20"/>
          <w:color w:val="auto"/>
        </w:rPr>
      </w:pPr>
      <w:r>
        <w:rPr>
          <w:rFonts w:ascii="Courier New" w:cs="Courier New" w:eastAsia="Courier New" w:hAnsi="Courier New"/>
          <w:sz w:val="16"/>
          <w:szCs w:val="16"/>
          <w:color w:val="auto"/>
        </w:rPr>
        <w:t>OF THE SECURITIES EXCHANGE ACT OF 1934</w:t>
      </w:r>
    </w:p>
    <w:p>
      <w:pPr>
        <w:spacing w:after="0" w:line="369" w:lineRule="exact"/>
        <w:rPr>
          <w:sz w:val="24"/>
          <w:szCs w:val="24"/>
          <w:color w:val="auto"/>
        </w:rPr>
      </w:pPr>
    </w:p>
    <w:p>
      <w:pPr>
        <w:jc w:val="center"/>
        <w:ind w:right="2499"/>
        <w:spacing w:after="0"/>
        <w:rPr>
          <w:sz w:val="20"/>
          <w:szCs w:val="20"/>
          <w:color w:val="auto"/>
        </w:rPr>
      </w:pPr>
      <w:r>
        <w:rPr>
          <w:rFonts w:ascii="Courier New" w:cs="Courier New" w:eastAsia="Courier New" w:hAnsi="Courier New"/>
          <w:sz w:val="16"/>
          <w:szCs w:val="16"/>
          <w:color w:val="auto"/>
        </w:rPr>
        <w:t>JACK HENRY &amp; ASSOCIATES, INC.</w:t>
      </w:r>
    </w:p>
    <w:p>
      <w:pPr>
        <w:spacing w:after="0" w:line="2" w:lineRule="exact"/>
        <w:rPr>
          <w:sz w:val="24"/>
          <w:szCs w:val="24"/>
          <w:color w:val="auto"/>
        </w:rPr>
      </w:pPr>
    </w:p>
    <w:p>
      <w:pPr>
        <w:jc w:val="center"/>
        <w:ind w:right="2599"/>
        <w:spacing w:after="0"/>
        <w:rPr>
          <w:sz w:val="20"/>
          <w:szCs w:val="20"/>
          <w:color w:val="auto"/>
        </w:rPr>
      </w:pPr>
      <w:r>
        <w:rPr>
          <w:rFonts w:ascii="Courier New" w:cs="Courier New" w:eastAsia="Courier New" w:hAnsi="Courier New"/>
          <w:sz w:val="16"/>
          <w:szCs w:val="16"/>
          <w:color w:val="auto"/>
        </w:rPr>
        <w:t>(Exact name of registrant as specified in charter)</w:t>
      </w:r>
    </w:p>
    <w:p>
      <w:pPr>
        <w:spacing w:after="0" w:line="186" w:lineRule="exact"/>
        <w:rPr>
          <w:sz w:val="24"/>
          <w:szCs w:val="24"/>
          <w:color w:val="auto"/>
        </w:rPr>
      </w:pPr>
    </w:p>
    <w:p>
      <w:pPr>
        <w:jc w:val="center"/>
        <w:ind w:right="2679"/>
        <w:spacing w:after="0"/>
        <w:tabs>
          <w:tab w:leader="none" w:pos="260" w:val="left"/>
        </w:tabs>
        <w:rPr>
          <w:sz w:val="20"/>
          <w:szCs w:val="20"/>
          <w:color w:val="auto"/>
        </w:rPr>
      </w:pPr>
      <w:r>
        <w:rPr>
          <w:rFonts w:ascii="Courier New" w:cs="Courier New" w:eastAsia="Courier New" w:hAnsi="Courier New"/>
          <w:sz w:val="16"/>
          <w:szCs w:val="16"/>
          <w:color w:val="auto"/>
        </w:rPr>
        <w:t>AMENDMENT NO.</w:t>
        <w:tab/>
        <w:t>1</w:t>
      </w:r>
    </w:p>
    <w:p>
      <w:pPr>
        <w:spacing w:after="0" w:line="188" w:lineRule="exact"/>
        <w:rPr>
          <w:sz w:val="24"/>
          <w:szCs w:val="24"/>
          <w:color w:val="auto"/>
        </w:rPr>
      </w:pPr>
    </w:p>
    <w:p>
      <w:pPr>
        <w:ind w:right="2599" w:firstLine="477"/>
        <w:spacing w:after="0"/>
        <w:rPr>
          <w:sz w:val="20"/>
          <w:szCs w:val="20"/>
          <w:color w:val="auto"/>
        </w:rPr>
      </w:pPr>
      <w:r>
        <w:rPr>
          <w:rFonts w:ascii="Courier New" w:cs="Courier New" w:eastAsia="Courier New" w:hAnsi="Courier New"/>
          <w:sz w:val="16"/>
          <w:szCs w:val="16"/>
          <w:color w:val="auto"/>
        </w:rPr>
        <w:t>The undersigned registrant hereby amends the following items, financial statements, exhibits or other portions of its CURRENT REPORT Dated July 17, 1995 on Form 8-K, as set forth in the pages attached hereto:</w:t>
      </w:r>
    </w:p>
    <w:p>
      <w:pPr>
        <w:spacing w:after="0" w:line="4" w:lineRule="exact"/>
        <w:rPr>
          <w:sz w:val="24"/>
          <w:szCs w:val="24"/>
          <w:color w:val="auto"/>
        </w:rPr>
      </w:pPr>
    </w:p>
    <w:p>
      <w:pPr>
        <w:ind w:left="480"/>
        <w:spacing w:after="0"/>
        <w:tabs>
          <w:tab w:leader="none" w:pos="1880" w:val="left"/>
        </w:tabs>
        <w:rPr>
          <w:sz w:val="20"/>
          <w:szCs w:val="20"/>
          <w:color w:val="auto"/>
        </w:rPr>
      </w:pPr>
      <w:r>
        <w:rPr>
          <w:rFonts w:ascii="Courier New" w:cs="Courier New" w:eastAsia="Courier New" w:hAnsi="Courier New"/>
          <w:sz w:val="16"/>
          <w:szCs w:val="16"/>
          <w:color w:val="auto"/>
        </w:rPr>
        <w:t>Item 7.</w:t>
      </w:r>
      <w:r>
        <w:rPr>
          <w:sz w:val="20"/>
          <w:szCs w:val="20"/>
          <w:color w:val="auto"/>
        </w:rPr>
        <w:tab/>
      </w:r>
      <w:r>
        <w:rPr>
          <w:rFonts w:ascii="Courier New" w:cs="Courier New" w:eastAsia="Courier New" w:hAnsi="Courier New"/>
          <w:sz w:val="15"/>
          <w:szCs w:val="15"/>
          <w:color w:val="auto"/>
        </w:rPr>
        <w:t>Financial Statements and Exhibits</w:t>
      </w:r>
    </w:p>
    <w:p>
      <w:pPr>
        <w:spacing w:after="0" w:line="2" w:lineRule="exact"/>
        <w:rPr>
          <w:sz w:val="24"/>
          <w:szCs w:val="24"/>
          <w:color w:val="auto"/>
        </w:rPr>
      </w:pPr>
    </w:p>
    <w:p>
      <w:pPr>
        <w:ind w:left="1900" w:hanging="948"/>
        <w:spacing w:after="0"/>
        <w:tabs>
          <w:tab w:leader="none" w:pos="19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 forma financial information.</w:t>
      </w:r>
    </w:p>
    <w:p>
      <w:pPr>
        <w:spacing w:after="0" w:line="5" w:lineRule="exact"/>
        <w:rPr>
          <w:sz w:val="24"/>
          <w:szCs w:val="24"/>
          <w:color w:val="auto"/>
        </w:rPr>
      </w:pPr>
    </w:p>
    <w:p>
      <w:pPr>
        <w:ind w:right="2879" w:firstLine="477"/>
        <w:spacing w:after="0"/>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amendment to be signed on its behalf by the undersigned, thereunto duly authorized.</w:t>
      </w:r>
    </w:p>
    <w:p>
      <w:pPr>
        <w:spacing w:after="0" w:line="370" w:lineRule="exact"/>
        <w:rPr>
          <w:sz w:val="24"/>
          <w:szCs w:val="24"/>
          <w:color w:val="auto"/>
        </w:rPr>
      </w:pPr>
    </w:p>
    <w:p>
      <w:pPr>
        <w:ind w:left="4580"/>
        <w:spacing w:after="0"/>
        <w:rPr>
          <w:sz w:val="20"/>
          <w:szCs w:val="20"/>
          <w:color w:val="auto"/>
        </w:rPr>
      </w:pPr>
      <w:r>
        <w:rPr>
          <w:rFonts w:ascii="Courier New" w:cs="Courier New" w:eastAsia="Courier New" w:hAnsi="Courier New"/>
          <w:sz w:val="16"/>
          <w:szCs w:val="16"/>
          <w:color w:val="auto"/>
        </w:rPr>
        <w:t>JACK HENRY &amp; ASSOCIATES, INC.</w:t>
      </w:r>
    </w:p>
    <w:p>
      <w:pPr>
        <w:spacing w:after="0" w:line="2" w:lineRule="exact"/>
        <w:rPr>
          <w:sz w:val="24"/>
          <w:szCs w:val="24"/>
          <w:color w:val="auto"/>
        </w:rPr>
      </w:pPr>
    </w:p>
    <w:p>
      <w:pPr>
        <w:ind w:left="4960"/>
        <w:spacing w:after="0"/>
        <w:rPr>
          <w:sz w:val="20"/>
          <w:szCs w:val="20"/>
          <w:color w:val="auto"/>
        </w:rPr>
      </w:pPr>
      <w:r>
        <w:rPr>
          <w:rFonts w:ascii="Courier New" w:cs="Courier New" w:eastAsia="Courier New" w:hAnsi="Courier New"/>
          <w:sz w:val="16"/>
          <w:szCs w:val="16"/>
          <w:color w:val="auto"/>
        </w:rPr>
        <w:t>(Registrant)</w:t>
      </w:r>
    </w:p>
    <w:p>
      <w:pPr>
        <w:sectPr>
          <w:pgSz w:w="11900" w:h="16838" w:orient="portrait"/>
          <w:cols w:equalWidth="0" w:num="1">
            <w:col w:w="10219"/>
          </w:cols>
          <w:pgMar w:left="240" w:top="603" w:right="1440" w:bottom="83" w:gutter="0" w:footer="0" w:header="0"/>
        </w:sectPr>
      </w:pPr>
    </w:p>
    <w:p>
      <w:pPr>
        <w:spacing w:after="0" w:line="200" w:lineRule="exact"/>
        <w:rPr>
          <w:sz w:val="24"/>
          <w:szCs w:val="24"/>
          <w:color w:val="auto"/>
        </w:rPr>
      </w:pPr>
    </w:p>
    <w:p>
      <w:pPr>
        <w:spacing w:after="0" w:line="35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September 15, 1995</w:t>
      </w:r>
    </w:p>
    <w:p>
      <w:pPr>
        <w:spacing w:after="0" w:line="11"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By:/s/ Michael E. Henry</w:t>
      </w:r>
    </w:p>
    <w:p>
      <w:pPr>
        <w:spacing w:after="0" w:line="2" w:lineRule="exact"/>
        <w:rPr>
          <w:sz w:val="24"/>
          <w:szCs w:val="24"/>
          <w:color w:val="auto"/>
        </w:rPr>
      </w:pPr>
    </w:p>
    <w:p>
      <w:pPr>
        <w:ind w:left="460"/>
        <w:spacing w:after="0"/>
        <w:rPr>
          <w:sz w:val="20"/>
          <w:szCs w:val="20"/>
          <w:color w:val="auto"/>
        </w:rPr>
      </w:pPr>
      <w:r>
        <w:rPr>
          <w:rFonts w:ascii="Courier New" w:cs="Courier New" w:eastAsia="Courier New" w:hAnsi="Courier New"/>
          <w:sz w:val="16"/>
          <w:szCs w:val="16"/>
          <w:color w:val="auto"/>
        </w:rPr>
        <w:t>Michael E. Henry</w:t>
      </w:r>
    </w:p>
    <w:p>
      <w:pPr>
        <w:spacing w:after="0" w:line="5" w:lineRule="exact"/>
        <w:rPr>
          <w:sz w:val="24"/>
          <w:szCs w:val="24"/>
          <w:color w:val="auto"/>
        </w:rPr>
      </w:pPr>
    </w:p>
    <w:p>
      <w:pPr>
        <w:ind w:left="460"/>
        <w:spacing w:after="0"/>
        <w:rPr>
          <w:sz w:val="20"/>
          <w:szCs w:val="20"/>
          <w:color w:val="auto"/>
        </w:rPr>
      </w:pPr>
      <w:r>
        <w:rPr>
          <w:rFonts w:ascii="Courier New" w:cs="Courier New" w:eastAsia="Courier New" w:hAnsi="Courier New"/>
          <w:sz w:val="15"/>
          <w:szCs w:val="15"/>
          <w:color w:val="auto"/>
        </w:rPr>
        <w:t>Chairman of the Board and</w:t>
      </w:r>
    </w:p>
    <w:p>
      <w:pPr>
        <w:spacing w:after="0" w:line="11" w:lineRule="exact"/>
        <w:rPr>
          <w:sz w:val="24"/>
          <w:szCs w:val="24"/>
          <w:color w:val="auto"/>
        </w:rPr>
      </w:pPr>
    </w:p>
    <w:p>
      <w:pPr>
        <w:ind w:left="460"/>
        <w:spacing w:after="0"/>
        <w:rPr>
          <w:sz w:val="20"/>
          <w:szCs w:val="20"/>
          <w:color w:val="auto"/>
        </w:rPr>
      </w:pPr>
      <w:r>
        <w:rPr>
          <w:rFonts w:ascii="Courier New" w:cs="Courier New" w:eastAsia="Courier New" w:hAnsi="Courier New"/>
          <w:sz w:val="16"/>
          <w:szCs w:val="16"/>
          <w:color w:val="auto"/>
        </w:rPr>
        <w:t>Chief Executive Officer</w:t>
      </w:r>
    </w:p>
    <w:p>
      <w:pPr>
        <w:spacing w:after="0" w:line="200" w:lineRule="exact"/>
        <w:rPr>
          <w:sz w:val="24"/>
          <w:szCs w:val="24"/>
          <w:color w:val="auto"/>
        </w:rPr>
      </w:pPr>
    </w:p>
    <w:p>
      <w:pPr>
        <w:sectPr>
          <w:pgSz w:w="11900" w:h="16838" w:orient="portrait"/>
          <w:cols w:equalWidth="0" w:num="2">
            <w:col w:w="3100" w:space="720"/>
            <w:col w:w="6399"/>
          </w:cols>
          <w:pgMar w:left="240" w:top="603" w:right="1440" w:bottom="83" w:gutter="0" w:footer="0" w:header="0"/>
          <w:type w:val="continuous"/>
        </w:sectPr>
      </w:pPr>
    </w:p>
    <w:p>
      <w:pPr>
        <w:spacing w:after="0" w:line="35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September 15, 1995</w:t>
      </w:r>
    </w:p>
    <w:p>
      <w:pPr>
        <w:spacing w:after="0" w:line="11" w:lineRule="exact"/>
        <w:rPr>
          <w:sz w:val="24"/>
          <w:szCs w:val="24"/>
          <w:color w:val="auto"/>
        </w:rPr>
      </w:pPr>
    </w:p>
    <w:p>
      <w:pPr>
        <w:ind w:left="104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4"/>
          <w:szCs w:val="24"/>
          <w:color w:val="auto"/>
        </w:rPr>
      </w:pPr>
      <w:r>
        <w:rPr>
          <w:sz w:val="24"/>
          <w:szCs w:val="24"/>
          <w:color w:val="auto"/>
        </w:rPr>
        <w:br w:type="column"/>
      </w:r>
    </w:p>
    <w:p>
      <w:pPr>
        <w:spacing w:after="0" w:line="33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By:/s/ Terry W. Thompson</w:t>
      </w:r>
    </w:p>
    <w:p>
      <w:pPr>
        <w:spacing w:after="0" w:line="2" w:lineRule="exact"/>
        <w:rPr>
          <w:sz w:val="24"/>
          <w:szCs w:val="24"/>
          <w:color w:val="auto"/>
        </w:rPr>
      </w:pPr>
    </w:p>
    <w:p>
      <w:pPr>
        <w:ind w:left="460"/>
        <w:spacing w:after="0"/>
        <w:rPr>
          <w:sz w:val="20"/>
          <w:szCs w:val="20"/>
          <w:color w:val="auto"/>
        </w:rPr>
      </w:pPr>
      <w:r>
        <w:rPr>
          <w:rFonts w:ascii="Courier New" w:cs="Courier New" w:eastAsia="Courier New" w:hAnsi="Courier New"/>
          <w:sz w:val="16"/>
          <w:szCs w:val="16"/>
          <w:color w:val="auto"/>
        </w:rPr>
        <w:t>Terry W. Thompson</w:t>
      </w:r>
    </w:p>
    <w:p>
      <w:pPr>
        <w:spacing w:after="0" w:line="5" w:lineRule="exact"/>
        <w:rPr>
          <w:sz w:val="24"/>
          <w:szCs w:val="24"/>
          <w:color w:val="auto"/>
        </w:rPr>
      </w:pPr>
    </w:p>
    <w:p>
      <w:pPr>
        <w:ind w:left="460"/>
        <w:spacing w:after="0"/>
        <w:rPr>
          <w:sz w:val="20"/>
          <w:szCs w:val="20"/>
          <w:color w:val="auto"/>
        </w:rPr>
      </w:pPr>
      <w:r>
        <w:rPr>
          <w:rFonts w:ascii="Courier New" w:cs="Courier New" w:eastAsia="Courier New" w:hAnsi="Courier New"/>
          <w:sz w:val="15"/>
          <w:szCs w:val="15"/>
          <w:color w:val="auto"/>
        </w:rPr>
        <w:t>Vice President and Chief Financial</w:t>
      </w:r>
    </w:p>
    <w:p>
      <w:pPr>
        <w:spacing w:after="0" w:line="11" w:lineRule="exact"/>
        <w:rPr>
          <w:sz w:val="24"/>
          <w:szCs w:val="24"/>
          <w:color w:val="auto"/>
        </w:rPr>
      </w:pPr>
    </w:p>
    <w:p>
      <w:pPr>
        <w:ind w:left="460"/>
        <w:spacing w:after="0"/>
        <w:rPr>
          <w:sz w:val="20"/>
          <w:szCs w:val="20"/>
          <w:color w:val="auto"/>
        </w:rPr>
      </w:pPr>
      <w:r>
        <w:rPr>
          <w:rFonts w:ascii="Courier New" w:cs="Courier New" w:eastAsia="Courier New" w:hAnsi="Courier New"/>
          <w:sz w:val="16"/>
          <w:szCs w:val="16"/>
          <w:color w:val="auto"/>
        </w:rPr>
        <w:t>Officer</w:t>
      </w:r>
    </w:p>
    <w:p>
      <w:pPr>
        <w:spacing w:after="0" w:line="200" w:lineRule="exact"/>
        <w:rPr>
          <w:sz w:val="24"/>
          <w:szCs w:val="24"/>
          <w:color w:val="auto"/>
        </w:rPr>
      </w:pPr>
    </w:p>
    <w:p>
      <w:pPr>
        <w:sectPr>
          <w:pgSz w:w="11900" w:h="16838" w:orient="portrait"/>
          <w:cols w:equalWidth="0" w:num="2">
            <w:col w:w="3100" w:space="720"/>
            <w:col w:w="6399"/>
          </w:cols>
          <w:pgMar w:left="240" w:top="603" w:right="1440" w:bottom="83" w:gutter="0" w:footer="0" w:header="0"/>
          <w:type w:val="continuous"/>
        </w:sectPr>
      </w:pPr>
    </w:p>
    <w:p>
      <w:pPr>
        <w:spacing w:after="0" w:line="169" w:lineRule="exact"/>
        <w:rPr>
          <w:sz w:val="24"/>
          <w:szCs w:val="24"/>
          <w:color w:val="auto"/>
        </w:rPr>
      </w:pPr>
    </w:p>
    <w:p>
      <w:pPr>
        <w:jc w:val="center"/>
        <w:ind w:right="2499"/>
        <w:spacing w:after="0"/>
        <w:rPr>
          <w:sz w:val="20"/>
          <w:szCs w:val="20"/>
          <w:color w:val="auto"/>
        </w:rPr>
      </w:pPr>
      <w:r>
        <w:rPr>
          <w:rFonts w:ascii="Courier New" w:cs="Courier New" w:eastAsia="Courier New" w:hAnsi="Courier New"/>
          <w:sz w:val="16"/>
          <w:szCs w:val="16"/>
          <w:color w:val="auto"/>
        </w:rPr>
        <w:t>Jack Henry &amp; Associates, Inc.</w:t>
      </w:r>
    </w:p>
    <w:p>
      <w:pPr>
        <w:spacing w:after="0" w:line="186" w:lineRule="exact"/>
        <w:rPr>
          <w:sz w:val="24"/>
          <w:szCs w:val="24"/>
          <w:color w:val="auto"/>
        </w:rPr>
      </w:pPr>
    </w:p>
    <w:p>
      <w:pPr>
        <w:jc w:val="center"/>
        <w:ind w:right="2499"/>
        <w:spacing w:after="0"/>
        <w:rPr>
          <w:sz w:val="20"/>
          <w:szCs w:val="20"/>
          <w:color w:val="auto"/>
        </w:rPr>
      </w:pPr>
      <w:r>
        <w:rPr>
          <w:rFonts w:ascii="Courier New" w:cs="Courier New" w:eastAsia="Courier New" w:hAnsi="Courier New"/>
          <w:sz w:val="16"/>
          <w:szCs w:val="16"/>
          <w:color w:val="auto"/>
        </w:rPr>
        <w:t>Purchase of all of the outstanding common stock</w:t>
      </w:r>
    </w:p>
    <w:p>
      <w:pPr>
        <w:spacing w:after="0" w:line="2" w:lineRule="exact"/>
        <w:rPr>
          <w:sz w:val="24"/>
          <w:szCs w:val="24"/>
          <w:color w:val="auto"/>
        </w:rPr>
      </w:pPr>
    </w:p>
    <w:p>
      <w:pPr>
        <w:jc w:val="center"/>
        <w:ind w:right="2599"/>
        <w:spacing w:after="0"/>
        <w:rPr>
          <w:sz w:val="20"/>
          <w:szCs w:val="20"/>
          <w:color w:val="auto"/>
        </w:rPr>
      </w:pPr>
      <w:r>
        <w:rPr>
          <w:rFonts w:ascii="Courier New" w:cs="Courier New" w:eastAsia="Courier New" w:hAnsi="Courier New"/>
          <w:sz w:val="16"/>
          <w:szCs w:val="16"/>
          <w:color w:val="auto"/>
        </w:rPr>
        <w:t>of</w:t>
      </w:r>
    </w:p>
    <w:p>
      <w:pPr>
        <w:spacing w:after="0" w:line="2" w:lineRule="exact"/>
        <w:rPr>
          <w:sz w:val="24"/>
          <w:szCs w:val="24"/>
          <w:color w:val="auto"/>
        </w:rPr>
      </w:pPr>
    </w:p>
    <w:p>
      <w:pPr>
        <w:jc w:val="center"/>
        <w:ind w:right="2599"/>
        <w:spacing w:after="0"/>
        <w:rPr>
          <w:sz w:val="20"/>
          <w:szCs w:val="20"/>
          <w:color w:val="auto"/>
        </w:rPr>
      </w:pPr>
      <w:r>
        <w:rPr>
          <w:rFonts w:ascii="Courier New" w:cs="Courier New" w:eastAsia="Courier New" w:hAnsi="Courier New"/>
          <w:sz w:val="16"/>
          <w:szCs w:val="16"/>
          <w:color w:val="auto"/>
        </w:rPr>
        <w:t>Liberty Software, Inc.</w:t>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ind w:right="2779"/>
        <w:spacing w:after="0" w:line="241" w:lineRule="auto"/>
        <w:rPr>
          <w:sz w:val="20"/>
          <w:szCs w:val="20"/>
          <w:color w:val="auto"/>
        </w:rPr>
      </w:pPr>
      <w:r>
        <w:rPr>
          <w:rFonts w:ascii="Courier New" w:cs="Courier New" w:eastAsia="Courier New" w:hAnsi="Courier New"/>
          <w:sz w:val="16"/>
          <w:szCs w:val="16"/>
          <w:color w:val="auto"/>
        </w:rPr>
        <w:t>On June 30, 1995, the Company purchased all the outstanding shares of Liberty Software, Inc. common stock for a total purchase consideration of $12,000,000 cash. The total outlay will be made over a period of approximately 10 months. Approximately $5.4 million remains to be paid at June 30, 1995.</w:t>
      </w:r>
    </w:p>
    <w:p>
      <w:pPr>
        <w:spacing w:after="0" w:line="189" w:lineRule="exact"/>
        <w:rPr>
          <w:sz w:val="24"/>
          <w:szCs w:val="24"/>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A Pro Forma statement of operations is presented for the year ended June 30, 1995, showing the combined operations as though the transaction had been completed at July 1, 1994. Since the acquisition was made on June 30, 1995 the consolidated balance sheet includes the assets of the acquired business.</w:t>
      </w:r>
    </w:p>
    <w:p>
      <w:pPr>
        <w:spacing w:after="0" w:line="189" w:lineRule="exact"/>
        <w:rPr>
          <w:sz w:val="24"/>
          <w:szCs w:val="24"/>
          <w:color w:val="auto"/>
        </w:rPr>
      </w:pPr>
    </w:p>
    <w:p>
      <w:pPr>
        <w:ind w:right="2599"/>
        <w:spacing w:after="0" w:line="262" w:lineRule="auto"/>
        <w:rPr>
          <w:sz w:val="20"/>
          <w:szCs w:val="20"/>
          <w:color w:val="auto"/>
        </w:rPr>
      </w:pPr>
      <w:r>
        <w:rPr>
          <w:rFonts w:ascii="Courier New" w:cs="Courier New" w:eastAsia="Courier New" w:hAnsi="Courier New"/>
          <w:sz w:val="15"/>
          <w:szCs w:val="15"/>
          <w:color w:val="auto"/>
        </w:rPr>
        <w:t>The Pro Forma results are not necessarily indicative of what would have occurred had the acquisition been on that date, nor are they necessarily indicative of future operations. Pro Forma data reflect the adjusted amortized excess purchase price over net assets acquired. No adjustment was made to reflect the combined impact of operations on income tax expense of the separate companies.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7(b)</w:t>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2499"/>
        <w:spacing w:after="0"/>
        <w:rPr>
          <w:sz w:val="20"/>
          <w:szCs w:val="20"/>
          <w:color w:val="auto"/>
        </w:rPr>
      </w:pPr>
      <w:r>
        <w:rPr>
          <w:rFonts w:ascii="Courier New" w:cs="Courier New" w:eastAsia="Courier New" w:hAnsi="Courier New"/>
          <w:sz w:val="16"/>
          <w:szCs w:val="16"/>
          <w:color w:val="auto"/>
        </w:rPr>
        <w:t>JACK HENRY &amp; ASSOCIATES, INC.</w:t>
      </w:r>
    </w:p>
    <w:p>
      <w:pPr>
        <w:spacing w:after="0" w:line="2" w:lineRule="exact"/>
        <w:rPr>
          <w:sz w:val="24"/>
          <w:szCs w:val="24"/>
          <w:color w:val="auto"/>
        </w:rPr>
      </w:pPr>
    </w:p>
    <w:p>
      <w:pPr>
        <w:jc w:val="center"/>
        <w:ind w:right="2599"/>
        <w:spacing w:after="0"/>
        <w:rPr>
          <w:sz w:val="20"/>
          <w:szCs w:val="20"/>
          <w:color w:val="auto"/>
        </w:rPr>
      </w:pPr>
      <w:r>
        <w:rPr>
          <w:rFonts w:ascii="Courier New" w:cs="Courier New" w:eastAsia="Courier New" w:hAnsi="Courier New"/>
          <w:sz w:val="16"/>
          <w:szCs w:val="16"/>
          <w:color w:val="auto"/>
        </w:rPr>
        <w:t>UNAUDITED CONDENSED PROFORMA STATEMENT OF OPERATIONS</w:t>
      </w:r>
    </w:p>
    <w:p>
      <w:pPr>
        <w:spacing w:after="0" w:line="2" w:lineRule="exact"/>
        <w:rPr>
          <w:sz w:val="24"/>
          <w:szCs w:val="24"/>
          <w:color w:val="auto"/>
        </w:rPr>
      </w:pPr>
    </w:p>
    <w:p>
      <w:pPr>
        <w:jc w:val="center"/>
        <w:ind w:right="2599"/>
        <w:spacing w:after="0"/>
        <w:rPr>
          <w:sz w:val="20"/>
          <w:szCs w:val="20"/>
          <w:color w:val="auto"/>
        </w:rPr>
      </w:pPr>
      <w:r>
        <w:rPr>
          <w:rFonts w:ascii="Courier New" w:cs="Courier New" w:eastAsia="Courier New" w:hAnsi="Courier New"/>
          <w:sz w:val="16"/>
          <w:szCs w:val="16"/>
          <w:color w:val="auto"/>
        </w:rPr>
        <w:t>FOR THE YEAR ENDED JUNE 30, 1995</w:t>
      </w:r>
    </w:p>
    <w:p>
      <w:pPr>
        <w:spacing w:after="0" w:line="2" w:lineRule="exact"/>
        <w:rPr>
          <w:sz w:val="24"/>
          <w:szCs w:val="24"/>
          <w:color w:val="auto"/>
        </w:rPr>
      </w:pPr>
    </w:p>
    <w:p>
      <w:pPr>
        <w:jc w:val="center"/>
        <w:ind w:right="2599"/>
        <w:spacing w:after="0"/>
        <w:rPr>
          <w:sz w:val="20"/>
          <w:szCs w:val="20"/>
          <w:color w:val="auto"/>
        </w:rPr>
      </w:pPr>
      <w:r>
        <w:rPr>
          <w:rFonts w:ascii="Courier New" w:cs="Courier New" w:eastAsia="Courier New" w:hAnsi="Courier New"/>
          <w:sz w:val="16"/>
          <w:szCs w:val="16"/>
          <w:color w:val="auto"/>
        </w:rPr>
        <w:t>(IN THOUSANDS)</w:t>
      </w:r>
    </w:p>
    <w:p>
      <w:pPr>
        <w:sectPr>
          <w:pgSz w:w="11900" w:h="16838" w:orient="portrait"/>
          <w:cols w:equalWidth="0" w:num="1">
            <w:col w:w="10219"/>
          </w:cols>
          <w:pgMar w:left="240" w:top="603" w:right="1440" w:bottom="83" w:gutter="0" w:footer="0" w:header="0"/>
          <w:type w:val="continuous"/>
        </w:sectPr>
      </w:pPr>
    </w:p>
    <w:bookmarkStart w:id="1" w:name="page2"/>
    <w:bookmarkEnd w:id="1"/>
    <w:tbl>
      <w:tblPr>
        <w:tblLayout w:type="fixed"/>
        <w:tblInd w:w="100" w:type="dxa"/>
        <w:tblCellMar>
          <w:top w:w="0" w:type="dxa"/>
          <w:left w:w="0" w:type="dxa"/>
          <w:bottom w:w="0" w:type="dxa"/>
          <w:right w:w="0" w:type="dxa"/>
        </w:tblCellMar>
      </w:tblPr>
      <w:tr>
        <w:trPr>
          <w:trHeight w:val="181"/>
        </w:trPr>
        <w:tc>
          <w:tcPr>
            <w:tcW w:w="4420" w:type="dxa"/>
            <w:vAlign w:val="bottom"/>
          </w:tcPr>
          <w:p>
            <w:pPr>
              <w:ind w:left="3240"/>
              <w:spacing w:after="0"/>
              <w:rPr>
                <w:sz w:val="20"/>
                <w:szCs w:val="20"/>
                <w:color w:val="auto"/>
              </w:rPr>
            </w:pPr>
            <w:r>
              <w:rPr>
                <w:rFonts w:ascii="Courier New" w:cs="Courier New" w:eastAsia="Courier New" w:hAnsi="Courier New"/>
                <w:sz w:val="16"/>
                <w:szCs w:val="16"/>
                <w:color w:val="auto"/>
              </w:rPr>
              <w:t>HISTORICAL</w:t>
            </w:r>
          </w:p>
        </w:tc>
        <w:tc>
          <w:tcPr>
            <w:tcW w:w="1440" w:type="dxa"/>
            <w:vAlign w:val="bottom"/>
          </w:tcPr>
          <w:p>
            <w:pPr>
              <w:spacing w:after="0"/>
              <w:rPr>
                <w:sz w:val="15"/>
                <w:szCs w:val="15"/>
                <w:color w:val="auto"/>
              </w:rPr>
            </w:pPr>
          </w:p>
        </w:tc>
        <w:tc>
          <w:tcPr>
            <w:tcW w:w="214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PRO FORMA</w:t>
            </w:r>
          </w:p>
        </w:tc>
        <w:tc>
          <w:tcPr>
            <w:tcW w:w="1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3"/>
        </w:trPr>
        <w:tc>
          <w:tcPr>
            <w:tcW w:w="4420" w:type="dxa"/>
            <w:vAlign w:val="bottom"/>
          </w:tcPr>
          <w:p>
            <w:pPr>
              <w:spacing w:after="0"/>
              <w:rPr>
                <w:sz w:val="15"/>
                <w:szCs w:val="15"/>
                <w:color w:val="auto"/>
              </w:rPr>
            </w:pP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JACK HENRY</w:t>
            </w:r>
          </w:p>
        </w:tc>
        <w:tc>
          <w:tcPr>
            <w:tcW w:w="21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LIBERTY</w:t>
            </w:r>
          </w:p>
        </w:tc>
        <w:tc>
          <w:tcPr>
            <w:tcW w:w="216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ADJUSTMENTS</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COMBINED</w:t>
            </w:r>
          </w:p>
        </w:tc>
      </w:tr>
      <w:tr>
        <w:trPr>
          <w:trHeight w:val="367"/>
        </w:trPr>
        <w:tc>
          <w:tcPr>
            <w:tcW w:w="442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4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46,124</w:t>
            </w:r>
          </w:p>
        </w:tc>
        <w:tc>
          <w:tcPr>
            <w:tcW w:w="21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21,331</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w:t>
            </w:r>
          </w:p>
        </w:tc>
        <w:tc>
          <w:tcPr>
            <w:tcW w:w="1020" w:type="dxa"/>
            <w:vAlign w:val="bottom"/>
          </w:tcPr>
          <w:p>
            <w:pPr>
              <w:spacing w:after="0"/>
              <w:rPr>
                <w:sz w:val="24"/>
                <w:szCs w:val="24"/>
                <w:color w:val="auto"/>
              </w:rPr>
            </w:pPr>
          </w:p>
        </w:tc>
        <w:tc>
          <w:tcPr>
            <w:tcW w:w="12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67,455</w:t>
            </w:r>
          </w:p>
        </w:tc>
      </w:tr>
      <w:tr>
        <w:trPr>
          <w:trHeight w:val="183"/>
        </w:trPr>
        <w:tc>
          <w:tcPr>
            <w:tcW w:w="4420" w:type="dxa"/>
            <w:vAlign w:val="bottom"/>
          </w:tcPr>
          <w:p>
            <w:pPr>
              <w:spacing w:after="0"/>
              <w:rPr>
                <w:sz w:val="20"/>
                <w:szCs w:val="20"/>
                <w:color w:val="auto"/>
              </w:rPr>
            </w:pPr>
            <w:r>
              <w:rPr>
                <w:rFonts w:ascii="Courier New" w:cs="Courier New" w:eastAsia="Courier New" w:hAnsi="Courier New"/>
                <w:sz w:val="16"/>
                <w:szCs w:val="16"/>
                <w:color w:val="auto"/>
              </w:rPr>
              <w:t>Cost of Sales</w:t>
            </w:r>
          </w:p>
        </w:tc>
        <w:tc>
          <w:tcPr>
            <w:tcW w:w="14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22,946</w:t>
            </w:r>
          </w:p>
        </w:tc>
        <w:tc>
          <w:tcPr>
            <w:tcW w:w="21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20,165</w:t>
            </w:r>
          </w:p>
        </w:tc>
        <w:tc>
          <w:tcPr>
            <w:tcW w:w="2160" w:type="dxa"/>
            <w:vAlign w:val="bottom"/>
            <w:gridSpan w:val="2"/>
          </w:tcPr>
          <w:p>
            <w:pPr>
              <w:jc w:val="right"/>
              <w:ind w:right="741"/>
              <w:spacing w:after="0"/>
              <w:rPr>
                <w:sz w:val="20"/>
                <w:szCs w:val="20"/>
                <w:color w:val="auto"/>
              </w:rPr>
            </w:pPr>
            <w:r>
              <w:rPr>
                <w:rFonts w:ascii="Courier New" w:cs="Courier New" w:eastAsia="Courier New" w:hAnsi="Courier New"/>
                <w:sz w:val="16"/>
                <w:szCs w:val="16"/>
                <w:color w:val="auto"/>
              </w:rPr>
              <w:t>856 (1)</w:t>
            </w:r>
          </w:p>
        </w:tc>
        <w:tc>
          <w:tcPr>
            <w:tcW w:w="12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43,967</w:t>
            </w:r>
          </w:p>
        </w:tc>
      </w:tr>
      <w:tr>
        <w:trPr>
          <w:trHeight w:val="367"/>
        </w:trPr>
        <w:tc>
          <w:tcPr>
            <w:tcW w:w="4420" w:type="dxa"/>
            <w:vAlign w:val="bottom"/>
          </w:tcPr>
          <w:p>
            <w:pPr>
              <w:spacing w:after="0"/>
              <w:rPr>
                <w:sz w:val="20"/>
                <w:szCs w:val="20"/>
                <w:color w:val="auto"/>
              </w:rPr>
            </w:pPr>
            <w:r>
              <w:rPr>
                <w:rFonts w:ascii="Courier New" w:cs="Courier New" w:eastAsia="Courier New" w:hAnsi="Courier New"/>
                <w:sz w:val="16"/>
                <w:szCs w:val="16"/>
                <w:color w:val="auto"/>
              </w:rPr>
              <w:t>Gross Profit</w:t>
            </w:r>
          </w:p>
        </w:tc>
        <w:tc>
          <w:tcPr>
            <w:tcW w:w="14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23,178</w:t>
            </w:r>
          </w:p>
        </w:tc>
        <w:tc>
          <w:tcPr>
            <w:tcW w:w="21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1,166</w:t>
            </w:r>
          </w:p>
        </w:tc>
        <w:tc>
          <w:tcPr>
            <w:tcW w:w="1140" w:type="dxa"/>
            <w:vAlign w:val="bottom"/>
          </w:tcPr>
          <w:p>
            <w:pPr>
              <w:jc w:val="right"/>
              <w:ind w:right="1"/>
              <w:spacing w:after="0"/>
              <w:rPr>
                <w:sz w:val="20"/>
                <w:szCs w:val="20"/>
                <w:color w:val="auto"/>
              </w:rPr>
            </w:pPr>
            <w:r>
              <w:rPr>
                <w:rFonts w:ascii="Courier New" w:cs="Courier New" w:eastAsia="Courier New" w:hAnsi="Courier New"/>
                <w:sz w:val="16"/>
                <w:szCs w:val="16"/>
                <w:color w:val="auto"/>
              </w:rPr>
              <w:t>(856)</w:t>
            </w:r>
          </w:p>
        </w:tc>
        <w:tc>
          <w:tcPr>
            <w:tcW w:w="1020" w:type="dxa"/>
            <w:vAlign w:val="bottom"/>
          </w:tcPr>
          <w:p>
            <w:pPr>
              <w:spacing w:after="0"/>
              <w:rPr>
                <w:sz w:val="24"/>
                <w:szCs w:val="24"/>
                <w:color w:val="auto"/>
              </w:rPr>
            </w:pPr>
          </w:p>
        </w:tc>
        <w:tc>
          <w:tcPr>
            <w:tcW w:w="12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23,488</w:t>
            </w:r>
          </w:p>
        </w:tc>
      </w:tr>
      <w:tr>
        <w:trPr>
          <w:trHeight w:val="367"/>
        </w:trPr>
        <w:tc>
          <w:tcPr>
            <w:tcW w:w="442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14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11,375</w:t>
            </w:r>
          </w:p>
        </w:tc>
        <w:tc>
          <w:tcPr>
            <w:tcW w:w="21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0</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w:t>
            </w:r>
          </w:p>
        </w:tc>
        <w:tc>
          <w:tcPr>
            <w:tcW w:w="1020" w:type="dxa"/>
            <w:vAlign w:val="bottom"/>
          </w:tcPr>
          <w:p>
            <w:pPr>
              <w:spacing w:after="0"/>
              <w:rPr>
                <w:sz w:val="24"/>
                <w:szCs w:val="24"/>
                <w:color w:val="auto"/>
              </w:rPr>
            </w:pPr>
          </w:p>
        </w:tc>
        <w:tc>
          <w:tcPr>
            <w:tcW w:w="12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11,375</w:t>
            </w:r>
          </w:p>
        </w:tc>
      </w:tr>
      <w:tr>
        <w:trPr>
          <w:trHeight w:val="183"/>
        </w:trPr>
        <w:tc>
          <w:tcPr>
            <w:tcW w:w="442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14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11,803</w:t>
            </w:r>
          </w:p>
        </w:tc>
        <w:tc>
          <w:tcPr>
            <w:tcW w:w="21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1,166</w:t>
            </w:r>
          </w:p>
        </w:tc>
        <w:tc>
          <w:tcPr>
            <w:tcW w:w="1140" w:type="dxa"/>
            <w:vAlign w:val="bottom"/>
          </w:tcPr>
          <w:p>
            <w:pPr>
              <w:jc w:val="right"/>
              <w:ind w:right="1"/>
              <w:spacing w:after="0"/>
              <w:rPr>
                <w:sz w:val="20"/>
                <w:szCs w:val="20"/>
                <w:color w:val="auto"/>
              </w:rPr>
            </w:pPr>
            <w:r>
              <w:rPr>
                <w:rFonts w:ascii="Courier New" w:cs="Courier New" w:eastAsia="Courier New" w:hAnsi="Courier New"/>
                <w:sz w:val="16"/>
                <w:szCs w:val="16"/>
                <w:color w:val="auto"/>
              </w:rPr>
              <w:t>(856)</w:t>
            </w:r>
          </w:p>
        </w:tc>
        <w:tc>
          <w:tcPr>
            <w:tcW w:w="1020" w:type="dxa"/>
            <w:vAlign w:val="bottom"/>
          </w:tcPr>
          <w:p>
            <w:pPr>
              <w:spacing w:after="0"/>
              <w:rPr>
                <w:sz w:val="15"/>
                <w:szCs w:val="15"/>
                <w:color w:val="auto"/>
              </w:rPr>
            </w:pPr>
          </w:p>
        </w:tc>
        <w:tc>
          <w:tcPr>
            <w:tcW w:w="12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12,113</w:t>
            </w:r>
          </w:p>
        </w:tc>
      </w:tr>
      <w:tr>
        <w:trPr>
          <w:trHeight w:val="367"/>
        </w:trPr>
        <w:tc>
          <w:tcPr>
            <w:tcW w:w="4420" w:type="dxa"/>
            <w:vAlign w:val="bottom"/>
          </w:tcPr>
          <w:p>
            <w:pPr>
              <w:spacing w:after="0"/>
              <w:rPr>
                <w:sz w:val="20"/>
                <w:szCs w:val="20"/>
                <w:color w:val="auto"/>
              </w:rPr>
            </w:pPr>
            <w:r>
              <w:rPr>
                <w:rFonts w:ascii="Courier New" w:cs="Courier New" w:eastAsia="Courier New" w:hAnsi="Courier New"/>
                <w:sz w:val="16"/>
                <w:szCs w:val="16"/>
                <w:color w:val="auto"/>
              </w:rPr>
              <w:t>Other income</w:t>
            </w:r>
          </w:p>
        </w:tc>
        <w:tc>
          <w:tcPr>
            <w:tcW w:w="14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839</w:t>
            </w:r>
          </w:p>
        </w:tc>
        <w:tc>
          <w:tcPr>
            <w:tcW w:w="21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0</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w:t>
            </w:r>
          </w:p>
        </w:tc>
        <w:tc>
          <w:tcPr>
            <w:tcW w:w="1020" w:type="dxa"/>
            <w:vAlign w:val="bottom"/>
          </w:tcPr>
          <w:p>
            <w:pPr>
              <w:spacing w:after="0"/>
              <w:rPr>
                <w:sz w:val="24"/>
                <w:szCs w:val="24"/>
                <w:color w:val="auto"/>
              </w:rPr>
            </w:pPr>
          </w:p>
        </w:tc>
        <w:tc>
          <w:tcPr>
            <w:tcW w:w="12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839</w:t>
            </w:r>
          </w:p>
        </w:tc>
      </w:tr>
      <w:tr>
        <w:trPr>
          <w:trHeight w:val="183"/>
        </w:trPr>
        <w:tc>
          <w:tcPr>
            <w:tcW w:w="4420" w:type="dxa"/>
            <w:vAlign w:val="bottom"/>
          </w:tcPr>
          <w:p>
            <w:pPr>
              <w:spacing w:after="0"/>
              <w:rPr>
                <w:sz w:val="20"/>
                <w:szCs w:val="20"/>
                <w:color w:val="auto"/>
              </w:rPr>
            </w:pPr>
            <w:r>
              <w:rPr>
                <w:rFonts w:ascii="Courier New" w:cs="Courier New" w:eastAsia="Courier New" w:hAnsi="Courier New"/>
                <w:sz w:val="16"/>
                <w:szCs w:val="16"/>
                <w:color w:val="auto"/>
              </w:rPr>
              <w:t>Income (loss) before taxes</w:t>
            </w:r>
          </w:p>
        </w:tc>
        <w:tc>
          <w:tcPr>
            <w:tcW w:w="14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12,642</w:t>
            </w:r>
          </w:p>
        </w:tc>
        <w:tc>
          <w:tcPr>
            <w:tcW w:w="21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1,166</w:t>
            </w:r>
          </w:p>
        </w:tc>
        <w:tc>
          <w:tcPr>
            <w:tcW w:w="1140" w:type="dxa"/>
            <w:vAlign w:val="bottom"/>
          </w:tcPr>
          <w:p>
            <w:pPr>
              <w:jc w:val="right"/>
              <w:ind w:right="1"/>
              <w:spacing w:after="0"/>
              <w:rPr>
                <w:sz w:val="20"/>
                <w:szCs w:val="20"/>
                <w:color w:val="auto"/>
              </w:rPr>
            </w:pPr>
            <w:r>
              <w:rPr>
                <w:rFonts w:ascii="Courier New" w:cs="Courier New" w:eastAsia="Courier New" w:hAnsi="Courier New"/>
                <w:sz w:val="16"/>
                <w:szCs w:val="16"/>
                <w:color w:val="auto"/>
              </w:rPr>
              <w:t>(856)</w:t>
            </w:r>
          </w:p>
        </w:tc>
        <w:tc>
          <w:tcPr>
            <w:tcW w:w="1020" w:type="dxa"/>
            <w:vAlign w:val="bottom"/>
          </w:tcPr>
          <w:p>
            <w:pPr>
              <w:spacing w:after="0"/>
              <w:rPr>
                <w:sz w:val="15"/>
                <w:szCs w:val="15"/>
                <w:color w:val="auto"/>
              </w:rPr>
            </w:pPr>
          </w:p>
        </w:tc>
        <w:tc>
          <w:tcPr>
            <w:tcW w:w="12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12,952</w:t>
            </w:r>
          </w:p>
        </w:tc>
      </w:tr>
      <w:tr>
        <w:trPr>
          <w:trHeight w:val="367"/>
        </w:trPr>
        <w:tc>
          <w:tcPr>
            <w:tcW w:w="4420" w:type="dxa"/>
            <w:vAlign w:val="bottom"/>
          </w:tcPr>
          <w:p>
            <w:pPr>
              <w:spacing w:after="0"/>
              <w:rPr>
                <w:sz w:val="20"/>
                <w:szCs w:val="20"/>
                <w:color w:val="auto"/>
              </w:rPr>
            </w:pPr>
            <w:r>
              <w:rPr>
                <w:rFonts w:ascii="Courier New" w:cs="Courier New" w:eastAsia="Courier New" w:hAnsi="Courier New"/>
                <w:sz w:val="16"/>
                <w:szCs w:val="16"/>
                <w:color w:val="auto"/>
              </w:rPr>
              <w:t>Provision for taxes</w:t>
            </w:r>
          </w:p>
        </w:tc>
        <w:tc>
          <w:tcPr>
            <w:tcW w:w="14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4,664</w:t>
            </w:r>
          </w:p>
        </w:tc>
        <w:tc>
          <w:tcPr>
            <w:tcW w:w="21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431</w:t>
            </w:r>
          </w:p>
        </w:tc>
        <w:tc>
          <w:tcPr>
            <w:tcW w:w="1140" w:type="dxa"/>
            <w:vAlign w:val="bottom"/>
          </w:tcPr>
          <w:p>
            <w:pPr>
              <w:jc w:val="right"/>
              <w:ind w:right="1"/>
              <w:spacing w:after="0"/>
              <w:rPr>
                <w:sz w:val="20"/>
                <w:szCs w:val="20"/>
                <w:color w:val="auto"/>
              </w:rPr>
            </w:pPr>
            <w:r>
              <w:rPr>
                <w:rFonts w:ascii="Courier New" w:cs="Courier New" w:eastAsia="Courier New" w:hAnsi="Courier New"/>
                <w:sz w:val="16"/>
                <w:szCs w:val="16"/>
                <w:color w:val="auto"/>
              </w:rPr>
              <w:t>(316)</w:t>
            </w:r>
          </w:p>
        </w:tc>
        <w:tc>
          <w:tcPr>
            <w:tcW w:w="1020" w:type="dxa"/>
            <w:vAlign w:val="bottom"/>
          </w:tcPr>
          <w:p>
            <w:pPr>
              <w:jc w:val="right"/>
              <w:ind w:right="641"/>
              <w:spacing w:after="0"/>
              <w:rPr>
                <w:sz w:val="20"/>
                <w:szCs w:val="20"/>
                <w:color w:val="auto"/>
              </w:rPr>
            </w:pPr>
            <w:r>
              <w:rPr>
                <w:rFonts w:ascii="Courier New" w:cs="Courier New" w:eastAsia="Courier New" w:hAnsi="Courier New"/>
                <w:sz w:val="16"/>
                <w:szCs w:val="16"/>
                <w:color w:val="auto"/>
                <w:w w:val="97"/>
              </w:rPr>
              <w:t>(2)</w:t>
            </w:r>
          </w:p>
        </w:tc>
        <w:tc>
          <w:tcPr>
            <w:tcW w:w="12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4,779</w:t>
            </w:r>
          </w:p>
        </w:tc>
      </w:tr>
      <w:tr>
        <w:trPr>
          <w:trHeight w:val="367"/>
        </w:trPr>
        <w:tc>
          <w:tcPr>
            <w:tcW w:w="442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14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7,978</w:t>
            </w:r>
          </w:p>
        </w:tc>
        <w:tc>
          <w:tcPr>
            <w:tcW w:w="21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735</w:t>
            </w:r>
          </w:p>
        </w:tc>
        <w:tc>
          <w:tcPr>
            <w:tcW w:w="1140" w:type="dxa"/>
            <w:vAlign w:val="bottom"/>
          </w:tcPr>
          <w:p>
            <w:pPr>
              <w:jc w:val="right"/>
              <w:ind w:right="1"/>
              <w:spacing w:after="0"/>
              <w:rPr>
                <w:sz w:val="20"/>
                <w:szCs w:val="20"/>
                <w:color w:val="auto"/>
              </w:rPr>
            </w:pPr>
            <w:r>
              <w:rPr>
                <w:rFonts w:ascii="Courier New" w:cs="Courier New" w:eastAsia="Courier New" w:hAnsi="Courier New"/>
                <w:sz w:val="16"/>
                <w:szCs w:val="16"/>
                <w:color w:val="auto"/>
              </w:rPr>
              <w:t>(540)</w:t>
            </w:r>
          </w:p>
        </w:tc>
        <w:tc>
          <w:tcPr>
            <w:tcW w:w="1020" w:type="dxa"/>
            <w:vAlign w:val="bottom"/>
          </w:tcPr>
          <w:p>
            <w:pPr>
              <w:spacing w:after="0"/>
              <w:rPr>
                <w:sz w:val="24"/>
                <w:szCs w:val="24"/>
                <w:color w:val="auto"/>
              </w:rPr>
            </w:pPr>
          </w:p>
        </w:tc>
        <w:tc>
          <w:tcPr>
            <w:tcW w:w="12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8,173</w:t>
            </w:r>
          </w:p>
        </w:tc>
      </w:tr>
      <w:tr>
        <w:trPr>
          <w:trHeight w:val="183"/>
        </w:trPr>
        <w:tc>
          <w:tcPr>
            <w:tcW w:w="4420" w:type="dxa"/>
            <w:vAlign w:val="bottom"/>
          </w:tcPr>
          <w:p>
            <w:pPr>
              <w:spacing w:after="0"/>
              <w:rPr>
                <w:sz w:val="20"/>
                <w:szCs w:val="20"/>
                <w:color w:val="auto"/>
              </w:rPr>
            </w:pPr>
            <w:r>
              <w:rPr>
                <w:rFonts w:ascii="Courier New" w:cs="Courier New" w:eastAsia="Courier New" w:hAnsi="Courier New"/>
                <w:sz w:val="16"/>
                <w:szCs w:val="16"/>
                <w:color w:val="auto"/>
              </w:rPr>
              <w:t>Net income per share</w:t>
            </w:r>
          </w:p>
        </w:tc>
        <w:tc>
          <w:tcPr>
            <w:tcW w:w="14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0.66</w:t>
            </w:r>
          </w:p>
        </w:tc>
        <w:tc>
          <w:tcPr>
            <w:tcW w:w="21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0.06</w:t>
            </w:r>
          </w:p>
        </w:tc>
        <w:tc>
          <w:tcPr>
            <w:tcW w:w="1140" w:type="dxa"/>
            <w:vAlign w:val="bottom"/>
          </w:tcPr>
          <w:p>
            <w:pPr>
              <w:ind w:left="580"/>
              <w:spacing w:after="0"/>
              <w:rPr>
                <w:sz w:val="20"/>
                <w:szCs w:val="20"/>
                <w:color w:val="auto"/>
              </w:rPr>
            </w:pPr>
            <w:r>
              <w:rPr>
                <w:rFonts w:ascii="Courier New" w:cs="Courier New" w:eastAsia="Courier New" w:hAnsi="Courier New"/>
                <w:sz w:val="16"/>
                <w:szCs w:val="16"/>
                <w:color w:val="auto"/>
                <w:w w:val="93"/>
              </w:rPr>
              <w:t>(0.04)</w:t>
            </w:r>
          </w:p>
        </w:tc>
        <w:tc>
          <w:tcPr>
            <w:tcW w:w="1020" w:type="dxa"/>
            <w:vAlign w:val="bottom"/>
          </w:tcPr>
          <w:p>
            <w:pPr>
              <w:spacing w:after="0"/>
              <w:rPr>
                <w:sz w:val="15"/>
                <w:szCs w:val="15"/>
                <w:color w:val="auto"/>
              </w:rPr>
            </w:pPr>
          </w:p>
        </w:tc>
        <w:tc>
          <w:tcPr>
            <w:tcW w:w="12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0.68</w:t>
            </w:r>
          </w:p>
        </w:tc>
      </w:tr>
      <w:tr>
        <w:trPr>
          <w:trHeight w:val="367"/>
        </w:trPr>
        <w:tc>
          <w:tcPr>
            <w:tcW w:w="4420" w:type="dxa"/>
            <w:vAlign w:val="bottom"/>
          </w:tcPr>
          <w:p>
            <w:pPr>
              <w:spacing w:after="0"/>
              <w:rPr>
                <w:sz w:val="20"/>
                <w:szCs w:val="20"/>
                <w:color w:val="auto"/>
              </w:rPr>
            </w:pPr>
            <w:r>
              <w:rPr>
                <w:rFonts w:ascii="Courier New" w:cs="Courier New" w:eastAsia="Courier New" w:hAnsi="Courier New"/>
                <w:sz w:val="16"/>
                <w:szCs w:val="16"/>
                <w:color w:val="auto"/>
              </w:rPr>
              <w:t>Weighted average shares outstanding</w:t>
            </w:r>
          </w:p>
        </w:tc>
        <w:tc>
          <w:tcPr>
            <w:tcW w:w="14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83"/>
        </w:trPr>
        <w:tc>
          <w:tcPr>
            <w:tcW w:w="4420" w:type="dxa"/>
            <w:vAlign w:val="bottom"/>
          </w:tcPr>
          <w:p>
            <w:pPr>
              <w:spacing w:after="0"/>
              <w:rPr>
                <w:sz w:val="15"/>
                <w:szCs w:val="15"/>
                <w:color w:val="auto"/>
              </w:rPr>
            </w:pPr>
          </w:p>
        </w:tc>
        <w:tc>
          <w:tcPr>
            <w:tcW w:w="14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12,049</w:t>
            </w:r>
          </w:p>
        </w:tc>
        <w:tc>
          <w:tcPr>
            <w:tcW w:w="21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12,049</w:t>
            </w:r>
          </w:p>
        </w:tc>
        <w:tc>
          <w:tcPr>
            <w:tcW w:w="1140" w:type="dxa"/>
            <w:vAlign w:val="bottom"/>
          </w:tcPr>
          <w:p>
            <w:pPr>
              <w:ind w:left="580"/>
              <w:spacing w:after="0"/>
              <w:rPr>
                <w:sz w:val="20"/>
                <w:szCs w:val="20"/>
                <w:color w:val="auto"/>
              </w:rPr>
            </w:pPr>
            <w:r>
              <w:rPr>
                <w:rFonts w:ascii="Courier New" w:cs="Courier New" w:eastAsia="Courier New" w:hAnsi="Courier New"/>
                <w:sz w:val="16"/>
                <w:szCs w:val="16"/>
                <w:color w:val="auto"/>
                <w:w w:val="93"/>
              </w:rPr>
              <w:t>12,049</w:t>
            </w:r>
          </w:p>
        </w:tc>
        <w:tc>
          <w:tcPr>
            <w:tcW w:w="1020" w:type="dxa"/>
            <w:vAlign w:val="bottom"/>
          </w:tcPr>
          <w:p>
            <w:pPr>
              <w:spacing w:after="0"/>
              <w:rPr>
                <w:sz w:val="15"/>
                <w:szCs w:val="15"/>
                <w:color w:val="auto"/>
              </w:rPr>
            </w:pPr>
          </w:p>
        </w:tc>
        <w:tc>
          <w:tcPr>
            <w:tcW w:w="12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12,049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4760"/>
        <w:spacing w:after="0" w:line="271" w:lineRule="auto"/>
        <w:rPr>
          <w:sz w:val="20"/>
          <w:szCs w:val="20"/>
          <w:color w:val="auto"/>
        </w:rPr>
      </w:pPr>
      <w:r>
        <w:rPr>
          <w:rFonts w:ascii="Courier New" w:cs="Courier New" w:eastAsia="Courier New" w:hAnsi="Courier New"/>
          <w:sz w:val="15"/>
          <w:szCs w:val="15"/>
          <w:color w:val="auto"/>
        </w:rPr>
        <w:t>NOTE: These financial statements should be read in conjunction with the Company's Annual Report on Form 10-K for the Year Ended June 30, 1995.</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900"/>
        <w:spacing w:after="0"/>
        <w:rPr>
          <w:sz w:val="20"/>
          <w:szCs w:val="20"/>
          <w:color w:val="auto"/>
        </w:rPr>
      </w:pPr>
      <w:r>
        <w:rPr>
          <w:rFonts w:ascii="Courier New" w:cs="Courier New" w:eastAsia="Courier New" w:hAnsi="Courier New"/>
          <w:sz w:val="16"/>
          <w:szCs w:val="16"/>
          <w:color w:val="auto"/>
        </w:rPr>
        <w:t>PROFORMA CONSOLIDATING</w:t>
      </w:r>
    </w:p>
    <w:p>
      <w:pPr>
        <w:spacing w:after="0" w:line="2" w:lineRule="exact"/>
        <w:rPr>
          <w:sz w:val="20"/>
          <w:szCs w:val="20"/>
          <w:color w:val="auto"/>
        </w:rPr>
      </w:pPr>
    </w:p>
    <w:p>
      <w:pPr>
        <w:jc w:val="center"/>
        <w:ind w:right="3900"/>
        <w:spacing w:after="0"/>
        <w:rPr>
          <w:sz w:val="20"/>
          <w:szCs w:val="20"/>
          <w:color w:val="auto"/>
        </w:rPr>
      </w:pPr>
      <w:r>
        <w:rPr>
          <w:rFonts w:ascii="Courier New" w:cs="Courier New" w:eastAsia="Courier New" w:hAnsi="Courier New"/>
          <w:sz w:val="16"/>
          <w:szCs w:val="16"/>
          <w:color w:val="auto"/>
        </w:rPr>
        <w:t>AT JUNE 30, 1995</w:t>
      </w:r>
    </w:p>
    <w:p>
      <w:pPr>
        <w:spacing w:after="0" w:line="2" w:lineRule="exact"/>
        <w:rPr>
          <w:sz w:val="20"/>
          <w:szCs w:val="20"/>
          <w:color w:val="auto"/>
        </w:rPr>
      </w:pPr>
    </w:p>
    <w:p>
      <w:pPr>
        <w:jc w:val="center"/>
        <w:ind w:right="3900"/>
        <w:spacing w:after="0"/>
        <w:rPr>
          <w:sz w:val="20"/>
          <w:szCs w:val="20"/>
          <w:color w:val="auto"/>
        </w:rPr>
      </w:pPr>
      <w:r>
        <w:rPr>
          <w:rFonts w:ascii="Courier New" w:cs="Courier New" w:eastAsia="Courier New" w:hAnsi="Courier New"/>
          <w:sz w:val="16"/>
          <w:szCs w:val="16"/>
          <w:color w:val="auto"/>
        </w:rPr>
        <w:t>(IN THOUSANDS)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920" w:type="dxa"/>
            <w:vAlign w:val="bottom"/>
          </w:tcPr>
          <w:p>
            <w:pPr>
              <w:ind w:left="2440"/>
              <w:spacing w:after="0"/>
              <w:rPr>
                <w:sz w:val="20"/>
                <w:szCs w:val="20"/>
                <w:color w:val="auto"/>
              </w:rPr>
            </w:pPr>
            <w:r>
              <w:rPr>
                <w:rFonts w:ascii="Courier New" w:cs="Courier New" w:eastAsia="Courier New" w:hAnsi="Courier New"/>
                <w:sz w:val="16"/>
                <w:szCs w:val="16"/>
                <w:color w:val="auto"/>
                <w:w w:val="95"/>
              </w:rPr>
              <w:t>Debit</w:t>
            </w:r>
          </w:p>
        </w:tc>
        <w:tc>
          <w:tcPr>
            <w:tcW w:w="352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Credit</w:t>
            </w:r>
          </w:p>
        </w:tc>
      </w:tr>
      <w:tr>
        <w:trPr>
          <w:trHeight w:val="550"/>
        </w:trPr>
        <w:tc>
          <w:tcPr>
            <w:tcW w:w="340" w:type="dxa"/>
            <w:vAlign w:val="bottom"/>
          </w:tcPr>
          <w:p>
            <w:pPr>
              <w:jc w:val="right"/>
              <w:ind w:right="81"/>
              <w:spacing w:after="0"/>
              <w:rPr>
                <w:sz w:val="20"/>
                <w:szCs w:val="20"/>
                <w:color w:val="auto"/>
              </w:rPr>
            </w:pPr>
            <w:r>
              <w:rPr>
                <w:rFonts w:ascii="Courier New" w:cs="Courier New" w:eastAsia="Courier New" w:hAnsi="Courier New"/>
                <w:sz w:val="16"/>
                <w:szCs w:val="16"/>
                <w:color w:val="auto"/>
                <w:w w:val="83"/>
              </w:rPr>
              <w:t>1)</w:t>
            </w:r>
          </w:p>
        </w:tc>
        <w:tc>
          <w:tcPr>
            <w:tcW w:w="560" w:type="dxa"/>
            <w:vAlign w:val="bottom"/>
          </w:tcPr>
          <w:p>
            <w:pPr>
              <w:ind w:left="140"/>
              <w:spacing w:after="0"/>
              <w:rPr>
                <w:sz w:val="20"/>
                <w:szCs w:val="20"/>
                <w:color w:val="auto"/>
              </w:rPr>
            </w:pPr>
            <w:r>
              <w:rPr>
                <w:rFonts w:ascii="Courier New" w:cs="Courier New" w:eastAsia="Courier New" w:hAnsi="Courier New"/>
                <w:sz w:val="16"/>
                <w:szCs w:val="16"/>
                <w:color w:val="auto"/>
              </w:rPr>
              <w:t>Cost</w:t>
            </w:r>
          </w:p>
        </w:tc>
        <w:tc>
          <w:tcPr>
            <w:tcW w:w="2920" w:type="dxa"/>
            <w:vAlign w:val="bottom"/>
          </w:tcPr>
          <w:p>
            <w:pPr>
              <w:ind w:left="60"/>
              <w:spacing w:after="0"/>
              <w:rPr>
                <w:sz w:val="20"/>
                <w:szCs w:val="20"/>
                <w:color w:val="auto"/>
              </w:rPr>
            </w:pPr>
            <w:r>
              <w:rPr>
                <w:rFonts w:ascii="Courier New" w:cs="Courier New" w:eastAsia="Courier New" w:hAnsi="Courier New"/>
                <w:sz w:val="16"/>
                <w:szCs w:val="16"/>
                <w:color w:val="auto"/>
              </w:rPr>
              <w:t>of sales expenses</w:t>
            </w:r>
          </w:p>
        </w:tc>
        <w:tc>
          <w:tcPr>
            <w:tcW w:w="3520" w:type="dxa"/>
            <w:vAlign w:val="bottom"/>
          </w:tcPr>
          <w:p>
            <w:pPr>
              <w:jc w:val="right"/>
              <w:ind w:right="3161"/>
              <w:spacing w:after="0"/>
              <w:rPr>
                <w:sz w:val="20"/>
                <w:szCs w:val="20"/>
                <w:color w:val="auto"/>
              </w:rPr>
            </w:pPr>
            <w:r>
              <w:rPr>
                <w:rFonts w:ascii="Courier New" w:cs="Courier New" w:eastAsia="Courier New" w:hAnsi="Courier New"/>
                <w:sz w:val="16"/>
                <w:szCs w:val="16"/>
                <w:color w:val="auto"/>
                <w:w w:val="90"/>
              </w:rPr>
              <w:t>856</w:t>
            </w:r>
          </w:p>
        </w:tc>
      </w:tr>
      <w:tr>
        <w:trPr>
          <w:trHeight w:val="183"/>
        </w:trPr>
        <w:tc>
          <w:tcPr>
            <w:tcW w:w="340" w:type="dxa"/>
            <w:vAlign w:val="bottom"/>
          </w:tcPr>
          <w:p>
            <w:pPr>
              <w:spacing w:after="0"/>
              <w:rPr>
                <w:sz w:val="15"/>
                <w:szCs w:val="15"/>
                <w:color w:val="auto"/>
              </w:rPr>
            </w:pPr>
          </w:p>
        </w:tc>
        <w:tc>
          <w:tcPr>
            <w:tcW w:w="34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Other assets</w:t>
            </w:r>
          </w:p>
        </w:tc>
        <w:tc>
          <w:tcPr>
            <w:tcW w:w="3520" w:type="dxa"/>
            <w:vAlign w:val="bottom"/>
          </w:tcPr>
          <w:p>
            <w:pPr>
              <w:jc w:val="right"/>
              <w:ind w:right="1741"/>
              <w:spacing w:after="0"/>
              <w:rPr>
                <w:sz w:val="20"/>
                <w:szCs w:val="20"/>
                <w:color w:val="auto"/>
              </w:rPr>
            </w:pPr>
            <w:r>
              <w:rPr>
                <w:rFonts w:ascii="Courier New" w:cs="Courier New" w:eastAsia="Courier New" w:hAnsi="Courier New"/>
                <w:sz w:val="16"/>
                <w:szCs w:val="16"/>
                <w:color w:val="auto"/>
              </w:rPr>
              <w:t>856</w:t>
            </w:r>
          </w:p>
        </w:tc>
      </w:tr>
      <w:tr>
        <w:trPr>
          <w:trHeight w:val="183"/>
        </w:trPr>
        <w:tc>
          <w:tcPr>
            <w:tcW w:w="340" w:type="dxa"/>
            <w:vAlign w:val="bottom"/>
          </w:tcPr>
          <w:p>
            <w:pPr>
              <w:spacing w:after="0"/>
              <w:rPr>
                <w:sz w:val="15"/>
                <w:szCs w:val="15"/>
                <w:color w:val="auto"/>
              </w:rPr>
            </w:pPr>
          </w:p>
        </w:tc>
        <w:tc>
          <w:tcPr>
            <w:tcW w:w="560" w:type="dxa"/>
            <w:vAlign w:val="bottom"/>
          </w:tcPr>
          <w:p>
            <w:pPr>
              <w:ind w:left="320"/>
              <w:spacing w:after="0"/>
              <w:rPr>
                <w:sz w:val="20"/>
                <w:szCs w:val="20"/>
                <w:color w:val="auto"/>
              </w:rPr>
            </w:pPr>
            <w:r>
              <w:rPr>
                <w:rFonts w:ascii="Courier New" w:cs="Courier New" w:eastAsia="Courier New" w:hAnsi="Courier New"/>
                <w:sz w:val="16"/>
                <w:szCs w:val="16"/>
                <w:color w:val="auto"/>
              </w:rPr>
              <w:t>To</w:t>
            </w:r>
          </w:p>
        </w:tc>
        <w:tc>
          <w:tcPr>
            <w:tcW w:w="64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record the goodwill and customer contract amortization for one</w:t>
            </w:r>
          </w:p>
        </w:tc>
      </w:tr>
      <w:tr>
        <w:trPr>
          <w:trHeight w:val="183"/>
        </w:trPr>
        <w:tc>
          <w:tcPr>
            <w:tcW w:w="340" w:type="dxa"/>
            <w:vAlign w:val="bottom"/>
          </w:tcPr>
          <w:p>
            <w:pPr>
              <w:spacing w:after="0"/>
              <w:rPr>
                <w:sz w:val="15"/>
                <w:szCs w:val="15"/>
                <w:color w:val="auto"/>
              </w:rPr>
            </w:pPr>
          </w:p>
        </w:tc>
        <w:tc>
          <w:tcPr>
            <w:tcW w:w="7000" w:type="dxa"/>
            <w:vAlign w:val="bottom"/>
            <w:gridSpan w:val="3"/>
          </w:tcPr>
          <w:p>
            <w:pPr>
              <w:ind w:left="320"/>
              <w:spacing w:after="0"/>
              <w:rPr>
                <w:sz w:val="20"/>
                <w:szCs w:val="20"/>
                <w:color w:val="auto"/>
              </w:rPr>
            </w:pPr>
            <w:r>
              <w:rPr>
                <w:rFonts w:ascii="Courier New" w:cs="Courier New" w:eastAsia="Courier New" w:hAnsi="Courier New"/>
                <w:sz w:val="16"/>
                <w:szCs w:val="16"/>
                <w:color w:val="auto"/>
              </w:rPr>
              <w:t>year from the assumed purchase date of July 1, 1994.</w:t>
            </w:r>
          </w:p>
        </w:tc>
      </w:tr>
      <w:tr>
        <w:trPr>
          <w:trHeight w:val="367"/>
        </w:trPr>
        <w:tc>
          <w:tcPr>
            <w:tcW w:w="340" w:type="dxa"/>
            <w:vAlign w:val="bottom"/>
          </w:tcPr>
          <w:p>
            <w:pPr>
              <w:jc w:val="right"/>
              <w:ind w:right="81"/>
              <w:spacing w:after="0"/>
              <w:rPr>
                <w:sz w:val="20"/>
                <w:szCs w:val="20"/>
                <w:color w:val="auto"/>
              </w:rPr>
            </w:pPr>
            <w:r>
              <w:rPr>
                <w:rFonts w:ascii="Courier New" w:cs="Courier New" w:eastAsia="Courier New" w:hAnsi="Courier New"/>
                <w:sz w:val="16"/>
                <w:szCs w:val="16"/>
                <w:color w:val="auto"/>
                <w:w w:val="83"/>
              </w:rPr>
              <w:t>2)</w:t>
            </w:r>
          </w:p>
        </w:tc>
        <w:tc>
          <w:tcPr>
            <w:tcW w:w="34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Accrued income taxes payable</w:t>
            </w:r>
          </w:p>
        </w:tc>
        <w:tc>
          <w:tcPr>
            <w:tcW w:w="3520" w:type="dxa"/>
            <w:vAlign w:val="bottom"/>
          </w:tcPr>
          <w:p>
            <w:pPr>
              <w:jc w:val="right"/>
              <w:ind w:right="3161"/>
              <w:spacing w:after="0"/>
              <w:rPr>
                <w:sz w:val="20"/>
                <w:szCs w:val="20"/>
                <w:color w:val="auto"/>
              </w:rPr>
            </w:pPr>
            <w:r>
              <w:rPr>
                <w:rFonts w:ascii="Courier New" w:cs="Courier New" w:eastAsia="Courier New" w:hAnsi="Courier New"/>
                <w:sz w:val="16"/>
                <w:szCs w:val="16"/>
                <w:color w:val="auto"/>
                <w:w w:val="90"/>
              </w:rPr>
              <w:t>316</w:t>
            </w:r>
          </w:p>
        </w:tc>
      </w:tr>
      <w:tr>
        <w:trPr>
          <w:trHeight w:val="183"/>
        </w:trPr>
        <w:tc>
          <w:tcPr>
            <w:tcW w:w="340" w:type="dxa"/>
            <w:vAlign w:val="bottom"/>
          </w:tcPr>
          <w:p>
            <w:pPr>
              <w:spacing w:after="0"/>
              <w:rPr>
                <w:sz w:val="15"/>
                <w:szCs w:val="15"/>
                <w:color w:val="auto"/>
              </w:rPr>
            </w:pPr>
          </w:p>
        </w:tc>
        <w:tc>
          <w:tcPr>
            <w:tcW w:w="34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Provision for taxes</w:t>
            </w:r>
          </w:p>
        </w:tc>
        <w:tc>
          <w:tcPr>
            <w:tcW w:w="3520" w:type="dxa"/>
            <w:vAlign w:val="bottom"/>
          </w:tcPr>
          <w:p>
            <w:pPr>
              <w:jc w:val="right"/>
              <w:ind w:right="1741"/>
              <w:spacing w:after="0"/>
              <w:rPr>
                <w:sz w:val="20"/>
                <w:szCs w:val="20"/>
                <w:color w:val="auto"/>
              </w:rPr>
            </w:pPr>
            <w:r>
              <w:rPr>
                <w:rFonts w:ascii="Courier New" w:cs="Courier New" w:eastAsia="Courier New" w:hAnsi="Courier New"/>
                <w:sz w:val="16"/>
                <w:szCs w:val="16"/>
                <w:color w:val="auto"/>
              </w:rPr>
              <w:t>316</w:t>
            </w:r>
          </w:p>
        </w:tc>
      </w:tr>
      <w:tr>
        <w:trPr>
          <w:trHeight w:val="183"/>
        </w:trPr>
        <w:tc>
          <w:tcPr>
            <w:tcW w:w="340" w:type="dxa"/>
            <w:vAlign w:val="bottom"/>
          </w:tcPr>
          <w:p>
            <w:pPr>
              <w:spacing w:after="0"/>
              <w:rPr>
                <w:sz w:val="15"/>
                <w:szCs w:val="15"/>
                <w:color w:val="auto"/>
              </w:rPr>
            </w:pPr>
          </w:p>
        </w:tc>
        <w:tc>
          <w:tcPr>
            <w:tcW w:w="560" w:type="dxa"/>
            <w:vAlign w:val="bottom"/>
          </w:tcPr>
          <w:p>
            <w:pPr>
              <w:ind w:left="320"/>
              <w:spacing w:after="0"/>
              <w:rPr>
                <w:sz w:val="20"/>
                <w:szCs w:val="20"/>
                <w:color w:val="auto"/>
              </w:rPr>
            </w:pPr>
            <w:r>
              <w:rPr>
                <w:rFonts w:ascii="Courier New" w:cs="Courier New" w:eastAsia="Courier New" w:hAnsi="Courier New"/>
                <w:sz w:val="16"/>
                <w:szCs w:val="16"/>
                <w:color w:val="auto"/>
              </w:rPr>
              <w:t>To</w:t>
            </w:r>
          </w:p>
        </w:tc>
        <w:tc>
          <w:tcPr>
            <w:tcW w:w="644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8"/>
              </w:rPr>
              <w:t>record estimated income tax benefit as a result of the amortization</w:t>
            </w:r>
          </w:p>
        </w:tc>
      </w:tr>
      <w:tr>
        <w:trPr>
          <w:trHeight w:val="183"/>
        </w:trPr>
        <w:tc>
          <w:tcPr>
            <w:tcW w:w="340" w:type="dxa"/>
            <w:vAlign w:val="bottom"/>
          </w:tcPr>
          <w:p>
            <w:pPr>
              <w:spacing w:after="0"/>
              <w:rPr>
                <w:sz w:val="15"/>
                <w:szCs w:val="15"/>
                <w:color w:val="auto"/>
              </w:rPr>
            </w:pPr>
          </w:p>
        </w:tc>
        <w:tc>
          <w:tcPr>
            <w:tcW w:w="560" w:type="dxa"/>
            <w:vAlign w:val="bottom"/>
          </w:tcPr>
          <w:p>
            <w:pPr>
              <w:ind w:left="320"/>
              <w:spacing w:after="0"/>
              <w:rPr>
                <w:sz w:val="20"/>
                <w:szCs w:val="20"/>
                <w:color w:val="auto"/>
              </w:rPr>
            </w:pPr>
            <w:r>
              <w:rPr>
                <w:rFonts w:ascii="Courier New" w:cs="Courier New" w:eastAsia="Courier New" w:hAnsi="Courier New"/>
                <w:sz w:val="16"/>
                <w:szCs w:val="16"/>
                <w:color w:val="auto"/>
              </w:rPr>
              <w:t>of</w:t>
            </w:r>
          </w:p>
        </w:tc>
        <w:tc>
          <w:tcPr>
            <w:tcW w:w="64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goodwill and customer contracts.</w:t>
            </w:r>
          </w:p>
        </w:tc>
      </w:tr>
    </w:tbl>
    <w:p>
      <w:pPr>
        <w:spacing w:after="0" w:line="1" w:lineRule="exact"/>
        <w:rPr>
          <w:sz w:val="20"/>
          <w:szCs w:val="20"/>
          <w:color w:val="auto"/>
        </w:rPr>
      </w:pPr>
    </w:p>
    <w:sectPr>
      <w:pgSz w:w="11900" w:h="16838" w:orient="portrait"/>
      <w:cols w:equalWidth="0" w:num="1">
        <w:col w:w="11520"/>
      </w:cols>
      <w:pgMar w:left="240" w:top="139"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2019-12-13T15:34:31Z</dcterms:created>
  <dcterms:modified xsi:type="dcterms:W3CDTF">2019-12-13T15:34:31Z</dcterms:modified>
</cp:coreProperties>
</file>