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JACK HENRY &amp; ASSOCIATES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426281101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426281101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APG Asset Management US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2,421,623.00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2,421,623.00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2,421,623.00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426281101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APG Asset Management, N.V.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2,421,623.00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2,421,623.00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2,421,623.00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3.3 %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426281101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APG Group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2,421,623.00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2,421,623.00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2,421,623.00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426281101</w:t>
      </w:r>
    </w:p>
    <w:p>
      <w:pPr>
        <w:sectPr>
          <w:pgSz w:w="11900" w:h="16838" w:orient="portrait"/>
          <w:cols w:equalWidth="0" w:num="1">
            <w:col w:w="10139"/>
          </w:cols>
          <w:pgMar w:left="32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Stichting Pensioenfonds ABP</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355"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2,421,623.00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2,421,623.00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2,421,623.00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EP</w:t>
      </w:r>
    </w:p>
    <w:p>
      <w:pPr>
        <w:spacing w:after="0" w:line="200" w:lineRule="exact"/>
        <w:rPr>
          <w:sz w:val="20"/>
          <w:szCs w:val="20"/>
          <w:color w:val="auto"/>
        </w:rPr>
      </w:pPr>
    </w:p>
    <w:p>
      <w:pPr>
        <w:sectPr>
          <w:pgSz w:w="11900" w:h="16838" w:orient="portrait"/>
          <w:cols w:equalWidth="0" w:num="2">
            <w:col w:w="1100" w:space="60"/>
            <w:col w:w="9860"/>
          </w:cols>
          <w:pgMar w:left="320" w:top="355" w:right="55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JACK HENRY &amp; ASSOCIATES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663 Highway 60, P.O. Box 807, Monett, MO 65708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780"/>
        <w:spacing w:after="0" w:line="286" w:lineRule="auto"/>
        <w:rPr>
          <w:sz w:val="20"/>
          <w:szCs w:val="20"/>
          <w:color w:val="auto"/>
        </w:rPr>
      </w:pPr>
      <w:r>
        <w:rPr>
          <w:rFonts w:ascii="Times New Roman" w:cs="Times New Roman" w:eastAsia="Times New Roman" w:hAnsi="Times New Roman"/>
          <w:sz w:val="22"/>
          <w:szCs w:val="22"/>
          <w:color w:val="auto"/>
        </w:rPr>
        <w:t>APG Asset Management US Inc. APG Asset Management, N.V. APG Group Stichting Pensioenfonds ABP Address or principal business office or, if none, residence:</w:t>
      </w:r>
    </w:p>
    <w:p>
      <w:pPr>
        <w:spacing w:after="0" w:line="156" w:lineRule="exact"/>
        <w:rPr>
          <w:sz w:val="20"/>
          <w:szCs w:val="20"/>
          <w:color w:val="auto"/>
        </w:rPr>
      </w:pPr>
    </w:p>
    <w:p>
      <w:pPr>
        <w:ind w:left="960" w:right="8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APG Asset Management US Inc. 666 Third Ave, 2nd Floor New York, NY 10017 APG Asset Management, N.V. Basisweg 10, 1043 MP Amsterdam APG Group Oude Lindestraat 70, Postbus 6401 Heerlen, Netherlands Stichting Pensioenfonds ABP PO Box 4806 6401 JL Heerlen, Netherlands</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APG Asset Management US Inc. - Delaware, United States APG Asset Management, N.V. - Kingdom of the Netherlands APG Group - Kingdom of the Netherlands Stichting Pensioenfonds ABP - Kingdom of the Netherlands</w:t>
      </w:r>
    </w:p>
    <w:p>
      <w:pPr>
        <w:spacing w:after="0" w:line="17" w:lineRule="exact"/>
        <w:rPr>
          <w:rFonts w:ascii="Times New Roman" w:cs="Times New Roman" w:eastAsia="Times New Roman" w:hAnsi="Times New Roman"/>
          <w:sz w:val="39"/>
          <w:szCs w:val="39"/>
          <w:color w:val="auto"/>
          <w:vertAlign w:val="superscript"/>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020"/>
          </w:cols>
          <w:pgMar w:left="320" w:top="355" w:right="5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426281101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APG Asset Management US Inc. - 3.3% APG Asset Management, N.V. - 3.3% APG Group - 3.3% Stichting Pensioenfonds ABP - 3.3% The Common Shares of the issuer reported herein are held by APG Asset Management, N.V. ("APG NL") is wholly-owned by APG Group ("APG Group") and is the investment manager with respect to the securities to which this statement relates. Pursuant to an Investment Management Agreement, APG NL has delegated</w:t>
      </w:r>
    </w:p>
    <w:p>
      <w:pPr>
        <w:spacing w:after="0" w:line="2" w:lineRule="exact"/>
        <w:rPr>
          <w:sz w:val="20"/>
          <w:szCs w:val="20"/>
          <w:color w:val="auto"/>
        </w:rPr>
      </w:pPr>
    </w:p>
    <w:p>
      <w:pPr>
        <w:ind w:left="920" w:hanging="912"/>
        <w:spacing w:after="0" w:line="215"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its investment and voting power with respect to such securities to APG Asset Management US, Inc. ("APG US"), which is its wholly-owned subsidiary. Stichting Pensioenfonds ABP is the majority owner of APG Group. By virtue of the relationships described above, each of the Reporting Persons may be deemed to share beneficial ownership of the securities to which this statement relates and may be deemed to be a member of a "group" (within the meaning of Section 13(d)(3) of the Securities Exchange Act of 1934, as amended). However, each Reporting Person disclaims membership in any such group, and further, each Reporting Person disclaims beneficial ownership of the securities reported herein except to the extent of its pecuniary interest therein. The percentages herein are calculated based upon a statement in the Issuer's 10-Q, filed on November 8, 2024 indicating that there are 72,959,325 Shares outstanding. Percent of class:</w:t>
      </w:r>
    </w:p>
    <w:p>
      <w:pPr>
        <w:spacing w:after="0" w:line="204" w:lineRule="exact"/>
        <w:rPr>
          <w:rFonts w:ascii="Times New Roman" w:cs="Times New Roman" w:eastAsia="Times New Roman" w:hAnsi="Times New Roman"/>
          <w:sz w:val="43"/>
          <w:szCs w:val="43"/>
          <w:color w:val="auto"/>
          <w:vertAlign w:val="subscript"/>
        </w:rPr>
      </w:pPr>
    </w:p>
    <w:p>
      <w:pPr>
        <w:ind w:left="920" w:right="8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APG Asset Management US Inc. - 3.3% APG Asset Management, N.V. - 3.3% APG Group - 3.3% Stichting Pensioenfonds ABP - 3.3%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APG Asset Management US Inc. - 0 APG Asset Management, N.V. - 0 APG Group - 0 Stichting Pensioenfonds ABP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APG Asset Management US Inc. - 2,421,623 APG Asset Management, N.V. - 2,421,623 APG Group - 2,421,623 Stichting Pensioenfonds ABP - 2,421,623</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APG Asset Management US Inc. - 0 APG Asset Management, N.V. - 0 APG Group - 0 Stichting Pensioenfonds ABP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APG Asset Management US Inc. - 2,421,623 APG Asset Management, N.V. - 2,421,623 APG Group - 2,421,623 Stichting Pensioenfonds ABP - 2,421,623</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120"/>
          </w:cols>
          <w:pgMar w:left="360" w:top="355" w:right="419" w:bottom="0" w:gutter="0" w:footer="0" w:header="0"/>
        </w:sectPr>
      </w:pPr>
    </w:p>
    <w:bookmarkStart w:id="5" w:name="page6"/>
    <w:bookmarkEnd w:id="5"/>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APG Asset Management US Inc.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Evan Gordon</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Evan Gordon,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APG Asset Management, N.V.</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Evan Gordon</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Evan Gordon,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APG Group</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Evan Gordon</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Evan Gordon,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Stichting Pensioenfonds ABP</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Evan Gordon</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Evan Gordon,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126"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consent and agree to file a joint statement on Schedule 13G under the Securities Exchange Act of 1934, as amended, with respect to the Common Stock, par value $0.01, of Jack Henry &amp; Associates Inc., beneficially owned by them, together with any or all amendments thereto, when and if appropriate. The parties hereto further consent and agree to file this Statement pursuant to Rule 13d-1(k)(1)(iii) as an exhibit to Schedule 13G, thereby incorporating the same into such Schedule 13G.</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APG Asset Management US Inc.</w:t>
      </w:r>
    </w:p>
    <w:p>
      <w:pPr>
        <w:spacing w:after="0" w:line="2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Evan Gordon</w:t>
      </w:r>
    </w:p>
    <w:p>
      <w:pPr>
        <w:spacing w:after="0" w:line="2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Name/Title: </w:t>
      </w:r>
      <w:r>
        <w:rPr>
          <w:rFonts w:ascii="Times New Roman" w:cs="Times New Roman" w:eastAsia="Times New Roman" w:hAnsi="Times New Roman"/>
          <w:sz w:val="18"/>
          <w:szCs w:val="18"/>
          <w:color w:val="auto"/>
        </w:rPr>
        <w:t>Evan Gordon, Chief Compliance Officer</w:t>
      </w:r>
    </w:p>
    <w:p>
      <w:pPr>
        <w:spacing w:after="0" w:line="2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APG Asset Management, N.V.</w:t>
      </w:r>
    </w:p>
    <w:p>
      <w:pPr>
        <w:spacing w:after="0" w:line="2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Evan Gordon</w:t>
      </w:r>
    </w:p>
    <w:p>
      <w:pPr>
        <w:spacing w:after="0" w:line="2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Name/Title: </w:t>
      </w:r>
      <w:r>
        <w:rPr>
          <w:rFonts w:ascii="Times New Roman" w:cs="Times New Roman" w:eastAsia="Times New Roman" w:hAnsi="Times New Roman"/>
          <w:sz w:val="18"/>
          <w:szCs w:val="18"/>
          <w:color w:val="auto"/>
        </w:rPr>
        <w:t>Evan Gordon, Chief Compliance Officer</w:t>
      </w:r>
    </w:p>
    <w:p>
      <w:pPr>
        <w:spacing w:after="0" w:line="2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APG Group</w:t>
      </w:r>
    </w:p>
    <w:p>
      <w:pPr>
        <w:spacing w:after="0" w:line="2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Evan Gordon</w:t>
      </w:r>
    </w:p>
    <w:p>
      <w:pPr>
        <w:spacing w:after="0" w:line="2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Name/Title: </w:t>
      </w:r>
      <w:r>
        <w:rPr>
          <w:rFonts w:ascii="Times New Roman" w:cs="Times New Roman" w:eastAsia="Times New Roman" w:hAnsi="Times New Roman"/>
          <w:sz w:val="18"/>
          <w:szCs w:val="18"/>
          <w:color w:val="auto"/>
        </w:rPr>
        <w:t>Evan Gordon, Chief Compliance Officer</w:t>
      </w:r>
    </w:p>
    <w:p>
      <w:pPr>
        <w:spacing w:after="0" w:line="2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Stichting Pensioenfonds ABP</w:t>
      </w:r>
    </w:p>
    <w:p>
      <w:pPr>
        <w:spacing w:after="0" w:line="2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Signature:  </w:t>
      </w:r>
      <w:r>
        <w:rPr>
          <w:rFonts w:ascii="Times New Roman" w:cs="Times New Roman" w:eastAsia="Times New Roman" w:hAnsi="Times New Roman"/>
          <w:sz w:val="18"/>
          <w:szCs w:val="18"/>
          <w:color w:val="auto"/>
        </w:rPr>
        <w:t>/s/ Evan Gordon</w:t>
      </w:r>
    </w:p>
    <w:p>
      <w:pPr>
        <w:spacing w:after="0" w:line="2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Name/Title: </w:t>
      </w:r>
      <w:r>
        <w:rPr>
          <w:rFonts w:ascii="Times New Roman" w:cs="Times New Roman" w:eastAsia="Times New Roman" w:hAnsi="Times New Roman"/>
          <w:sz w:val="18"/>
          <w:szCs w:val="18"/>
          <w:color w:val="auto"/>
        </w:rPr>
        <w:t>Evan Gordon, Chief Compliance Officer</w:t>
      </w:r>
    </w:p>
    <w:p>
      <w:pPr>
        <w:spacing w:after="0" w:line="27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2025-02-13T15:41:53Z</dcterms:created>
  <dcterms:modified xsi:type="dcterms:W3CDTF">2025-02-13T15:41:53Z</dcterms:modified>
</cp:coreProperties>
</file>