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December 31, 2023</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26, 2024, the Registrant had 72,867,678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December 31, 2023, and June 30, 2023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Six Months Ended December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2023 and 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Six</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December 31, 2023 and 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Six Months Ended December 31, 2023</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2023,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center"/>
              <w:ind w:left="31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20"/>
                <w:szCs w:val="2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270,551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179,304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169,178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554,267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627,962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581,756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565,714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322,698</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61,142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65,528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1,994,863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2,753,976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174,084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172,629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196,794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523,759</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227,899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625,565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641,557</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1,029,589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1,165,316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104,181,060 shares issued at December 31, 2023;</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104,088,784 shares issued at June 30, 2023</w:t>
            </w:r>
          </w:p>
        </w:tc>
        <w:tc>
          <w:tcPr>
            <w:tcW w:w="22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601,790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2,973,673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2,855,751</w:t>
            </w:r>
          </w:p>
        </w:tc>
        <w:tc>
          <w:tcPr>
            <w:tcW w:w="0" w:type="dxa"/>
            <w:vAlign w:val="bottom"/>
          </w:tcPr>
          <w:p>
            <w:pPr>
              <w:spacing w:after="0"/>
              <w:rPr>
                <w:sz w:val="1"/>
                <w:szCs w:val="1"/>
                <w:color w:val="auto"/>
              </w:rPr>
            </w:pPr>
          </w:p>
        </w:tc>
      </w:tr>
      <w:tr>
        <w:trPr>
          <w:trHeight w:val="176"/>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31,323,119 shares at December 31, 2023;</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(1,832,118)</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31,194,351 shares at June 30, 2023</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1,724,387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1,608,510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2,753,976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92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40" w:type="dxa"/>
            <w:vAlign w:val="bottom"/>
            <w:gridSpan w:val="7"/>
          </w:tcPr>
          <w:p>
            <w:pPr>
              <w:jc w:val="center"/>
              <w:ind w:right="66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2022</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545,701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1,117,069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1,034,516</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320,979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643,981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602,849</w:t>
            </w: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69,554</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70,277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149,051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114,013</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426,734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865,402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786,416</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251,667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248,100</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9,866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r>
      <w:tr>
        <w:trPr>
          <w:trHeight w:val="250"/>
        </w:trPr>
        <w:tc>
          <w:tcPr>
            <w:tcW w:w="3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120,223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253,471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244,510</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28,258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59,827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57,186</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91,965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193,644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187,324</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72,838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72,929</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72,984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72,999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7"/>
          </w:tcPr>
          <w:p>
            <w:pPr>
              <w:jc w:val="center"/>
              <w:ind w:left="28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8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340" w:type="dxa"/>
            <w:vAlign w:val="bottom"/>
            <w:gridSpan w:val="7"/>
          </w:tcPr>
          <w:p>
            <w:pPr>
              <w:jc w:val="center"/>
              <w:ind w:left="281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9"/>
                <w:szCs w:val="19"/>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6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104,144,549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103,953,128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104,088,784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103,921,724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70,084</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w:t>
            </w:r>
          </w:p>
        </w:tc>
      </w:tr>
      <w:tr>
        <w:trPr>
          <w:trHeight w:val="248"/>
        </w:trPr>
        <w:tc>
          <w:tcPr>
            <w:tcW w:w="5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104,181,060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104,027,008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104,181,060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104,027,008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50"/>
        </w:trPr>
        <w:tc>
          <w:tcPr>
            <w:tcW w:w="5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591,458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560,034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583,836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551,360</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6,686</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w:t>
            </w:r>
          </w:p>
        </w:tc>
      </w:tr>
      <w:tr>
        <w:trPr>
          <w:trHeight w:val="223"/>
        </w:trPr>
        <w:tc>
          <w:tcPr>
            <w:tcW w:w="5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601,790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601,790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564,856</w:t>
            </w:r>
          </w:p>
        </w:tc>
      </w:tr>
      <w:tr>
        <w:trPr>
          <w:trHeight w:val="250"/>
        </w:trPr>
        <w:tc>
          <w:tcPr>
            <w:tcW w:w="5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2,855,751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2,636,342</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91,965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193,644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187,324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(71,454)</w:t>
            </w:r>
          </w:p>
        </w:tc>
      </w:tr>
      <w:tr>
        <w:trPr>
          <w:trHeight w:val="223"/>
        </w:trPr>
        <w:tc>
          <w:tcPr>
            <w:tcW w:w="5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2,973,673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2,752,212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2,973,673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2,752,212</w:t>
            </w:r>
          </w:p>
        </w:tc>
      </w:tr>
      <w:tr>
        <w:trPr>
          <w:trHeight w:val="250"/>
        </w:trPr>
        <w:tc>
          <w:tcPr>
            <w:tcW w:w="5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(1,807,118)</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(1,807,118)</w:t>
            </w:r>
          </w:p>
        </w:tc>
      </w:tr>
      <w:tr>
        <w:trPr>
          <w:trHeight w:val="250"/>
        </w:trPr>
        <w:tc>
          <w:tcPr>
            <w:tcW w:w="5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1,510,990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7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193,644</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187,324</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23,765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90,702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102,672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(39,042)</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(47,544)</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23,792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(130,529)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(125,433)</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238,672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190,711</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(229,628)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(24,458)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(81,046)</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(301,192)</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December 31, 2023 and 2022,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three and six months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spacing w:after="0"/>
              <w:rPr>
                <w:sz w:val="20"/>
                <w:szCs w:val="20"/>
                <w:color w:val="auto"/>
              </w:rPr>
            </w:pPr>
          </w:p>
        </w:tc>
        <w:tc>
          <w:tcPr>
            <w:tcW w:w="3040" w:type="dxa"/>
            <w:vAlign w:val="bottom"/>
            <w:gridSpan w:val="9"/>
          </w:tcPr>
          <w:p>
            <w:pPr>
              <w:ind w:left="40"/>
              <w:spacing w:after="0"/>
              <w:rPr>
                <w:sz w:val="20"/>
                <w:szCs w:val="20"/>
                <w:color w:val="auto"/>
              </w:rPr>
            </w:pPr>
            <w:r>
              <w:rPr>
                <w:rFonts w:ascii="Arial" w:cs="Arial" w:eastAsia="Arial" w:hAnsi="Arial"/>
                <w:sz w:val="18"/>
                <w:szCs w:val="18"/>
                <w:color w:val="auto"/>
              </w:rPr>
              <w:t>Three Months Ended December 31,</w:t>
            </w:r>
          </w:p>
        </w:tc>
        <w:tc>
          <w:tcPr>
            <w:tcW w:w="140" w:type="dxa"/>
            <w:vAlign w:val="bottom"/>
          </w:tcPr>
          <w:p>
            <w:pPr>
              <w:spacing w:after="0"/>
              <w:rPr>
                <w:sz w:val="20"/>
                <w:szCs w:val="20"/>
                <w:color w:val="auto"/>
              </w:rPr>
            </w:pPr>
          </w:p>
        </w:tc>
        <w:tc>
          <w:tcPr>
            <w:tcW w:w="2820" w:type="dxa"/>
            <w:vAlign w:val="bottom"/>
            <w:gridSpan w:val="7"/>
          </w:tcPr>
          <w:p>
            <w:pPr>
              <w:jc w:val="right"/>
              <w:ind w:right="160"/>
              <w:spacing w:after="0"/>
              <w:rPr>
                <w:sz w:val="20"/>
                <w:szCs w:val="20"/>
                <w:color w:val="auto"/>
              </w:rPr>
            </w:pPr>
            <w:r>
              <w:rPr>
                <w:rFonts w:ascii="Arial" w:cs="Arial" w:eastAsia="Arial" w:hAnsi="Arial"/>
                <w:sz w:val="18"/>
                <w:szCs w:val="18"/>
                <w:color w:val="auto"/>
                <w:w w:val="99"/>
              </w:rPr>
              <w:t>Six Months Ended December 31,</w:t>
            </w:r>
          </w:p>
        </w:tc>
      </w:tr>
      <w:tr>
        <w:trPr>
          <w:trHeight w:val="183"/>
        </w:trPr>
        <w:tc>
          <w:tcPr>
            <w:tcW w:w="5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43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430"/>
              <w:spacing w:after="0" w:line="182" w:lineRule="exact"/>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r>
      <w:tr>
        <w:trPr>
          <w:trHeight w:val="20"/>
        </w:trPr>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960</w:t>
            </w: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8,132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8,184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8,132</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8,184</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December 31, 2023, totaled $464,879 and at June 30, 2023, totaled $466,711.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$1,201,636 and $1,149,913 at December 31, 2023, and June 30, 2023,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2023, and June 30, 2023, the Company had an investment in the preferred stock of Autobooks,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2023, there were 31,323 shares in treasury stock and the Company had the remaining authority to repurchase up to 3,667 additional shares. The total cost of treasury shares at December 31, 2023, was $1,852,118. During the first six months of fiscal 2024, the Company repurchased 129 shares. At June 30, 2023, there were 31,194 shares in treasury stock and the Company had the remaining authority to repurchase up to 3,796 additional shares. The total cost of treasury shares at June 30, 2023, was $1,832,118 and the Company repurchased no shares during the first six months of fiscal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2023.</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December 31, 2023, the results of its operations for the three and six months ended December 31, 2023 and 2022, changes in stockholders' equity for the three and six months ended December 31, 2023 and 2022, and its cash flows for the six months ended December 31, 2023 and 2022. The condensed consolidated balance sheet at June 30, 2023,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six months ended December 31, 2023,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10 -K for the fiscal year ended June 30, 2023. For the three and six months ended December 31, 2023, there have been no new or material changes to the significant accounting policies discussed in the Company’s Form 10-K for the fiscal year ended June 30, 2023, that are of significance, or potential significance, to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effective July 1, 2023, and will apply it prospectively to business combinations occurring after that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1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880" w:type="dxa"/>
            <w:vAlign w:val="bottom"/>
            <w:gridSpan w:val="10"/>
          </w:tcPr>
          <w:p>
            <w:pPr>
              <w:ind w:left="460"/>
              <w:spacing w:after="0"/>
              <w:rPr>
                <w:sz w:val="20"/>
                <w:szCs w:val="20"/>
                <w:color w:val="auto"/>
              </w:rPr>
            </w:pPr>
            <w:r>
              <w:rPr>
                <w:rFonts w:ascii="Arial" w:cs="Arial" w:eastAsia="Arial" w:hAnsi="Arial"/>
                <w:sz w:val="18"/>
                <w:szCs w:val="18"/>
                <w:color w:val="auto"/>
              </w:rPr>
              <w:t>Three Months Ended December 31,</w:t>
            </w:r>
          </w:p>
        </w:tc>
        <w:tc>
          <w:tcPr>
            <w:tcW w:w="340" w:type="dxa"/>
            <w:vAlign w:val="bottom"/>
          </w:tcPr>
          <w:p>
            <w:pPr>
              <w:spacing w:after="0"/>
              <w:rPr>
                <w:sz w:val="20"/>
                <w:szCs w:val="20"/>
                <w:color w:val="auto"/>
              </w:rPr>
            </w:pPr>
          </w:p>
        </w:tc>
        <w:tc>
          <w:tcPr>
            <w:tcW w:w="3460" w:type="dxa"/>
            <w:vAlign w:val="bottom"/>
            <w:gridSpan w:val="8"/>
          </w:tcPr>
          <w:p>
            <w:pPr>
              <w:jc w:val="right"/>
              <w:ind w:right="58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3560" w:type="dxa"/>
            <w:vAlign w:val="bottom"/>
          </w:tcPr>
          <w:p>
            <w:pPr>
              <w:spacing w:after="0"/>
              <w:rPr>
                <w:sz w:val="15"/>
                <w:szCs w:val="15"/>
                <w:color w:val="auto"/>
              </w:rPr>
            </w:pPr>
          </w:p>
        </w:tc>
        <w:tc>
          <w:tcPr>
            <w:tcW w:w="118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2023</w:t>
            </w: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153,130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332,222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302,129</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58,594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123,852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116,117</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78,976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198,123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192,603</w:t>
            </w: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311,992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290,700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654,197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610,849</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233,709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214,614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462,872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423,667</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545,701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505,314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1,117,069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1,034,516</w:t>
            </w: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954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31,702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26,711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196,794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331,974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December 31, 2023, and 2022, the Company recognized revenue of $85,458 and $83,145, respectively, that was included in the corresponding deferred revenue balance at the beginning of the periods. For the six months ended December 31, 2023, and 2022, the Company recognized revenue of $167,671 and $159,393, respectively, that was included in the corresponding deferred revenue balance at the beginning of the periods.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estimated revenue expected to be recognized in the future related to performance obligations that are unsatisfied (or partially unsatisfied) at the end of the reporting period totaled $6,446,023. The Company expects to recognize approximately 24% over the next 12 months, 19%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$460,686 and $442,012, at December 31, 2023, and June 30, 2023, respectively.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December 31, 2023, and 2022, amortization of deferred contract costs totaled $41,552 and $34,861, respectively. During the six months ended December 31, 2023, and 2022, amortization of deferred contract costs totaled $92,088 and $76,841, respectively. There were no impairment losses in relation to capitalized costs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2023</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3,276</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3,276</w:t>
            </w: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255,000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r>
    </w:tbl>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month to 10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2023, and June 30, 2023, the Company had operating lease assets of $58,480 and $43,662, respectively. At December 31, 2023, total operating lease liabilities of $63,797 were comprised of current operating lease liabilities of $9,268 and noncurrent operating lease liabilities of $54,529. At June 30, 2023, total operating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lease liabilities of $50,269 were comprised of current operating lease liabilities of $9,776 and noncurrent operating lease liabilities of $40,493.</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$29,984 and $34,973 as of December 31, 2023, and June 30, 2023, respectively.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costs for the three months ended December 31, 2023, and 2022, were $ 2,229 and $3,029, respectively. Total operating lease costs for the respective quarters included variable lease costs of $1,709 and $957, respectively. Operating lease costs for the six months ended December 31, 2023, and 2022, were $4,698 and $6,088, respectively. Total operating lease costs for the respective fiscal year-to-date periods included variable lease costs of $2,253 and $1,881, respectively. Operating lease expense is included within cost of services, research and development, and selling, general and administrative expense, dependent upon the nature and use of the ROU asset, in the Company’s condensed consolidated statements of income.</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December 31, 2023, and 2022, the Company had operating cash flows for payments on operating leases of $4,422 and $6,202, and ROU assets obtained in exchange for operating lease liabilities of $18,935 and $2,282,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2023, and June 30, 2023, the weighted-average remaining lease term for the Company's operating leases was 82 months and 78 months, and the weighted-average discount rate was 2.68% and 2.14%,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30"/>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10,160</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10,271</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25,001</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70,971</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$ 5,464 related to options to extend lease terms that are reasonably certain of being exercised. At December 31, 2023, there were no legally binding lease payments for leases signed but not yet commenced.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has a term of 57 months. Sublease income for the three and six months ended December 31, 2023 was $132 and is included within revenue on the Company's condensed consolidated statements of income. There have been no indications of impairment related to the underlying right-of-use asset.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Minimum Sublease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future total minimum sublease payments to be received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4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3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29"/>
        </w:trPr>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 (remaining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342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342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Total sublease receipts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r>
      <w:tr>
        <w:trPr>
          <w:trHeight w:val="21"/>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2023, the Company was in compliance with all such covenants. The amended and restated credit facility terminates August 31, 2027. There was $75,000 and $95,000 outstanding under the amended and restated credit facility at December 31, 2023 and June 30, 2023,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December 31, 2023, the Company was in compliance with all such covenants. The term loan credit agreement has a maturity date of May 16, 2025. There was $180,000 outstanding under the term loan at December 31, 2023 and June 30,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December 31, 2023, or June 30,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$6,802 and $2,724 during the six months ended December 31, 2023, and 2022, respectively.</w:t>
      </w:r>
    </w:p>
    <w:p>
      <w:pPr>
        <w:spacing w:after="0" w:line="1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 tax rate increased for the three months ended December 31, 2023, compared to the three months ended December 31, 2022, with an effective tax rate of 23.5% of income before income taxes, compared to 23.2% in the prior fiscal year quarter.</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December 31, 2023, the effective tax rate increased compared to the six months ended December 31, 2022, with an effective tax rate of 23.6% of income before taxes, compared to 23.4% for the same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period last fiscal year. The increase in the effective tax rate for the three and six months ended December 31, 2023, was primarily due to the difference in impact of share-based compensation that vested during each of the periods.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paid income taxes, net of refunds, of $ 52,018 and $37,213 in the six months ended December 31, 2023, and 2022, respectively. The increase in paid income taxes for the six months ended December 31, 2023 over the six months ended December 31, 2022 was primarily the result of the timing of payments, with a greater portion of the anticipated equivalent annual amounts being paid in the current fiscal year-to-date period.</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2023, the Company had $13,414 of gross unrecognized tax benefits before interest and penalties, $11,702 of which, if recognized, would affect our effective tax rate. The Company had accrued interest and penalties of $2,317 and $1,546 related to uncertain tax positions at December 31, 2023, and 2022, respectively.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returns for fiscal 2020 and all subsequent years remain subject to examination as of December 31, 2023, under statute of limitations rules. The U.S. state income tax returns that remain subject to examination as of December 31, 2023,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$4,500 within twelve months of December 31, 2023.</w:t>
      </w:r>
    </w:p>
    <w:p>
      <w:pPr>
        <w:spacing w:after="0" w:line="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income for the three months ended December 31, 2023, and 2022, included $8,333 and $7,545 of stock-based compensation costs, respectively. Our operating income for the six months ended December 31, 2023, and 2022, included $15,480 and $14,544 of stock-based compensation costs,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non-employee directors. The plan allows for grants of stock options, stock appreciation rights, restricted stock shares or units, and performance shares or units. The maximum number of shares authorized for issuance under the plan is 3,000.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six months ended December 31, 2023, there were no options granted, forfeited, or exercised. At December 31, 2023, 12 options were outstanding at a weighted average exercise price of $87.27 with an aggregate intrinsic value of $890.</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2023, there was no compensation cost yet to be recognized related to outstanding options. All of the options are currently exercisable, with a weighted average remaining contractual term (remaining period of exercisability) of 2.5 years as of December 31, 2023.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awards as of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2023</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178.63</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183.35</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197.38</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2023</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185.77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57,773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153 unit awards granted in fiscal 2024, 95 were restricted stock unit awards and 58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23 of the performance unit awards granted in fiscal 2024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35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made up of participants approved by the Compensation Committee of the Company's Board of Directors for fiscal year 2024. The Monte Carlo inputs used in the model to estimate fair value at the measurement date and resulting values for these performance unit awards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2024</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25.6 %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4.48 %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74.0 %</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2023, there was $31,275 of compensation expense that has yet to be recognized related to non-vested restricted stock unit awards, which will be recognized over a weighted average period of 1.35 years.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5660" w:type="dxa"/>
            <w:vAlign w:val="bottom"/>
            <w:gridSpan w:val="2"/>
          </w:tcPr>
          <w:p>
            <w:pPr>
              <w:spacing w:after="0"/>
              <w:rPr>
                <w:sz w:val="20"/>
                <w:szCs w:val="20"/>
                <w:color w:val="auto"/>
              </w:rPr>
            </w:pPr>
            <w:r>
              <w:rPr>
                <w:rFonts w:ascii="Arial" w:cs="Arial" w:eastAsia="Arial" w:hAnsi="Arial"/>
                <w:sz w:val="16"/>
                <w:szCs w:val="16"/>
                <w:color w:val="0000FF"/>
              </w:rPr>
              <w:t xml:space="preserve">Table of </w:t>
            </w:r>
            <w:r>
              <w:rPr>
                <w:rFonts w:ascii="Arial" w:cs="Arial" w:eastAsia="Arial" w:hAnsi="Arial"/>
                <w:sz w:val="17"/>
                <w:szCs w:val="17"/>
                <w:color w:val="000000"/>
              </w:rPr>
              <w:t>Contents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3"/>
        </w:trPr>
        <w:tc>
          <w:tcPr>
            <w:tcW w:w="5660" w:type="dxa"/>
            <w:vAlign w:val="bottom"/>
            <w:gridSpan w:val="2"/>
          </w:tcPr>
          <w:p>
            <w:pPr>
              <w:spacing w:after="0"/>
              <w:rPr>
                <w:sz w:val="20"/>
                <w:szCs w:val="20"/>
                <w:color w:val="auto"/>
              </w:rPr>
            </w:pPr>
            <w:r>
              <w:rPr>
                <w:rFonts w:ascii="Arial" w:cs="Arial" w:eastAsia="Arial" w:hAnsi="Arial"/>
                <w:sz w:val="18"/>
                <w:szCs w:val="18"/>
                <w:color w:val="auto"/>
              </w:rPr>
              <w:t>NOTE 9.  EARNINGS PER SHARE</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40" w:type="dxa"/>
            <w:vAlign w:val="bottom"/>
            <w:gridSpan w:val="8"/>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60" w:type="dxa"/>
            <w:vAlign w:val="bottom"/>
            <w:gridSpan w:val="9"/>
          </w:tcPr>
          <w:p>
            <w:pPr>
              <w:ind w:left="80"/>
              <w:spacing w:after="0"/>
              <w:rPr>
                <w:sz w:val="20"/>
                <w:szCs w:val="20"/>
                <w:color w:val="auto"/>
              </w:rPr>
            </w:pPr>
            <w:r>
              <w:rPr>
                <w:rFonts w:ascii="Arial" w:cs="Arial" w:eastAsia="Arial" w:hAnsi="Arial"/>
                <w:sz w:val="18"/>
                <w:szCs w:val="18"/>
                <w:color w:val="auto"/>
              </w:rPr>
              <w:t>Three Months Ended December</w:t>
            </w:r>
          </w:p>
        </w:tc>
        <w:tc>
          <w:tcPr>
            <w:tcW w:w="2720" w:type="dxa"/>
            <w:vAlign w:val="bottom"/>
            <w:gridSpan w:val="8"/>
            <w:vMerge w:val="restart"/>
          </w:tcPr>
          <w:p>
            <w:pPr>
              <w:jc w:val="right"/>
              <w:ind w:right="4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5"/>
              </w:rPr>
              <w:t>31,</w:t>
            </w: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jc w:val="right"/>
              <w:ind w:right="46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91,965</w:t>
            </w:r>
          </w:p>
        </w:tc>
        <w:tc>
          <w:tcPr>
            <w:tcW w:w="6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80,775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193,644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187,324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72,838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72,962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72,854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72,929</w:t>
            </w:r>
          </w:p>
        </w:tc>
        <w:tc>
          <w:tcPr>
            <w:tcW w:w="0" w:type="dxa"/>
            <w:vAlign w:val="bottom"/>
          </w:tcPr>
          <w:p>
            <w:pPr>
              <w:spacing w:after="0"/>
              <w:rPr>
                <w:sz w:val="1"/>
                <w:szCs w:val="1"/>
                <w:color w:val="auto"/>
              </w:rPr>
            </w:pPr>
          </w:p>
        </w:tc>
      </w:tr>
      <w:tr>
        <w:trPr>
          <w:trHeight w:val="176"/>
        </w:trPr>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stock options, restricted stock units, and</w:t>
            </w:r>
          </w:p>
        </w:tc>
        <w:tc>
          <w:tcPr>
            <w:tcW w:w="4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units</w:t>
            </w: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72,984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73,144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72,999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73,141</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7"/>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6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six months ended December 31, 2023, and 2022. Stock options, restricted stock units, and performance units have been included in the calculation of diluted earnings per share to the extent they are dilutive. There were 24 and 22 anti-dilutive stock options, restricted stock units, or performance units excluded for the three and six months ended December 31, 2023, respectively, and 31 and 25 were excluded for the three and six months ended December 31, 2022, respectively.</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September 20, 2023.</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11.</w:t>
      </w:r>
      <w:r>
        <w:rPr>
          <w:sz w:val="20"/>
          <w:szCs w:val="20"/>
          <w:color w:val="auto"/>
        </w:rPr>
        <w:tab/>
      </w:r>
      <w:r>
        <w:rPr>
          <w:rFonts w:ascii="Arial" w:cs="Arial" w:eastAsia="Arial" w:hAnsi="Arial"/>
          <w:sz w:val="17"/>
          <w:szCs w:val="17"/>
          <w:color w:val="auto"/>
        </w:rPr>
        <w:t>REPORTABLE SEGMENT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call center support, network security management, consulting, and monitoring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and six months ended December 31, 2022. These reclasses were made to be consistent with the current allocation of revenue and cost of revenue by segment. Revenue reclassed for the three and six months ended December 31, 2022, from Core to Corporate and Other was $1,851 and $3,661, respectively, from Payments to Corporate and Other was $10 and $16, respectively, and from Complementary to Corporate and Other was $174 and $108, respectively. Cost of revenue reclassed for the three and six months ended December 31, 2022, from Core to Corporate and Other was $1,658 and $3,294, respectively, from Payments to Corporate and Other was $658 and $1,261, respectively, and from Complementary to Corporate and Other was $326 and $659,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155,429</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21,060</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113,779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21,724</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311,992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182,779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233,709</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203,839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152,466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545,701</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111,623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75,963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320,979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426,734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88,443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143,799</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19,330</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110,206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17,365</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290,700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153,539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58,944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71,566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304,589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84,064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(53,389)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331,173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40,962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238,050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44,012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654,197</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75,783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462,872</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403,195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1,117,069</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126,298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643,981</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72,370</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149,051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865,402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187,535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(103,938)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253,471</w:t>
            </w:r>
          </w:p>
        </w:tc>
        <w:tc>
          <w:tcPr>
            <w:tcW w:w="0" w:type="dxa"/>
            <w:vAlign w:val="bottom"/>
          </w:tcPr>
          <w:p>
            <w:pPr>
              <w:spacing w:after="0"/>
              <w:rPr>
                <w:sz w:val="1"/>
                <w:szCs w:val="1"/>
                <w:color w:val="auto"/>
              </w:rPr>
            </w:pPr>
          </w:p>
        </w:tc>
      </w:tr>
      <w:tr>
        <w:trPr>
          <w:trHeight w:val="431"/>
        </w:trPr>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2022</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307,014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37,982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228,420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37,433</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610,849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423,667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290,539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1,034,516</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207,965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117,049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602,849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69,554</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114,013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786,416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173,490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(101,451)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248,100</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tcBorders>
            <w:shd w:val="clear" w:color="auto" w:fill="CECECE"/>
          </w:tcPr>
          <w:p>
            <w:pPr>
              <w:spacing w:after="0"/>
              <w:rPr>
                <w:sz w:val="18"/>
                <w:szCs w:val="18"/>
                <w:color w:val="auto"/>
              </w:rPr>
            </w:pPr>
          </w:p>
        </w:tc>
        <w:tc>
          <w:tcPr>
            <w:tcW w:w="116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240" w:type="dxa"/>
            <w:vAlign w:val="bottom"/>
            <w:tcBorders>
              <w:top w:val="single" w:sz="8" w:color="CECECE"/>
            </w:tcBorders>
            <w:shd w:val="clear" w:color="auto" w:fill="CECECE"/>
          </w:tcPr>
          <w:p>
            <w:pPr>
              <w:spacing w:after="0"/>
              <w:rPr>
                <w:sz w:val="18"/>
                <w:szCs w:val="18"/>
                <w:color w:val="auto"/>
              </w:rPr>
            </w:pPr>
          </w:p>
        </w:tc>
        <w:tc>
          <w:tcPr>
            <w:tcW w:w="1240" w:type="dxa"/>
            <w:vAlign w:val="bottom"/>
            <w:tcBorders>
              <w:top w:val="single" w:sz="8" w:color="CECECE"/>
            </w:tcBorders>
            <w:shd w:val="clear" w:color="auto" w:fill="CECECE"/>
          </w:tcPr>
          <w:p>
            <w:pPr>
              <w:spacing w:after="0"/>
              <w:rPr>
                <w:sz w:val="18"/>
                <w:szCs w:val="18"/>
                <w:color w:val="auto"/>
              </w:rPr>
            </w:pPr>
          </w:p>
        </w:tc>
        <w:tc>
          <w:tcPr>
            <w:tcW w:w="120" w:type="dxa"/>
            <w:vAlign w:val="bottom"/>
            <w:tcBorders>
              <w:top w:val="single" w:sz="8" w:color="CECECE"/>
            </w:tcBorders>
            <w:shd w:val="clear" w:color="auto" w:fill="CECECE"/>
          </w:tcPr>
          <w:p>
            <w:pPr>
              <w:spacing w:after="0"/>
              <w:rPr>
                <w:sz w:val="18"/>
                <w:szCs w:val="18"/>
                <w:color w:val="auto"/>
              </w:rPr>
            </w:pPr>
          </w:p>
        </w:tc>
        <w:tc>
          <w:tcPr>
            <w:tcW w:w="160" w:type="dxa"/>
            <w:vAlign w:val="bottom"/>
            <w:tcBorders>
              <w:top w:val="single" w:sz="8" w:color="CECECE"/>
            </w:tcBorders>
            <w:shd w:val="clear" w:color="auto" w:fill="CECECE"/>
          </w:tcPr>
          <w:p>
            <w:pPr>
              <w:spacing w:after="0"/>
              <w:rPr>
                <w:sz w:val="18"/>
                <w:szCs w:val="18"/>
                <w:color w:val="auto"/>
              </w:rPr>
            </w:pPr>
          </w:p>
        </w:tc>
        <w:tc>
          <w:tcPr>
            <w:tcW w:w="148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440" w:type="dxa"/>
            <w:vAlign w:val="bottom"/>
            <w:tcBorders>
              <w:top w:val="single" w:sz="8" w:color="CECECE"/>
            </w:tcBorders>
            <w:shd w:val="clear" w:color="auto" w:fill="CECECE"/>
          </w:tcPr>
          <w:p>
            <w:pPr>
              <w:spacing w:after="0"/>
              <w:rPr>
                <w:sz w:val="18"/>
                <w:szCs w:val="18"/>
                <w:color w:val="auto"/>
              </w:rPr>
            </w:pPr>
          </w:p>
        </w:tc>
        <w:tc>
          <w:tcPr>
            <w:tcW w:w="1060" w:type="dxa"/>
            <w:vAlign w:val="bottom"/>
            <w:tcBorders>
              <w:top w:val="single" w:sz="8" w:color="CECECE"/>
            </w:tcBorders>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244,510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December 31,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&amp; Associates, Inc. is a well-rounded financial technology company and is a leading provider of technology solutions and payment processing services primarily to community and regional financial institutions. Our solutions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 which predominantly includes contracts with terms of seven years or longer at inception; “product delivery and services” revenue, which includes revenue from the sales of licenses, implementation services, deconversions, consulting, and hardware; and “on-premise support” revenue, composed of maintenance contracts primarily with annual terms. Processing revenue includes: "remittance” revenue from payment processing, remote capture, and ACH transactions; “card” revenue, including card transaction processing and monthly fees; and “transaction and digital” revenue, which includes transaction and mobile processing. We continually seek opportunities to increase revenue while at the same time containing costs to expand margins.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second quarter of fiscal 2024, total revenue increased 8.0%, or $40,387, compared to the same quarter in fiscal 2023. Total revenue less deconversion revenue of $4,882 for the current fiscal quarter and less deconversion revenues of $6,380 for the prior fiscal year second quarter results in an increase of 8.4%, quarter over quarter. This increase was primarily driven by growth in data processing and hosting, Jack Henry digital, including Banno, card, and remote capture and ACH revenues.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7.2%, or $28,796, for the second quarter of fiscal 2024 compared to the second quarter of fiscal 2023. Total operating expenses less deconversion expenses of $1,079 in the current quarter and $917 for the prior fiscal year second quarter, and removing the effects of the gain on sale of assets, net, of $1,207 in the prior fiscal year second quarter, results in an increase of 6.9%, quarter over quarter. This increase was primarily driven by higher direct costs as revenues increased, higher personnel costs, including medical insurance and commissions, increased travel and entertainment expenses related to the user group meeting during the quarter, and increased internal licenses and fees.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increased 10.8%, or $11,591, for the second quarter of fiscal 2024 compared to the second quarter of fiscal 2023. Total operating income less deconversion operating income of $ 3,803 in the current quarter and $5,463 for the prior fiscal year second quarter, and removing the effects of the gain on sale of assets, net, of $1,207 in the prior fiscal year second quarter, results in an increase of 14.4%, quarter over quarter. This increase was primarily driven by revenue growth partially offset by increased operating expenses detailed above.</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15.6%, or $3,823, for the second quarter of fiscal 2024, compared to the second quarter of fiscal 2023. The effective tax rate for the current fiscal second quarter, was 23.5% compared to 23.2% for the same quarter a year ago. The increase in the effective tax rate was primarily due to the difference in impact of share-based compensation that vested during each of the comparative quarters.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13.9%, or $11,190, for the second quarter of fiscal 2024, compared to the second quarter of fiscal 2023. Total net income less deconversion net income of $2,890 for the current fiscal quarter, and less net income for deconversions and the gain on disposal of assets, net, of $4,152 and $918, respectively, for the prior fiscal year second quarter, results in a 17.7% increase quarter over quarter. This increase was primarily due to net organic growth in our lines of revenue partially offset by higher operating expenses and increased provision for income taxes in the second quarter of fiscal 2024 compared to the same quarter last fiscal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36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For the six months ended December 31, 2023, total revenue increased 8.0%, or $82,553, compared to the same period in fiscal year 2023. Total revenue less deconversion and acquisition revenues of $9,018 and $1,945, respectively, for the current fiscal period and less deconversion revenues of $10,899 for the prior fiscal period, results in an increase of 8.1%, period over period. This increase was primarily driven by growth in data processing and hosting, card, Jack Henry digital, other processing and payment processing revenues.</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expenses increased 10.0%, or $78,986, for the six months ended December 31, 2023, compared to the same period in fiscal year 2023. Total operating expenses less deconversion expenses of $1,460, acquisition-related expenses of $4,182, and voluntary employee departure incentive payment ("VEDIP") program expenses of $16,443 for the current fiscal period, and less deconversion expenses of $1,570 and removing the effects of the gain on sale of assets, net, of $7,384 for the prior fiscal year period, results in an increase of 6.4%, period over period. This increase was primarily driven by higher personnel costs, including commissions, increased direct costs related to growth in revenue, higher internal licenses and fees, and a decrease in the gain on sale of assets, net, compared to the prior fiscal year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1.4%, or $3,567, for the six months ended December 31, 2023, compared to the same period in fiscal year 2023. Total operating income less deconversion operating income of $7,558, removing the effects of the VEDIP program of $16,443 and an acquisition operating loss of $2,237 for the current fiscal year period, less deconversion operating income of $ 9,330 and removing the effects of the gain on sale of assets, net, of $7,383 for the prior fiscal year period, results in a 13.6% increase period over period. This increase was primarily driven by revenue growth partially offset by increased operating expenses detailed above.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4.6%, or $2,641, for the six months ended December 31, 2023, compared to the same period in fiscal year 2023. The effective tax rate for the six months ended December 31, 2023, was 23.6% compared to 23.4% for the same period a year ago. The increase in the effective tax rate was primarily due to the difference in impact of share-based compensation that vested during the comparative periods.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3.4%, or $6,320, for the six months ended December 31, 2023, compared to the same period a year ago. Total net income less deconversion net income of $5,744, plus net loss for the acquisition and the VEDIP program of $3,539 and $12,497, respectively, for the current fiscal year period, and less net income for deconversions and the gain on sale of assets, net, of $7,090 and $5,612, respectively, for the prior fiscal year period, results in a 16.8% increase period over period. This increase was primarily due to net organic growth in our lines of revenue partially offset by higher operating expenses and increased provision for income taxes in the six months ended December 31, 2023 compared to the same period last fiscal year.</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move into the third quarter of fiscal 2024 with significant portions of our business continuing to come from recurring revenues and our sales pipeline remaining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detailed discussion of the major components of the results of operations for the three and six months ended December 31, 2023, follows. On August 31, 2022, the Company acquired all of the equity interest in Payrailz, LLC (“Payrailz”). Payrailz (“acquisition”) related revenue and operating expenses mentioned in the six months ended December 31, 2023, discussions below are for the first two months of the period only.</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and six months ended December 31, 2023, to the prior fiscal year's three and six months ended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24"/>
                <w:szCs w:val="24"/>
                <w:color w:val="auto"/>
              </w:rPr>
            </w:pPr>
          </w:p>
        </w:tc>
        <w:tc>
          <w:tcPr>
            <w:tcW w:w="2800" w:type="dxa"/>
            <w:vAlign w:val="bottom"/>
            <w:gridSpan w:val="8"/>
          </w:tcPr>
          <w:p>
            <w:pPr>
              <w:ind w:left="20"/>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4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40" w:type="dxa"/>
            <w:vAlign w:val="bottom"/>
            <w:gridSpan w:val="9"/>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311,992</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290,700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654,197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610,849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7.1 %</w:t>
            </w: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120" w:type="dxa"/>
            <w:vAlign w:val="bottom"/>
          </w:tcPr>
          <w:p>
            <w:pPr>
              <w:spacing w:after="0"/>
              <w:rPr>
                <w:sz w:val="15"/>
                <w:szCs w:val="15"/>
                <w:color w:val="auto"/>
              </w:rPr>
            </w:pPr>
          </w:p>
        </w:tc>
        <w:tc>
          <w:tcPr>
            <w:tcW w:w="164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57 %</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59 %</w:t>
            </w:r>
          </w:p>
        </w:tc>
        <w:tc>
          <w:tcPr>
            <w:tcW w:w="340" w:type="dxa"/>
            <w:vAlign w:val="bottom"/>
          </w:tcPr>
          <w:p>
            <w:pPr>
              <w:spacing w:after="0"/>
              <w:rPr>
                <w:sz w:val="15"/>
                <w:szCs w:val="15"/>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2"/>
                <w:szCs w:val="22"/>
                <w:color w:val="auto"/>
              </w:rPr>
            </w:pPr>
          </w:p>
        </w:tc>
        <w:tc>
          <w:tcPr>
            <w:tcW w:w="1640" w:type="dxa"/>
            <w:vAlign w:val="bottom"/>
            <w:gridSpan w:val="4"/>
            <w:vMerge w:val="continue"/>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7.3% for the second quarter of fiscal 2024 compared to the same quarter a year ago. Reducing services and support revenue for deconversion revenue from each quarter, which was $4,882 for the current fiscal year quarter and $6,380 for the prior fiscal year quarter results in growth of 8.0% quarter over quarter. This increase was primarily driven by growth in data processing and hosting revenues as new and existing customers migrate to our private cloud and processing volumes expand and higher user group revenues from the user group meeting held during the second quarter of fiscal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Services and support revenue increased 7.1% for the six months ended December 31, 2023 compared to the same period a year ago. Reducing services and support revenue for deconversion revenue from each period, which was $9,018 for the current fiscal year period and $10,899 for the prior fiscal year period, and acquisition revenue of $2 for the current fiscal year period, results in growth of 7.5% period over period. This increase was primarily driven by volume growth in data processing and hosting as new and existing customers migrate to our private cloud and processing volumes expand, software usage as customers continue moving to time-based licenses rather than perpetual, and hardware 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7"/>
                <w:szCs w:val="17"/>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4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rPr>
              <w:t>Change</w:t>
            </w:r>
          </w:p>
        </w:tc>
        <w:tc>
          <w:tcPr>
            <w:tcW w:w="2940" w:type="dxa"/>
            <w:vAlign w:val="bottom"/>
            <w:gridSpan w:val="9"/>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233,709</w:t>
            </w: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214,614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462,872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423,667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9.3 %</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43 %</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41 %</w:t>
            </w:r>
          </w:p>
        </w:tc>
        <w:tc>
          <w:tcPr>
            <w:tcW w:w="3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8.9% for the second quarter of fiscal 2024 compared to the same quarter last fiscal year. This increase was primarily driven by growth in Jack Henry digital revenue (including Banno) from higher active users and expanding volumes from existing products and the introduction of new products, growth in card revenue primarily from higher fraud detection and prevention revenues and organic growth from expanding transaction volumes, remote capture and ACH revenue, as well as other processing and payment processing revenues from expanding volumes and new customer revenue.</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Processing revenue increased 9.3% for the six months ended December 31, 2023, compared to the same period last fiscal year. Reducing processing revenue for acquisition revenue of $1,943 for the current fiscal year period, results in growth of 8.8% period over period. This increase was primarily driven by growth in card revenue primarily from higher fraud detection and prevention revenues and organic growth from expanding transaction volumes, growth in Jack Henry digital revenue (including Banno) from higher active users and expanding volumes from existing products and the introduction of new products, other processing and payment processing revenues from expanding volumes and new customer revenue, and remote capture and ACH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320,979</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304,589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643,981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602,849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59 %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second quarter of fiscal 2024 increased 5.4% over the prior fiscal year second quarter. This increase was primarily due to higher direct costs, consistent with increases in the related revenue, increased internal licenses and fees, and higher personnel costs due to an increase in employee headcount in the trailing twelve months. Cost of revenue increased 1% compared to the prior fiscal year quarter as a percentage of total revenue.</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increased 6.8% for the six months ended December 31, 2023, compared to the same period last fiscal year. Reducing cost of revenue for deconversion costs from each period, which were $891 for the current fiscal period and $965 for the prior fiscal period, and for acquisition costs of $ 3,334 from the current fiscal period, results in a 6.3% increase period over period. This increase was primarily due to higher direct costs in line with related increases in revenue, higher personnel costs due to an increase in employee headcount in the trailing twelve months, and increased internal licenses and fees. Cost of revenue remained consistent compared to the prior fiscal year period as a percentage of total revenue.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3100" w:type="dxa"/>
            <w:vAlign w:val="bottom"/>
            <w:gridSpan w:val="2"/>
          </w:tcPr>
          <w:p>
            <w:pPr>
              <w:spacing w:after="0"/>
              <w:rPr>
                <w:sz w:val="20"/>
                <w:szCs w:val="20"/>
                <w:color w:val="auto"/>
              </w:rPr>
            </w:pPr>
            <w:r>
              <w:rPr>
                <w:rFonts w:ascii="Arial" w:cs="Arial" w:eastAsia="Arial" w:hAnsi="Arial"/>
                <w:sz w:val="16"/>
                <w:szCs w:val="16"/>
                <w:color w:val="0000FF"/>
              </w:rPr>
              <w:t xml:space="preserve">Table of </w:t>
            </w:r>
            <w:r>
              <w:rPr>
                <w:rFonts w:ascii="Arial" w:cs="Arial" w:eastAsia="Arial" w:hAnsi="Arial"/>
                <w:sz w:val="17"/>
                <w:szCs w:val="17"/>
                <w:color w:val="000000"/>
              </w:rPr>
              <w:t>Contents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1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24"/>
                <w:szCs w:val="24"/>
                <w:color w:val="auto"/>
              </w:rPr>
            </w:pPr>
          </w:p>
        </w:tc>
        <w:tc>
          <w:tcPr>
            <w:tcW w:w="2800" w:type="dxa"/>
            <w:vAlign w:val="bottom"/>
            <w:gridSpan w:val="7"/>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20" w:type="dxa"/>
            <w:vAlign w:val="bottom"/>
            <w:gridSpan w:val="8"/>
            <w:vMerge w:val="restart"/>
          </w:tcPr>
          <w:p>
            <w:pPr>
              <w:ind w:left="8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2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35,478</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72,370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4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7 %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6 %</w:t>
            </w:r>
          </w:p>
        </w:tc>
        <w:tc>
          <w:tcPr>
            <w:tcW w:w="5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decreased 3.0% for the second quarter of fiscal 2024 compared to the prior fiscal year second quarter. This decrease was primarily due to lower personnel costs, net of capitalization, from a decrease in employee headcount in the trailing twelve months. Research and development expense for the quarter remained consistent compared to the prior fiscal year quarter as a percentage of total revenue.</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4.0% for the six months ended December 31, 2023, compared to the same period last fiscal year. Reducing research and development expense for the effects of acquisitions of $656 for the current fiscal year period results in a 3.1% increase period over period. This increase was primarily due to an increase in personnel costs, net of capitalization, related to the Payrailz acquisition and Jack Henry Platform. Research and development expense for the current fiscal year period decreased 1% compared to the prior fiscal year period as a percentage of total revenue.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2880" w:type="dxa"/>
            <w:vAlign w:val="bottom"/>
            <w:gridSpan w:val="8"/>
          </w:tcPr>
          <w:p>
            <w:pPr>
              <w:ind w:left="100"/>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80" w:type="dxa"/>
            <w:vAlign w:val="bottom"/>
            <w:gridSpan w:val="8"/>
            <w:vMerge w:val="restart"/>
          </w:tcPr>
          <w:p>
            <w:pPr>
              <w:ind w:left="12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rPr>
              <w:t>Change</w:t>
            </w:r>
          </w:p>
        </w:tc>
        <w:tc>
          <w:tcPr>
            <w:tcW w:w="2980" w:type="dxa"/>
            <w:vAlign w:val="bottom"/>
            <w:gridSpan w:val="8"/>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320"/>
              <w:spacing w:after="0" w:line="182" w:lineRule="exact"/>
              <w:rPr>
                <w:sz w:val="20"/>
                <w:szCs w:val="20"/>
                <w:color w:val="auto"/>
              </w:rPr>
            </w:pPr>
            <w:r>
              <w:rPr>
                <w:rFonts w:ascii="Arial" w:cs="Arial" w:eastAsia="Arial" w:hAnsi="Arial"/>
                <w:sz w:val="18"/>
                <w:szCs w:val="18"/>
                <w:b w:val="1"/>
                <w:bCs w:val="1"/>
                <w:color w:val="auto"/>
                <w:w w:val="94"/>
              </w:rPr>
              <w:t>2023</w:t>
            </w: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70,277</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56,788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149,051</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114,013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460" w:type="dxa"/>
            <w:vAlign w:val="bottom"/>
          </w:tcPr>
          <w:p>
            <w:pPr>
              <w:spacing w:after="0"/>
              <w:rPr>
                <w:sz w:val="21"/>
                <w:szCs w:val="21"/>
                <w:color w:val="auto"/>
              </w:rPr>
            </w:pPr>
          </w:p>
        </w:tc>
        <w:tc>
          <w:tcPr>
            <w:tcW w:w="12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13 %</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13 %</w:t>
            </w:r>
          </w:p>
        </w:tc>
        <w:tc>
          <w:tcPr>
            <w:tcW w:w="5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23.8% in the second quarter of fiscal 2024 over the same quarter in the prior fiscal year. Reducing selling, general, and administrative expense for deconversion costs from each quarter, which were $458 for the current fiscal year quarter and $ 362 for the prior fiscal year quarter, and removing the effect of the gain on disposal of assets, net, of $1,207 in the prior fiscal year quarter, results in a 21.1% increase quarter over quarter. This increase was primarily due to higher personnel costs from medical insurance and commissions expenses, and an increase in travel and entertainment and meeting expenses from the user group meeting held during the current quarter. Selling, general, and administrative expense increased 2% as a percentage of total revenue this fiscal quarter versus the prior fiscal year quarter.</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30.7% in the six months ended December 31, 2023, compared to the same period last fiscal year. Reducing selling, general, and administrative expense for the effects of deconversions from each period, which were $ 570 for the current fiscal year period and $604 for the prior fiscal year period, for VEDIP program expenses of $ 16,443 and the effect of the acquisition of $192 in the current fiscal year period and removing the effect of the gain on sale of assets, net, of $7,383 in the prior fiscal year period, results in a 9.2% increase period over period. This increase was primarily due to higher personnel costs from commissions expenses, and a decrease in the gain on sale of assets, net, period over period. Selling, general, and administrative expense increased 2% as a percentage of total revenue this fiscal year period versus the prior fiscal year period.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35"/>
        </w:trPr>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0"/>
                <w:szCs w:val="20"/>
                <w:color w:val="auto"/>
              </w:rPr>
            </w:pPr>
          </w:p>
        </w:tc>
        <w:tc>
          <w:tcPr>
            <w:tcW w:w="1520" w:type="dxa"/>
            <w:vAlign w:val="bottom"/>
            <w:gridSpan w:val="4"/>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313.0 %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9,866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608.8 %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(3,865)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(8,062)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61.8 %</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fluctuated due to changes in interest earned on balances during the three and six months ended December 31, 2023 compared to the three and six months ended December 31, 2022. Interest expense increased when compared to the prior fiscal year quarter and year-to-date period due to increases in prevailing interest rates and amounts borrowed. There was a $255,000 outstanding balance under the credit and term loan facilities at December 31, 2023, and $275,000 outstanding balance under the credit facility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080" w:type="dxa"/>
            <w:vAlign w:val="bottom"/>
            <w:gridSpan w:val="2"/>
          </w:tcPr>
          <w:p>
            <w:pPr>
              <w:spacing w:after="0"/>
              <w:rPr>
                <w:sz w:val="20"/>
                <w:szCs w:val="20"/>
                <w:color w:val="auto"/>
              </w:rPr>
            </w:pPr>
            <w:r>
              <w:rPr>
                <w:rFonts w:ascii="Arial" w:cs="Arial" w:eastAsia="Arial" w:hAnsi="Arial"/>
                <w:sz w:val="16"/>
                <w:szCs w:val="16"/>
                <w:color w:val="0000FF"/>
              </w:rPr>
              <w:t xml:space="preserve">Table of </w:t>
            </w:r>
            <w:r>
              <w:rPr>
                <w:rFonts w:ascii="Arial" w:cs="Arial" w:eastAsia="Arial" w:hAnsi="Arial"/>
                <w:sz w:val="17"/>
                <w:szCs w:val="17"/>
                <w:color w:val="000000"/>
              </w:rPr>
              <w:t>Contents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0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Pr>
          <w:p>
            <w:pPr>
              <w:spacing w:after="0"/>
              <w:rPr>
                <w:sz w:val="24"/>
                <w:szCs w:val="24"/>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940" w:type="dxa"/>
            <w:vAlign w:val="bottom"/>
            <w:gridSpan w:val="8"/>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28,258</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24,435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59,827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57,186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23.5 %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increased for the three and six months ended December 31, 2023 compared to the three and six months ended December 31, 2022 with an effective tax rate of 23.5% and 23.6%, respectively, of income before taxes, compared to 23.2% and 23.4%, respectively, of income before taxes for the same periods last fiscal year. The increases in the effective tax rates were primarily due to the differences in impacts of share-based compensation that vested during each of the comparative periods.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7"/>
          </w:tcPr>
          <w:p>
            <w:pPr>
              <w:jc w:val="center"/>
              <w:ind w:right="460"/>
              <w:spacing w:after="0"/>
              <w:rPr>
                <w:sz w:val="20"/>
                <w:szCs w:val="20"/>
                <w:color w:val="auto"/>
              </w:rPr>
            </w:pPr>
            <w:r>
              <w:rPr>
                <w:rFonts w:ascii="Arial" w:cs="Arial" w:eastAsia="Arial" w:hAnsi="Arial"/>
                <w:sz w:val="18"/>
                <w:szCs w:val="18"/>
                <w:color w:val="auto"/>
                <w:w w:val="99"/>
              </w:rPr>
              <w:t>Six Months Ended</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194"/>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100"/>
              <w:spacing w:after="0" w:line="195"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7"/>
          </w:tcPr>
          <w:p>
            <w:pPr>
              <w:jc w:val="center"/>
              <w:ind w:right="440"/>
              <w:spacing w:after="0" w:line="195" w:lineRule="exact"/>
              <w:rPr>
                <w:sz w:val="20"/>
                <w:szCs w:val="20"/>
                <w:color w:val="auto"/>
              </w:rPr>
            </w:pPr>
            <w:r>
              <w:rPr>
                <w:rFonts w:ascii="Arial" w:cs="Arial" w:eastAsia="Arial" w:hAnsi="Arial"/>
                <w:sz w:val="18"/>
                <w:szCs w:val="18"/>
                <w:color w:val="auto"/>
                <w:w w:val="99"/>
              </w:rPr>
              <w:t>December 31,</w:t>
            </w: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Change</w:t>
            </w: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91,965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80,775</w:t>
            </w:r>
          </w:p>
        </w:tc>
        <w:tc>
          <w:tcPr>
            <w:tcW w:w="1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13.9 %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193,644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187,324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3.4 %</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3.6 %</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13.9% to $91,965, or $1.26 per diluted share, for the second quarter of fiscal 2024 compared to $80,775, or $ 1.10 per diluted share, in the same quarter of fiscal 2023. Reducing net income by deconversion net income of $2,890 for the current fiscal quarter, and by deconversion net income and the effect of the gain on disposal of assets, net, of $4,152 and $918, respectively, for the prior fiscal year second quarter, results in a 17.7% increase quarter over quarter. This increase was primarily due to net organic growth in our lines of revenue partially offset by higher operating expenses and increased provision for income taxes in the second quarter of fiscal 2024 compared to the same quarter last fiscal year.</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3.4% to $193,644, or $2.65 per diluted share, for the six months ended December 31, 2023, compared to $187,324, or $2.56 per diluted share, in the same period of fiscal 2023. Removing from net income the effects of deconversion net income of $5,744, net loss from the acquisition of $3,539, and net loss from the VEDIP program of $12,497 for the current fiscal year period, and for the effects of deconversion net income of $7,090 and the gain on sale of assets, net, of $5,612 for the prior year fiscal period, results in a 16.8% increase period over period. This increase was primarily due to net organic growth in our lines of revenue partially offset by higher operating expenses and increased provision for income taxes in the six months ended December 31, 2023 compared to the same period last fiscal year.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the other three segments, as well as operating expenses not directly attributable to the other three segments, except for items that are deemed unassigned and excluded from any segment.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and six months ended December 31, 2022. These reclasses were made to be consistent with the current allocation of revenue and cost of revenue by segment. Revenue reclassed for the three and six months ended December 31, 2022, from Core to Corporate and Other was $1,851 and $3,661, respectively, from Payments to Corporate and Other was $10 and $16, respectively, and from Complementary to Corporate and Other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was $174 and $ 108, respectively. Cost of revenue reclassed for the three and six months ended December 31, 2022, from Core to Corporate and Other was $1,658 and $3,294, respectively, from Payments to Corporate and Other was $658 and $1,261, respectively, and from Complementary to Corporate and Other was $326 and $659,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165,601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153,539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352,041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326,853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69,370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66,666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145,296</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7.9% and cost of revenue increased 4.1% for the three months ended December 31, 2023, compared to the three months ended December 31, 2022. Reducing Core revenue for deconversion revenue in both quarters, which totaled $1,929 for the three months ended December 31, 2023, and $2,115 for the three months ended December 31, 2022, results in an 8.1% increase quarter over quarter. This increase was primarily driven by growth in data processing and hosting revenues as new and existing customers migrate to our private cloud and processing volumes expand. Reducing Core cost of revenue for deconversion costs in both quarters, which totaled $321 for the three months ended December 31, 2023 and $277 for the three months ended December 31, 2022, results in a 4.0% increase quarter over quarter. This increase was primarily due to increased direct costs related to increases in revenue. Cost of revenue decreased 2% as a percentage of revenue for the second quarter of fiscal 2024 compared to the same quarter in fiscal 2023.</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7.7% and cost of revenue increased 5.8% for the six months ended December 31, 2023, compared to the six months ended December 31, 2022. Reducing Core revenue for deconversion revenue in both periods, which totaled $3,595 for the six months ended December 31, 2023, and $3,933 for the six months ended December 31, 2022, results in a 7.9% increase period over period. This increase was primarily driven by the growth in data processing and hosting revenues as new and existing customers migrate to our private cloud and processing volumes expand. Reducing Core cost of revenue for deconversion costs in both periods, which totaled $425 for the six months ended December 31, 2023 and $418 for the six months ended December 31, 2022 results in a 5.9% increase period over period. This increase was primarily due to increased direct costs related to increases in revenue. Cost of revenue decreased 1% as a percentage of revenue for the six months ended December 31, 2023, compared to the same period in fiscal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203,839</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191,477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403,195</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378,010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111,623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107,413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220,449</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207,965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6.5% and cost of revenue increased 3.9% for the second quarter of fiscal 2024 compared to the equivalent quarter of the prior fiscal year. Reducing Payments revenue for deconversion revenue in both quarters, which totaled $1,555 for the second quarter of fiscal 2024 and $1,336 for the second quarter of fiscal 2023 results in a 6.4% increase quarter over quarter. This increase was primarily due to higher card revenue primarily from expanded fraud detection and prevention revenues and organic growth in transaction volumes, and higher remote capture and ACH and payment processing revenues primarily from expanding volumes and new customer revenue. Reducing Payments cost of revenue for deconversion costs in both quarters, which totaled $51 for the second quarter of fiscal 2024 and $95 for the second quarter of fiscal 2023, results in a 4.0% increase quarter over quarter. This increase was primarily due to higher direct costs related to increases in revenue. Cost of revenue as a percentage of revenue decreased 1% for the second quarter of fiscal 2024 compared to the same quarter in fiscal 2023.</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6.7% and cost of revenue increased 6.0% for the six months ended December 31, 2023, compared to the equivalent period of the prior fiscal year. Reducing Payments revenue for deconversion revenue in both periods, which totaled $2,560 for the six months ended December 31, 2023 and $2,771 for the six months ended December 31, 2022, and acquisition revenue of $1,945 from the current fiscal year period, results in a 6.2% increase period over period. This increase was primarily due to higher card revenue primarily from expanded fraud detection and prevention revenues and organic growth in transaction volumes, higher payment processing revenue primarily from expanding volumes and new customer revenue, and remote capture and ACH revenue. Reducing Payments cost of revenue for deconversion costs in both periods, which totaled $98 for the six months ended December 31, 2023 and $159 for the six months ended December 31, 2022, and for cost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revenue from the acquisition of $ 3,313 from the current fiscal year period, results in a 4.4% increase period over period. This increase was primarily due to higher direct costs related to increases in revenues and higher personnel costs from an increase in employee headcount in the trailing twelve months. Cost of revenue as a percentage of revenue remained consistent for the six months ended December 31, 2023, compared to the same period in fiscal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Complementary</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17"/>
                <w:szCs w:val="17"/>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4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152,466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142,121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313,833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290,539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64,023</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58,944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126,298</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117,049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7.3% and cost of revenue increased 8.6% for the second quarter of fiscal 2024 compared to the equivalent quarter of the prior fiscal year. Reducing Complementary revenue for deconversion revenue in both periods, which totaled $1,355 for the second quarter of fiscal 2024 and $2,914 for the second quarter of fiscal 2023 results in an 8.6% increase quarter over quarter. This increase was primarily driven by higher Jack Henry digital revenue as active users increased and volumes expanded from existing products and new products were introduced, and hosting revenues as new and existing customers continued to migrate to our private cloud and processing volumes expanded. Reducing Complementary cost of revenue for deconversion costs in both quarters, which totaled $249 for the second quarter of fiscal 2024 and $174 for the second quarter of fiscal 2023, results in an 8.5% increase quarter over quarter. This increase was primarily due to increased amortization of capitalized software from capital software development projects and higher direct costs related to increases in revenues. Cost of revenue as a percentage of revenue remained consistent for the second quarter of fiscal 2024 compared to the same quarter in fiscal 2023.</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8.0% and cost of revenue increased 7.9% for the six months ended December 31, 2023, compared to the equivalent period of the prior fiscal year. Reducing Complementary revenue for deconversion revenue in both periods, which totaled $ 2,806 for the six months ended December 31, 2023 and $4,149 for the six months ended December 31, 2022, results in an 8.6% increase period over period. This increase was primarily driven by higher Jack Henry digital revenue as active users increased and volumes expanded from existing products and new products were introduced, and hosting revenues, as new and existing customers continued to migrate to our private cloud and processing volumes expanded. Complementary segment deconversion costs did not significantly affect the Complementary segment cost of revenue increase period over period. The Complementary segment cost of revenue increase was primarily due to higher direct costs related to increases in revenue, increased amortization of capitalized software from capital software development projects, and higher internal licenses and fees. Cost of revenue as a percentage of revenue remained consistent for the six months ended December 31, 2023, compared to the same period in fiscal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23,795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18,177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48,000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39,114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75,963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71,566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151,938</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increased 30.9% for the second quarter of fiscal 2024 compared to the equivalent quarter of the prior fiscal year. This increase was primarily due to higher user group revenues related to the user group meeting held in the current quarter that was held during the first quarter in the prior fiscal year. Corporate and Other segment deconversion revenue did not significantly affect Corporate and Other revenue increase quarter over quarter.</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the other three segments. The cost of revenue in the second quarter of fiscal 2024 increased 6.1% when compared to the prior fiscal year quarter. This increase was primarily due to higher internal licenses and fees quarter over quarter. Corporate and Other segment deconversion and acquisition costs did not significantly affect the Corporate and Other cost of revenue increase quarter over quarter.</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increased 22.7% for the six months ended December 31, 2023, compared to the equivalent period of the prior fiscal year. This increase was primarily due to higher hardware and other processing revenues period over period. Corporate and Other segment deconversion revenue did not significantly affect the Corporate and Other revenue increase period over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w:t>
      </w:r>
      <w:r>
        <w:rPr>
          <w:rFonts w:ascii="Arial" w:cs="Arial" w:eastAsia="Arial" w:hAnsi="Arial"/>
          <w:sz w:val="16"/>
          <w:szCs w:val="16"/>
          <w:color w:val="0000FF"/>
        </w:rPr>
        <w:t xml:space="preserve"> </w:t>
      </w:r>
      <w:r>
        <w:rPr>
          <w:rFonts w:ascii="Arial" w:cs="Arial" w:eastAsia="Arial" w:hAnsi="Arial"/>
          <w:sz w:val="17"/>
          <w:szCs w:val="17"/>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 of revenue in the six months ended December 31, 2023, increased 8.1% when compared to the prior fiscal year period. This increase was primarily due to higher internal licenses and fees, increased personnel costs, including salaries and benefits expenses, and higher cost of hardware related to the revenue increase. Corporate and Other segment deconversion and acquisition costs did not significantly affect the Corporate and Other cost of revenue increase period over period.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increased to $26,709 at December 31, 2023, from $12,243 at June 30,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98,292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73,405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(130,529)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(125,433)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238,672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190,711</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operating activities for the first six months of fiscal 2024 increased 25% compared to the same period last year primarily due to a lower decrease in accrued expenses period over period. Cash from operations is primarily used to repay debt, pay dividends, repurchase stock, for capital expenditures, and acquisitions.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six months of fiscal 2024 totaled $110,959 and included: $83,408 for the ongoing enhancement and development of existing and new product and service offerings; capital expenditures on facilities and equipment of $ 24,458; $2,971 for the purchase and development of internal use software; and the purchase of investment of $1,000. Cash uses were partially offset by proceeds from the sale of assets of $ 878. Cash used in investing activities for the first six months of fiscal 2023 totaled $301,192 and included: $229,628 for an acquisition; $81,046 for the development of software; $ 17,376 for capital expenditures; and $1,027 for the purchase and development of internal use software. Cash uses were partially offset by proceeds from the sale of assets of $27,885.</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used cash of $113,247 for the first six months of fiscal 2024 and included payments on credit facilities of $240,000, dividends paid to stockholders of $75,722, and purchases of treasury stock of $20,000. Cash uses were partially offset by borrowings on credit facilities of $220,000 and $2,475 net cash inflow from the issuance of stock and tax withholding related to stock-based compensation. Financing activities provided cash of $87,457 in the first six months of fiscal 2023 and included borrowings on credit facilities of $365,000 partially offset by repayments on credit facilities and financing leases of $205,042, $71,454 for the payment of dividends, and $1,047 net cash outflow from the issuance of stock and tax withholding related to stock-based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$24,458 and $17,376 for the six months ended December 31, 2023, and December 31, 2022, respectively, were made primarily for additional equipment and the improvement of existing facilities. These additions were funded from cash generated by operations. Total consolidated capital expenditures on facilities and equipment for the Company for fiscal year 2024 are expected to be approximately $77,000 and have been or will be funded from our credit facilities and cash generated by operations.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2023, the Company conducted a voluntary separation program for certain eligible employees that includes a voluntary employee departure incentive payment (VEDIP) for the eligible employees who chose to participate in the program. The Company made payments associated with the VEDIP program in the approximate amount of $16,443 from July 2023 through December 2023, including immaterial payments continuing into calendar 2024.</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8, 2023, the Company entered into a contract to purchase fixed assets that added contractual spend obligations of $30,392 for the period of December 15, 2023, through June 30, 2025. This commitment is in addition to the commitments discussed in our Annual Report on Form 10-K for the year ended June 30, 2023.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2023, there were 31,323 shares in treasury stock and the Company had the remaining authority to repurchase up to 3,667 additional shares. The total cost of treasury shares at December 31, 2023, was $1,852,118, and the Company repurchased 129 shares during the first six months of fiscal 2024. At June 30, 2023, there were 31,194 shares in treasury stock and the Company had the remaining authority to repurchase up to 3,796 additional shares. The total cost of treasury shares at June 30, 2023, was $1,832,118 and the Company repurchased no shares during the first six months of fiscal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2023, the Company was in compliance with all such covenants. The amended and restated credit facility terminates August 31, 2027. There was $75,000 and $95,000 outstanding under the amended and restated credit facility at December 31, 2023 and June 30, 2023,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December 31, 2023, the Company was in compliance with all such covenants. The term loan credit agreement has a maturity date of May 16, 2025. There was $180,000 outstanding under the term loan at December 31, 2023 and June 30,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2025. There was no balance outstanding at December 31, 2023, or June 30, 2023.</w:t>
      </w:r>
    </w:p>
    <w:p>
      <w:pPr>
        <w:spacing w:after="0" w:line="369" w:lineRule="exact"/>
        <w:rPr>
          <w:sz w:val="20"/>
          <w:szCs w:val="20"/>
          <w:color w:val="auto"/>
        </w:rPr>
      </w:pPr>
    </w:p>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interest risk on outstanding debt. We do not currently use any derivative financial instruments. We actively monitor these risks through a variety of controlled procedures involving senior management.</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$255,000 outstanding debt with variable interest rates as of December 31, 2023, and a 1% increase in our borrowing rate would increase our annual interest expense by $2,550.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December 31, 2023,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Total Number of</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56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 October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November 1 - November 30, 2023</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 December 31, 2023</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3,667,497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31,323,119 shares and has repurchased and re-issued 9,384 shares. These authorizations have no specific dollar or share price targets and no expiration dates.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December 31, 2023, and June 30, 2023, (ii) the Condensed Consolidated Statements of Income for the three and six months ended December 31, 2023, and 2022, (iii) the Condensed Consolidated Statements of Changes in Shareholders' Equity for the three and six months ended December 31, 2023, and 2022, (iv) the Condensed Consolidated Statements of Cash Flows for the six months ended December 31, 2023, and 2022,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8, 2024</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8, 2024</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six month period ended December 31,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six month period ended December 31,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2024-02-08T15:58:30Z</dcterms:created>
  <dcterms:modified xsi:type="dcterms:W3CDTF">2024-02-08T15:58:30Z</dcterms:modified>
</cp:coreProperties>
</file>