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December 31,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26, 2023, the Registrant had 72,990,727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December 31, 2022, and June 30, 2022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Six Months Ended December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Six</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December 31, 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Six Months Ended December 31, 2022</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2022,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center"/>
              <w:ind w:left="31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20"/>
                <w:szCs w:val="2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246,378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348,072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127,785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125,537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20,201</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613,524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203,360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211,709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152,991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309,178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293,526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1,905,689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1,630,331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2,578,277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13,198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21,034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31,668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330,687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265,019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292,630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50,996</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659,750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530,111</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1,067,287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1,073,941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104,027,008 shares issued at December 31, 2022;</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103,921,724 shares issued at June 30, 2022</w:t>
            </w:r>
          </w:p>
        </w:tc>
        <w:tc>
          <w:tcPr>
            <w:tcW w:w="22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564,856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551,360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2,636,342</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31,042,903 shares at December 31, 2022;</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(1,807,118)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(1,807,118)</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31,042,903 shares at June 30, 2022</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1,381,623</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2,578,277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92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40" w:type="dxa"/>
            <w:vAlign w:val="bottom"/>
            <w:gridSpan w:val="7"/>
          </w:tcPr>
          <w:p>
            <w:pPr>
              <w:jc w:val="center"/>
              <w:ind w:right="66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2021</w:t>
            </w:r>
          </w:p>
        </w:tc>
      </w:tr>
      <w:tr>
        <w:trPr>
          <w:trHeight w:val="236"/>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505,314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1,034,516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981,952</w:t>
            </w:r>
          </w:p>
        </w:tc>
      </w:tr>
      <w:tr>
        <w:trPr>
          <w:trHeight w:val="257"/>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304,589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602,849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559,460</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56,670</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56,788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114,013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106,565</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397,938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786,416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722,695</w:t>
            </w:r>
          </w:p>
        </w:tc>
      </w:tr>
      <w:tr>
        <w:trPr>
          <w:trHeight w:val="236"/>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107,376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248,100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259,257</w:t>
            </w:r>
          </w:p>
        </w:tc>
      </w:tr>
      <w:tr>
        <w:trPr>
          <w:trHeight w:val="257"/>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105,210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244,510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258,574</w:t>
            </w:r>
          </w:p>
        </w:tc>
      </w:tr>
      <w:tr>
        <w:trPr>
          <w:trHeight w:val="257"/>
        </w:trPr>
        <w:tc>
          <w:tcPr>
            <w:tcW w:w="3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24,435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57,186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60,791</w:t>
            </w:r>
          </w:p>
        </w:tc>
      </w:tr>
      <w:tr>
        <w:trPr>
          <w:trHeight w:val="257"/>
        </w:trPr>
        <w:tc>
          <w:tcPr>
            <w:tcW w:w="3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187,324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197,783</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72,929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73,798</w:t>
            </w:r>
          </w:p>
        </w:tc>
      </w:tr>
      <w:tr>
        <w:trPr>
          <w:trHeight w:val="256"/>
        </w:trPr>
        <w:tc>
          <w:tcPr>
            <w:tcW w:w="3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73,144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73,141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7"/>
          </w:tcPr>
          <w:p>
            <w:pPr>
              <w:jc w:val="center"/>
              <w:ind w:left="29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8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240" w:type="dxa"/>
            <w:vAlign w:val="bottom"/>
            <w:gridSpan w:val="7"/>
          </w:tcPr>
          <w:p>
            <w:pPr>
              <w:jc w:val="center"/>
              <w:ind w:left="2910"/>
              <w:spacing w:after="0"/>
              <w:rPr>
                <w:sz w:val="20"/>
                <w:szCs w:val="20"/>
                <w:color w:val="auto"/>
              </w:rPr>
            </w:pPr>
            <w:r>
              <w:rPr>
                <w:rFonts w:ascii="Arial" w:cs="Arial" w:eastAsia="Arial" w:hAnsi="Arial"/>
                <w:sz w:val="18"/>
                <w:szCs w:val="18"/>
                <w:color w:val="auto"/>
              </w:rPr>
              <w:t>(In Thousands, Except Share and Per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9"/>
                <w:szCs w:val="19"/>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0"/>
                <w:szCs w:val="20"/>
                <w:color w:val="auto"/>
              </w:rPr>
            </w:pPr>
          </w:p>
        </w:tc>
        <w:tc>
          <w:tcPr>
            <w:tcW w:w="276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103,953,128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103,822,265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103,921,724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103,795,169</w:t>
            </w: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26,533</w:t>
            </w:r>
          </w:p>
        </w:tc>
      </w:tr>
      <w:tr>
        <w:trPr>
          <w:trHeight w:val="229"/>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35,200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38,544</w:t>
            </w:r>
          </w:p>
        </w:tc>
      </w:tr>
      <w:tr>
        <w:trPr>
          <w:trHeight w:val="248"/>
        </w:trPr>
        <w:tc>
          <w:tcPr>
            <w:tcW w:w="5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104,027,008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103,860,246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104,027,008</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103,860,246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r>
      <w:tr>
        <w:trPr>
          <w:trHeight w:val="250"/>
        </w:trPr>
        <w:tc>
          <w:tcPr>
            <w:tcW w:w="5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w:t>
            </w: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564,856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564,856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535,493</w:t>
            </w:r>
          </w:p>
        </w:tc>
      </w:tr>
      <w:tr>
        <w:trPr>
          <w:trHeight w:val="250"/>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2,707,182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2,480,574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2,412,496</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187,324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197,783</w:t>
            </w: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(71,454)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(67,696)</w:t>
            </w: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2,752,212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2,752,212</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2,542,583</w:t>
            </w:r>
          </w:p>
        </w:tc>
      </w:tr>
      <w:tr>
        <w:trPr>
          <w:trHeight w:val="250"/>
        </w:trPr>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(1,613,202)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(1,613,202)</w:t>
            </w: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(193,917)</w:t>
            </w: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(1,807,119)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(1,807,119)</w:t>
            </w:r>
          </w:p>
        </w:tc>
      </w:tr>
      <w:tr>
        <w:trPr>
          <w:trHeight w:val="250"/>
        </w:trPr>
        <w:tc>
          <w:tcPr>
            <w:tcW w:w="5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1,510,990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1,510,990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1,271,996</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648"/>
        </w:trPr>
        <w:tc>
          <w:tcPr>
            <w:tcW w:w="5140" w:type="dxa"/>
            <w:vAlign w:val="bottom"/>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42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187,324</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197,783</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24,766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25,843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(27,611)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102,672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70,468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(7,696)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47,025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(119,822)</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190,711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197,351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(17,376)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(22,373)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(81,046)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(71,353)</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(301,192)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(101,052)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financing leases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(205,042)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(80,065)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(193,917)</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(71,454)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(67,696)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(118,171)</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(23,024)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25,763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"JKHY," or the "Company") is a well-rounded financial technology company. JKHY was founded in 1976 as a provider of core information processing solutions for banks. Today, the Company’s extensive array of products and services includes processing transactions, automating business processes, and managing information for approximately 7,800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JKHY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December 31, 2022 and 2021,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following table summarizes allowance for credit losses activity for the fiscal quarter and year-to-date periods ended December 31, 2022, and 2021:</w:t>
      </w:r>
    </w:p>
    <w:tbl>
      <w:tblPr>
        <w:tblLayout w:type="fixed"/>
        <w:tblInd w:w="0" w:type="dxa"/>
        <w:tblCellMar>
          <w:top w:w="0" w:type="dxa"/>
          <w:left w:w="0" w:type="dxa"/>
          <w:bottom w:w="0" w:type="dxa"/>
          <w:right w:w="0" w:type="dxa"/>
        </w:tblCellMar>
      </w:tblPr>
      <w:tr>
        <w:trPr>
          <w:trHeight w:val="235"/>
        </w:trPr>
        <w:tc>
          <w:tcPr>
            <w:tcW w:w="3580" w:type="dxa"/>
            <w:vAlign w:val="bottom"/>
          </w:tcPr>
          <w:p>
            <w:pPr>
              <w:spacing w:after="0"/>
              <w:rPr>
                <w:sz w:val="20"/>
                <w:szCs w:val="20"/>
                <w:color w:val="auto"/>
              </w:rPr>
            </w:pPr>
          </w:p>
        </w:tc>
        <w:tc>
          <w:tcPr>
            <w:tcW w:w="3600" w:type="dxa"/>
            <w:vAlign w:val="bottom"/>
            <w:gridSpan w:val="9"/>
          </w:tcPr>
          <w:p>
            <w:pPr>
              <w:ind w:left="320"/>
              <w:spacing w:after="0"/>
              <w:rPr>
                <w:sz w:val="20"/>
                <w:szCs w:val="20"/>
                <w:color w:val="auto"/>
              </w:rPr>
            </w:pPr>
            <w:r>
              <w:rPr>
                <w:rFonts w:ascii="Arial" w:cs="Arial" w:eastAsia="Arial" w:hAnsi="Arial"/>
                <w:sz w:val="18"/>
                <w:szCs w:val="18"/>
                <w:color w:val="auto"/>
              </w:rPr>
              <w:t>Three Months Ended December 31,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1120" w:type="dxa"/>
            <w:vAlign w:val="bottom"/>
            <w:tcBorders>
              <w:top w:val="single" w:sz="8" w:color="auto"/>
            </w:tcBorders>
            <w:gridSpan w:val="3"/>
          </w:tcPr>
          <w:p>
            <w:pPr>
              <w:jc w:val="right"/>
              <w:ind w:right="60"/>
              <w:spacing w:after="0" w:line="182"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55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right"/>
              <w:ind w:right="660"/>
              <w:spacing w:after="0" w:line="182" w:lineRule="exact"/>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660"/>
              <w:spacing w:after="0" w:line="182" w:lineRule="exact"/>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Allowance for credit losses - beginning</w:t>
            </w: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c>
          <w:tcPr>
            <w:tcW w:w="6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w:t>
            </w:r>
          </w:p>
        </w:tc>
        <w:tc>
          <w:tcPr>
            <w:tcW w:w="6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320" w:type="dxa"/>
            <w:vAlign w:val="bottom"/>
            <w:gridSpan w:val="3"/>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line="176" w:lineRule="exact"/>
              <w:rPr>
                <w:sz w:val="20"/>
                <w:szCs w:val="20"/>
                <w:color w:val="auto"/>
              </w:rPr>
            </w:pPr>
            <w:r>
              <w:rPr>
                <w:rFonts w:ascii="Arial" w:cs="Arial" w:eastAsia="Arial" w:hAnsi="Arial"/>
                <w:sz w:val="18"/>
                <w:szCs w:val="18"/>
                <w:color w:val="auto"/>
              </w:rPr>
              <w:t>Current provision for expected credit</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960</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losses</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line="176" w:lineRule="exact"/>
              <w:rPr>
                <w:sz w:val="20"/>
                <w:szCs w:val="20"/>
                <w:color w:val="auto"/>
              </w:rPr>
            </w:pPr>
            <w:r>
              <w:rPr>
                <w:rFonts w:ascii="Arial" w:cs="Arial" w:eastAsia="Arial" w:hAnsi="Arial"/>
                <w:sz w:val="18"/>
                <w:szCs w:val="18"/>
                <w:color w:val="auto"/>
              </w:rPr>
              <w:t>Recoveries of amounts previously written</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3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off</w:t>
            </w: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Allowance for credit losses - ending</w:t>
            </w:r>
          </w:p>
        </w:tc>
        <w:tc>
          <w:tcPr>
            <w:tcW w:w="66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8,184</w:t>
            </w:r>
          </w:p>
        </w:tc>
        <w:tc>
          <w:tcPr>
            <w:tcW w:w="100" w:type="dxa"/>
            <w:vAlign w:val="bottom"/>
          </w:tcPr>
          <w:p>
            <w:pPr>
              <w:spacing w:after="0"/>
              <w:rPr>
                <w:sz w:val="13"/>
                <w:szCs w:val="13"/>
                <w:color w:val="auto"/>
              </w:rPr>
            </w:pPr>
          </w:p>
        </w:tc>
        <w:tc>
          <w:tcPr>
            <w:tcW w:w="66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b w:val="1"/>
                <w:bCs w:val="1"/>
                <w:color w:val="auto"/>
              </w:rPr>
              <w:t>7,733</w:t>
            </w:r>
          </w:p>
        </w:tc>
        <w:tc>
          <w:tcPr>
            <w:tcW w:w="10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8,184</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$8,184</w:t>
            </w:r>
          </w:p>
        </w:tc>
        <w:tc>
          <w:tcPr>
            <w:tcW w:w="6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7,733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w:t>
            </w:r>
          </w:p>
        </w:tc>
        <w:tc>
          <w:tcPr>
            <w:tcW w:w="6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December 31, 2022, totaled $461,010 and at June 30, 2022, totaled $454,879.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$1,078,867 and $1,030,800 at December 31, 2022, and June 30, 2022,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and June 30, 2022, the Company had an investment in the preferred stock of Automated Bookkeeping,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2022, and June 30, 2022, there were 31,043 shares in treasury stock and the Company had the remaining authority to repurchase up to 3,948 additional shares. The total cost of treasury shares at December 31, 2022, and June 30, 2022, was $1,807,118. During the first six months of fiscal 2023, the Company did not repurchase any shares of its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2022. The accounting policies followed by the Company are set forth in Note 1 to the Company's consolidated financial statements included in its Form 10-K for the fiscal year ended June 30, 2022, with updates to certain policies included in this Note 1.</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December 31, 2022, the results of its operations for the three and six months ended December 31, 2022 and 2021, changes in stockholders' equity for the three and six months ended December 31, 2022 and 2021, and its cash flows for the six months ended December 31, 2022 and 2021. The condensed consolidated balance sheet at June 30, 2022, was derived from audited annual financial statements, but does not contain all of the footnote disclosures from the annual financial statements.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six months ended December 31, 2022,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determined there was not a material impact to the Company’s condensed consolidated financial statements as of and for the quarter ended December 31, 2022, as a result of the continuing impact of the COVID-19 pandemic. However, the extent to which the COVID-19 pandemic may impact the Company's future operational and financial performance remains uncertain and difficult to predict. The Company will continue to monitor developments related to the COVID-19 pandemic.</w:t>
      </w:r>
    </w:p>
    <w:p>
      <w:pPr>
        <w:spacing w:after="0" w:line="1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880" w:type="dxa"/>
            <w:vAlign w:val="bottom"/>
            <w:gridSpan w:val="10"/>
          </w:tcPr>
          <w:p>
            <w:pPr>
              <w:ind w:left="460"/>
              <w:spacing w:after="0"/>
              <w:rPr>
                <w:sz w:val="20"/>
                <w:szCs w:val="20"/>
                <w:color w:val="auto"/>
              </w:rPr>
            </w:pPr>
            <w:r>
              <w:rPr>
                <w:rFonts w:ascii="Arial" w:cs="Arial" w:eastAsia="Arial" w:hAnsi="Arial"/>
                <w:sz w:val="18"/>
                <w:szCs w:val="18"/>
                <w:color w:val="auto"/>
              </w:rPr>
              <w:t>Three Months Ended December 31,</w:t>
            </w:r>
          </w:p>
        </w:tc>
        <w:tc>
          <w:tcPr>
            <w:tcW w:w="340" w:type="dxa"/>
            <w:vAlign w:val="bottom"/>
          </w:tcPr>
          <w:p>
            <w:pPr>
              <w:spacing w:after="0"/>
              <w:rPr>
                <w:sz w:val="20"/>
                <w:szCs w:val="20"/>
                <w:color w:val="auto"/>
              </w:rPr>
            </w:pPr>
          </w:p>
        </w:tc>
        <w:tc>
          <w:tcPr>
            <w:tcW w:w="3460" w:type="dxa"/>
            <w:vAlign w:val="bottom"/>
            <w:gridSpan w:val="8"/>
          </w:tcPr>
          <w:p>
            <w:pPr>
              <w:jc w:val="right"/>
              <w:ind w:right="58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3560" w:type="dxa"/>
            <w:vAlign w:val="bottom"/>
          </w:tcPr>
          <w:p>
            <w:pPr>
              <w:spacing w:after="0"/>
              <w:rPr>
                <w:sz w:val="15"/>
                <w:szCs w:val="15"/>
                <w:color w:val="auto"/>
              </w:rPr>
            </w:pPr>
          </w:p>
        </w:tc>
        <w:tc>
          <w:tcPr>
            <w:tcW w:w="118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2022</w:t>
            </w: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138,340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302,129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273,982</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79,499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116,117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131,014</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78,372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192,603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188,708</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Services &amp; Support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290,700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296,211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610,849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593,704</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214,614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197,685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423,667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388,248</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505,314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493,896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1,034,516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981,952</w:t>
            </w: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35"/>
        </w:trPr>
        <w:tc>
          <w:tcPr>
            <w:tcW w:w="77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24,136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214,742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330,687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reported in a net contract asset or liability position on a contract-by-contract basis at the end of each reporting period.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December 31, 2022, and 2021, the Company recognized revenue of $83,145 and $94,862, respectively, that was included in the corresponding deferred revenue balance at the beginning of the periods. For the six months ended December 31, 2022, and 2021, the Company recognized revenue of $159,393 and $166,273, respectively, that was included in the corresponding deferred revenue balance at the beginning of the periods.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2022, estimated revenue expected to be recognized in the future related to performance obligations that are unsatisfied (or partially unsatisfied) at the end of the reporting period totaled $5,654,930. The Company expects to recognize approximately 25% over the next 12 months, 20% in 13-24 months, and the balance thereafter.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$410,904 and $380,095, at December 31, 2022, and June 30, 2022, respectively.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December 31, 2022, and 2021, amortization of deferred contract costs totaled $34,861 and $32,154, respectively. During the six months ended December 31, 2022, and 2021, amortization of deferred contract costs totaled $76,841 and $67,998, respectively. There were no impairment losses in relation to capitalized costs for the periods presented.</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r>
    </w:tbl>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to 11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2022, and June 30, 2022, the Company had operating lease assets of $43,743 and $46,869 and financing lease assets of $20 and $65, respectively. At December 31, 2022, total operating lease liabilities of $48,116 were comprised of current operating lease liabilities of $10,246 and noncurrent operating lease liabilities of $37,870. At December 31, 2022, total financing lease liabilities of $21 were all current liabilities. At June 30, 2022, total operating lease liabilities of $51,452 were comprised of current operating lease liabilities of $10,681 and noncurrent operating lease liabilities of $40,771. At December 31, 2022, total financing lease liabilities of $67 were all current financing lease liabilities.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$35,636 and $31,006 as of December 31, 2022, and June 30, 2022, respectively. Financing lease assets are included within property and equipment, net, and financing lease liabilities are included within notes payable (current portion) and long-term debt (noncurrent portion) in the Company’s condensed consolidated balance sheet. Financing lease assets were recorded net of accumulated amortization of $295 and $255 as of December 31, 2022, and June 30, 2022, respectively.</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Operating lease costs for the three months ended December 31, 2022, and 2021, were $3,029 and $3,327, respectively. Financing lease costs for the three months ended December 31, 2022, and 2021, were $20 and $27,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respectively. Total operating and financing lease costs for the respective quarters included variable lease costs of $962 and $441, respectively. Operating lease costs for the six months ended December 31, 2022, and 2021, were $6,088 and $6,759, respectively. Financing lease costs for the six months ended December 31, 2022, and 2021, were $40 and $55, respectively. Total operating and financing lease costs for the respective fiscal year-to-date periods included variable lease costs of $1,890 and $840, respectively. Operating and financing lease expense are included within cost of services, research and development, and selling, general &amp; administrative expense, dependent upon the nature and use of the ROU asset, in the Company’s condensed consolidated statement of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six months ended December 31, 2022, and 2021, the Company had operating cash flows for payments on operating leases of $6,202 and $6,802, and ROU assets obtained in exchange for operating lease liabilities of $2,282 and $1,870, respectively. Operating cash flows for interest paid on financing leases for the six months ended December 31, 2022, and 2021, were $42 and $55, respectively.</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and June 30, 2022, the weighted-average remaining lease term for the Company's operating leases was 72 months and 76 months, and the weighted-average discount rate was 2.59% and 2.58%, respectively. As of December 31, 2022, and June 30, 2022, the weighted-average remaining lease term for the Company's financing leases was 3 months and 9 months, respectively. The weighted-average discount rate for the Company's financing leases was 2.19% as of December 31, 2022, and 2.29% as of June 30, 2022.</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10,696</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7,046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14,296</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52,134</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48,116</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quarter, so a maturity of lease liabilities table has only been included for operating leases.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Lease payments include $5,464 related to options to extend lease terms that are reasonably certain of being exercised. At December 31, 2022, there were $6,128 of legally binding lease payments for leases signed but not yet commenced.</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facility described below.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2022, the Company was in compliance with all such covenants. The amended and restated credit facility terminates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August 31, 2027. There was $275,000 outstanding under the amended and restated credit facility at December 31, 2022.</w:t>
      </w:r>
    </w:p>
    <w:p>
      <w:pPr>
        <w:spacing w:after="0" w:line="9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June 30, 2022, there was a $115,000 outstanding balance on the prior credit facility that was entered into on February 10, 2020. The prior credit facility was a five-year senior, unsecured revolving credit facility. The prior credit facility allowed for borrowings of up to $300,000,</w:t>
      </w:r>
    </w:p>
    <w:p>
      <w:pPr>
        <w:jc w:val="both"/>
        <w:spacing w:after="0" w:line="226" w:lineRule="auto"/>
        <w:rPr>
          <w:sz w:val="20"/>
          <w:szCs w:val="20"/>
          <w:color w:val="auto"/>
        </w:rPr>
      </w:pPr>
      <w:r>
        <w:rPr>
          <w:rFonts w:ascii="Arial" w:cs="Arial" w:eastAsia="Arial" w:hAnsi="Arial"/>
          <w:sz w:val="18"/>
          <w:szCs w:val="18"/>
          <w:color w:val="auto"/>
        </w:rPr>
        <w:t>which could be increased by the Company to $700,000 at any time until maturity. The prior credit facility bore interest at a variable rate equal to (a) a rate based on a eurocurrency rate or (b) an alternate base rate (the highest of (i) 0%, (ii) the U.S. Bank prime rate for such day, (iii)</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December 31, 2022, or June 30,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$2,724 and $604 during the six months ended December 31, 2022, and 2021,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decreased for the three months ended December 31, 2022, compared to the three months ended December 31, 2021, with an effective tax rate of 23.2% of income before income taxes, compared to 23.6% in the prior fiscal year quarter. The decrease in the effective tax rate was primarily due to a larger excess tax benefit received from share-based compensation in the current fiscal year quarter.</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six months ended December 31, 2022, the effective tax rate decreased compared to the six months ended December 31, 2021, with an effective tax rate of 23.4% of income before taxes, compared to 23.5% for the same period last fiscal year.</w:t>
      </w:r>
    </w:p>
    <w:p>
      <w:pPr>
        <w:spacing w:after="0" w:line="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paid income taxes, net of refunds, of $37,213 and $40,687 in the six months ended December 31, 2022 and 2021, respectively.</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2022, the Company had $10,214 of gross unrecognized tax benefits before interest and penalties, $9,083 of which, if recognized, would affect our effective tax rate. The Company had accrued interest and penalties of $1,546 and $1,425 related to uncertain tax positions at December 31, 2022, and 2021, respectively.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returns for fiscal 2019 and all subsequent years remain subject to examination as of December 31, 2022, under statute of limitations rules. The U.S. state income tax returns that remain subject to examination as of December 31, 2022,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$3,500 within twelve months of December 31, 2022.</w:t>
      </w:r>
    </w:p>
    <w:p>
      <w:pPr>
        <w:spacing w:after="0" w:line="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income for the three months ended December 31, 2022, and 2021, included $7,545 and $6,956 of stock-based compensation costs, respectively. Our operating income for the six months ended December 31, 2022, and 2021, included $14,544 and $13,027 of stock-based compensation costs,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A summary of option plan activity under this plan is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8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Outstanding July 1, 2022</w:t>
            </w: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19"/>
                <w:szCs w:val="19"/>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December 31, 2022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December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w:t>
            </w:r>
          </w:p>
        </w:tc>
        <w:tc>
          <w:tcPr>
            <w:tcW w:w="0" w:type="dxa"/>
            <w:vAlign w:val="bottom"/>
          </w:tcPr>
          <w:p>
            <w:pPr>
              <w:spacing w:after="0"/>
              <w:rPr>
                <w:sz w:val="1"/>
                <w:szCs w:val="1"/>
                <w:color w:val="auto"/>
              </w:rPr>
            </w:pPr>
          </w:p>
        </w:tc>
      </w:tr>
      <w:tr>
        <w:trPr>
          <w:trHeight w:val="24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December 31, 2022</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December 31, 2022, there was no compensation cost yet to be recognized related to outstanding options. For options currently exercisable, the weighted average remaining contractual term (remaining period of exercisability) as of December 31, 2022, was 3.5 years.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unit awards under the 2015 EIP. The following table summarizes non-vested restricted stock unit awards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43"/>
        </w:trPr>
        <w:tc>
          <w:tcPr>
            <w:tcW w:w="4860" w:type="dxa"/>
            <w:vAlign w:val="bottom"/>
            <w:gridSpan w:val="2"/>
            <w:vMerge w:val="continue"/>
          </w:tcPr>
          <w:p>
            <w:pPr>
              <w:spacing w:after="0"/>
              <w:rPr>
                <w:sz w:val="21"/>
                <w:szCs w:val="21"/>
                <w:color w:val="auto"/>
              </w:rPr>
            </w:pPr>
          </w:p>
        </w:tc>
        <w:tc>
          <w:tcPr>
            <w:tcW w:w="1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219.65</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167.18</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187.68</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185.86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124 unit awards granted in fiscal 2023 had service requirements and performance measures, with 82 only having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remaining 42 unit awards granted in fiscal 2023 have performance measures along with service requirements. 17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The other 25 performance and service requirement unit awards were valued at grant using a Monte Carlo pricing model as of the measurement date customized to the specific provisions of the Company’s plan design. Per the Company's award vesting and settlement provisions, the awards that utilize a Monte Carlo pricing model were valued at grant on the basis of Total Shareholder Return ("TSR") in comparison to the compensation peer group made up of participants approved by the Compensation Committee of the Company's Board of Directors for fiscal year 2023. The Monte Carlo inputs used in the model to estimate fair value at the measurement date and resulting values for these performance unit awards are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2023</w:t>
            </w: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29.4 %</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2.96 %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$1.96</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0.94 %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71.0 %</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2022, there was $31,658 of compensation expense, excluding forfeitures, that has yet to be recognized related to non-vested restricted stock unit awards, which will be recognized over a weighted average period of 1.32 years.</w:t>
      </w:r>
    </w:p>
    <w:p>
      <w:pPr>
        <w:spacing w:after="0" w:line="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tab/>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60" w:type="dxa"/>
            <w:vAlign w:val="bottom"/>
            <w:gridSpan w:val="9"/>
          </w:tcPr>
          <w:p>
            <w:pPr>
              <w:ind w:left="80"/>
              <w:spacing w:after="0"/>
              <w:rPr>
                <w:sz w:val="20"/>
                <w:szCs w:val="20"/>
                <w:color w:val="auto"/>
              </w:rPr>
            </w:pPr>
            <w:r>
              <w:rPr>
                <w:rFonts w:ascii="Arial" w:cs="Arial" w:eastAsia="Arial" w:hAnsi="Arial"/>
                <w:sz w:val="18"/>
                <w:szCs w:val="18"/>
                <w:color w:val="auto"/>
              </w:rPr>
              <w:t>Three Months Ended December</w:t>
            </w:r>
          </w:p>
        </w:tc>
        <w:tc>
          <w:tcPr>
            <w:tcW w:w="2720" w:type="dxa"/>
            <w:vAlign w:val="bottom"/>
            <w:gridSpan w:val="8"/>
            <w:vMerge w:val="restart"/>
          </w:tcPr>
          <w:p>
            <w:pPr>
              <w:jc w:val="right"/>
              <w:ind w:right="4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5"/>
              </w:rPr>
              <w:t>31,</w:t>
            </w: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jc w:val="right"/>
              <w:ind w:right="460"/>
              <w:spacing w:after="0" w:line="18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80,775</w:t>
            </w:r>
          </w:p>
        </w:tc>
        <w:tc>
          <w:tcPr>
            <w:tcW w:w="6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95,670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187,324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197,783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72,962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73,580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73,798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 units</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73,144</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73,697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73,141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73,920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p>
        </w:tc>
        <w:tc>
          <w:tcPr>
            <w:tcW w:w="6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six months ended December 31, 2022 and 2021. Stock options and restricted stock units have been included in the calculation of earnings per share to the extent they are dilutive. There were 31 and 25 anti-dilutive stock options or restricted stock units excluded for the three and six months ended December 31, 2022, respectively, and 28 and 23 were excluded for the three and six months ended December 31, 2021,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exceeded or were less than the amounts estimated at closing, was $230,205. Pursuant to the merger agreement for the transaction, $48,500 of the purchase price was placed in an escrow account at the closing, consisting of $2,500 for any final purchase price adjustments owed by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sellers, which amount was released to the sellers on December 15, 2022, in connection with post-closing adjustments, and $46,000 for indemnification matters under the merger agreement.</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preliminary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amounts shown above include a measurement period adjustment made during the second quarter of fiscal 2023 related to a working capital adjustment. The amounts shown above may change as management continues to evaluate the income tax implications of this business combination.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5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incurred related to the acquisition of Payrailz during the three and six months ended December 31, 2022, totaled $ 50 and $508, respectively, for administrative and professional services, travel, and other fees, and were expensed as incurred and reported within cost of revenue and selling, general, and administrative expense.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condensed consolidated statements of income for the three and six months ended December 31, 2022, included revenue of $2,578 and $3,316, respectively, and after-tax net loss of $5,387 and $7,251, respectively, resulting from Payrailz's operations.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statements of income for the three and six months ended December 31, 2022, and 2021, do not include any revenues and expenses related to this acquisition prior to the acquisition date. The following unaudited pro forma consolidated financial information for the six months ended December 31, 2022, and the three and six months ended December 31, 2021, is presented as if this acquisition had occurred at the beginning of the prior period presented. The pro forma net income includes estimated incremental amortization expense of $1,611 and $ 4,546 for the three and six months ended December 31, 2021, respectively, and $1,957 for the six months ended December 31, 2022. In addition, this unaudited pro forma financial information is provided for illustrative purposes only and should not be relied upon as necessarily being indicative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historical results that would have been obtained if the acquisition had actually occurred during this period, or the results that may be obtained in the future as a result of the acquisition.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60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21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9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0"/>
                <w:szCs w:val="20"/>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December 31,</w:t>
            </w:r>
          </w:p>
        </w:tc>
      </w:tr>
      <w:tr>
        <w:trPr>
          <w:trHeight w:val="183"/>
        </w:trPr>
        <w:tc>
          <w:tcPr>
            <w:tcW w:w="9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40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26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9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5"/>
        </w:trPr>
        <w:tc>
          <w:tcPr>
            <w:tcW w:w="9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Actual</w:t>
            </w:r>
          </w:p>
        </w:tc>
        <w:tc>
          <w:tcPr>
            <w:tcW w:w="1380" w:type="dxa"/>
            <w:vAlign w:val="bottom"/>
            <w:gridSpan w:val="4"/>
          </w:tcPr>
          <w:p>
            <w:pPr>
              <w:ind w:left="280"/>
              <w:spacing w:after="0"/>
              <w:rPr>
                <w:sz w:val="20"/>
                <w:szCs w:val="20"/>
                <w:color w:val="auto"/>
              </w:rPr>
            </w:pPr>
            <w:r>
              <w:rPr>
                <w:rFonts w:ascii="Arial" w:cs="Arial" w:eastAsia="Arial" w:hAnsi="Arial"/>
                <w:sz w:val="18"/>
                <w:szCs w:val="18"/>
                <w:color w:val="auto"/>
              </w:rPr>
              <w:t>Pro forma</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Pro forma</w:t>
            </w:r>
          </w:p>
        </w:tc>
        <w:tc>
          <w:tcPr>
            <w:tcW w:w="2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Pro forma</w:t>
            </w:r>
          </w:p>
        </w:tc>
      </w:tr>
      <w:tr>
        <w:trPr>
          <w:trHeight w:val="235"/>
        </w:trPr>
        <w:tc>
          <w:tcPr>
            <w:tcW w:w="980" w:type="dxa"/>
            <w:vAlign w:val="bottom"/>
          </w:tcPr>
          <w:p>
            <w:pPr>
              <w:ind w:left="20"/>
              <w:spacing w:after="0"/>
              <w:rPr>
                <w:sz w:val="20"/>
                <w:szCs w:val="20"/>
                <w:color w:val="auto"/>
              </w:rPr>
            </w:pPr>
            <w:r>
              <w:rPr>
                <w:rFonts w:ascii="Arial" w:cs="Arial" w:eastAsia="Arial" w:hAnsi="Arial"/>
                <w:sz w:val="18"/>
                <w:szCs w:val="18"/>
                <w:color w:val="auto"/>
              </w:rPr>
              <w:t>Revenue</w:t>
            </w:r>
          </w:p>
        </w:tc>
        <w:tc>
          <w:tcPr>
            <w:tcW w:w="6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505,314</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$495,727</w:t>
            </w: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   1,036,143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985,124</w:t>
            </w:r>
          </w:p>
        </w:tc>
      </w:tr>
      <w:tr>
        <w:trPr>
          <w:trHeight w:val="229"/>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80,775</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92,793</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182,787</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189,890</w:t>
            </w:r>
          </w:p>
        </w:tc>
      </w:tr>
      <w:tr>
        <w:trPr>
          <w:trHeight w:val="463"/>
        </w:trPr>
        <w:tc>
          <w:tcPr>
            <w:tcW w:w="980" w:type="dxa"/>
            <w:vAlign w:val="bottom"/>
          </w:tcPr>
          <w:p>
            <w:pPr>
              <w:spacing w:after="0"/>
              <w:rPr>
                <w:sz w:val="20"/>
                <w:szCs w:val="20"/>
                <w:color w:val="auto"/>
              </w:rPr>
            </w:pPr>
            <w:r>
              <w:rPr>
                <w:rFonts w:ascii="Arial" w:cs="Arial" w:eastAsia="Arial" w:hAnsi="Arial"/>
                <w:sz w:val="18"/>
                <w:szCs w:val="18"/>
                <w:color w:val="auto"/>
              </w:rPr>
              <w:t>NOTE 11.</w:t>
            </w:r>
          </w:p>
        </w:tc>
        <w:tc>
          <w:tcPr>
            <w:tcW w:w="6000" w:type="dxa"/>
            <w:vAlign w:val="bottom"/>
            <w:gridSpan w:val="4"/>
          </w:tcPr>
          <w:p>
            <w:pPr>
              <w:jc w:val="right"/>
              <w:ind w:right="2560"/>
              <w:spacing w:after="0"/>
              <w:rPr>
                <w:sz w:val="20"/>
                <w:szCs w:val="20"/>
                <w:color w:val="auto"/>
              </w:rPr>
            </w:pPr>
            <w:r>
              <w:rPr>
                <w:rFonts w:ascii="Arial" w:cs="Arial" w:eastAsia="Arial" w:hAnsi="Arial"/>
                <w:sz w:val="18"/>
                <w:szCs w:val="18"/>
                <w:color w:val="auto"/>
                <w:w w:val="98"/>
              </w:rPr>
              <w:t>REPORTABLE SEGMENT INFORMATION</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&amp;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&amp; Other segment includes hardware revenue and costs, as well as operating costs not directly attributable to the other three segments.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Immaterial adjustments have been made to reclassify revenue that was recognized for the three and six months ended December 31, 2021, from the Complementary to the Payments and Corporate and Other segments. Immaterial adjustments were also made to reclassify cost of revenue from the Complementary to the Payments and Corporate and Other segments for the three and six months ended December 31, 2021. These reclasses were made to be consistent with the current allocation of revenue and cost of revenue by segment. Revenue reclassed for the three and six months ended December 31, 2021, from Complementary to Payments was $2,977 and $5,946, respectively, and from Complementary to Corporate and Other was $2,207 and $2,941, respectively. Cost of revenue reclassed for the three and six months ended December 31, 2021, from Complementary to Payments was $1,396 and $2,754, respectively, and from Complementary to Corporate and Other was $773 and $482,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145,650</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19,340</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110,380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15,330</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290,700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172,147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214,614</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191,487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142,295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505,314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68,324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59,270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68,924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304,589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36,561</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145,699</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25,294</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108,933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16,285</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296,211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154,878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185,505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136,540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96,966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55,982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282,825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368,234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80,558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(48,350)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125,662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December 31, 2022</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Complementary</w:t>
            </w:r>
          </w:p>
        </w:tc>
        <w:tc>
          <w:tcPr>
            <w:tcW w:w="1920" w:type="dxa"/>
            <w:vAlign w:val="bottom"/>
            <w:gridSpan w:val="4"/>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310,675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228,528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610,849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423,667</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290,647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1,034,516</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140,564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117,708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602,849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69,554</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114,013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786,416</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172,939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248,100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tcBorders>
            <w:shd w:val="clear" w:color="auto" w:fill="CECECE"/>
          </w:tcPr>
          <w:p>
            <w:pPr>
              <w:spacing w:after="0"/>
              <w:rPr>
                <w:sz w:val="18"/>
                <w:szCs w:val="18"/>
                <w:color w:val="auto"/>
              </w:rPr>
            </w:pPr>
          </w:p>
        </w:tc>
        <w:tc>
          <w:tcPr>
            <w:tcW w:w="116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240" w:type="dxa"/>
            <w:vAlign w:val="bottom"/>
            <w:tcBorders>
              <w:top w:val="single" w:sz="8" w:color="CECECE"/>
            </w:tcBorders>
            <w:shd w:val="clear" w:color="auto" w:fill="CECECE"/>
          </w:tcPr>
          <w:p>
            <w:pPr>
              <w:spacing w:after="0"/>
              <w:rPr>
                <w:sz w:val="18"/>
                <w:szCs w:val="18"/>
                <w:color w:val="auto"/>
              </w:rPr>
            </w:pPr>
          </w:p>
        </w:tc>
        <w:tc>
          <w:tcPr>
            <w:tcW w:w="1240" w:type="dxa"/>
            <w:vAlign w:val="bottom"/>
            <w:tcBorders>
              <w:top w:val="single" w:sz="8" w:color="CECECE"/>
            </w:tcBorders>
            <w:shd w:val="clear" w:color="auto" w:fill="CECECE"/>
          </w:tcPr>
          <w:p>
            <w:pPr>
              <w:spacing w:after="0"/>
              <w:rPr>
                <w:sz w:val="18"/>
                <w:szCs w:val="18"/>
                <w:color w:val="auto"/>
              </w:rPr>
            </w:pPr>
          </w:p>
        </w:tc>
        <w:tc>
          <w:tcPr>
            <w:tcW w:w="120" w:type="dxa"/>
            <w:vAlign w:val="bottom"/>
            <w:tcBorders>
              <w:top w:val="single" w:sz="8" w:color="CECECE"/>
            </w:tcBorders>
            <w:shd w:val="clear" w:color="auto" w:fill="CECECE"/>
          </w:tcPr>
          <w:p>
            <w:pPr>
              <w:spacing w:after="0"/>
              <w:rPr>
                <w:sz w:val="18"/>
                <w:szCs w:val="18"/>
                <w:color w:val="auto"/>
              </w:rPr>
            </w:pPr>
          </w:p>
        </w:tc>
        <w:tc>
          <w:tcPr>
            <w:tcW w:w="160" w:type="dxa"/>
            <w:vAlign w:val="bottom"/>
            <w:tcBorders>
              <w:top w:val="single" w:sz="8" w:color="CECECE"/>
            </w:tcBorders>
            <w:shd w:val="clear" w:color="auto" w:fill="CECECE"/>
          </w:tcPr>
          <w:p>
            <w:pPr>
              <w:spacing w:after="0"/>
              <w:rPr>
                <w:sz w:val="18"/>
                <w:szCs w:val="18"/>
                <w:color w:val="auto"/>
              </w:rPr>
            </w:pPr>
          </w:p>
        </w:tc>
        <w:tc>
          <w:tcPr>
            <w:tcW w:w="148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440" w:type="dxa"/>
            <w:vAlign w:val="bottom"/>
            <w:tcBorders>
              <w:top w:val="single" w:sz="8" w:color="CECECE"/>
            </w:tcBorders>
            <w:shd w:val="clear" w:color="auto" w:fill="CECECE"/>
          </w:tcPr>
          <w:p>
            <w:pPr>
              <w:spacing w:after="0"/>
              <w:rPr>
                <w:sz w:val="18"/>
                <w:szCs w:val="18"/>
                <w:color w:val="auto"/>
              </w:rPr>
            </w:pPr>
          </w:p>
        </w:tc>
        <w:tc>
          <w:tcPr>
            <w:tcW w:w="1060" w:type="dxa"/>
            <w:vAlign w:val="bottom"/>
            <w:tcBorders>
              <w:top w:val="single" w:sz="8" w:color="CECECE"/>
            </w:tcBorders>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244,510</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December 31, 2021</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301,536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42,357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221,739</w:t>
            </w:r>
          </w:p>
        </w:tc>
        <w:tc>
          <w:tcPr>
            <w:tcW w:w="12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28,072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593,704</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52,579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388,248</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274,318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981,952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110,399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559,460</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56,670</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722,695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(96,681)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2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quarter ended December 31,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&amp; Associates, Inc. ("JKHY") is a well-rounded financial technology company and is a leading provider of technology solutions and payment processing services primarily for financial services organizations. Its solutions consist of integrated data processing systems solutions to U.S. banks ranging from de novo to multi-billion-dollar institutions,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JKHY's integrated solutions are available for on-premise installation and delivery in our private cloud.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seven years or longer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second quarter of fiscal 2023, total revenue increased 2%, or $11,418, compared to the same quarter in fiscal 2022. Total revenue less deconversion fee and acquisition revenues of $6,380 and $2,578, respectively, for the current fiscal quarter and less deconversion fee revenues of $ 26,903 for the prior fiscal quarter, results in an increase of 6%, quarter over quarter. This increase was primarily driven by growth in data processing and hosting, card processing, transaction and digital, and remittance revenues.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8% for the second quarter of fiscal 2023 compared to the second quarter of fiscal 2022. Total operating expenses less deconversion expenses of $917, the acquisition-related expenses of $ 6,907, plus the gain on disposal of assets, net, of $1,207, for the current fiscal quarter, and reducing operating expenses by deconversion expenses of $2,547 for the prior fiscal year quarter, results in a 7% increase quarter over quarter. This increase in operating expenses was primarily driven by higher personnel costs, including benefits expenses, resulting from a 4% headcount increase in the trailing twelve months, increased direct costs in line with related revenue increases, and higher amortization of intangible assets.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decreased 15% for the second quarter of fiscal 2023 compared to the second quarter of fiscal 2022. Total operating income less deconversion fee operating income of $5,463, plus an acquisition operating loss of $4,329, less the gain on disposal of assets, net, of $1,207 for the current fiscal quarter, and less deconversion fee operating income of $24,356 for the prior fiscal quarter, results in a 4% increase quarter over quarter. This increase in operating income was primarily driven by increased revenue growth partially offset by increased operating expenses detailed above.</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provision for income taxes decreased 17% for the second quarter of fiscal 2023 compared to the prior fiscal year second quarter. The effective tax rate for the second quarter of fiscal 2023 was 23.2% compared to 23.6% for the same quarter a year ago.</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above changes, net income decreased 16% for the second quarter of fiscal 2023 compared to the second quarter of fiscal 2022. Total net income less deconversion fee net income of $4,111, plus acquisition net loss of $ 5,405, less the gain on disposal of assets, net, of $909 for the current fiscal quarter, and less deconversion fee net income of $18,352 for the prior fiscal quarter, results in a 5% increase quarter over quarter.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six months ended December 31, 2022, total revenue increased 5%, or $52,564, compared to the same period in fiscal year 2022. Total revenue less deconversion fee and acquisition revenues of $10,899 and $3,316, respectively, for the current fiscal period and less deconversion fee revenues of $30,627 for the prior fiscal period, results in an increase of 7%, period over period. This increase was primarily driven by growth in data processing and hosting, card processing, transaction and digital, remittance, and software usage fee revenues.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9% for the six months ended December 31, 2022, compared to the same period in fiscal year 2022. The increase in operating expenses was primarily driven by increased personnel costs, including benefits expenses, resulting from a 4% headcount increase in the trailing twelve months, higher direct costs in line with related revenue increases, and higher amortization of intangible assets.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decreased 4% for the six months ended December 31, 2022, compared to the same period in fiscal year 2022. Total operating income less deconversion fee operating income of $9,329, plus an acquisition operating loss of $ 6,126, less the gain on disposal of assets, net, of $7,384 for the current fiscal period, less deconversion fee operating income of $27,540 for the prior fiscal period, results in a 3% increase period over period. This increase in operating income was primarily driven by increased revenue growth partially offset by increased operating expenses detailed above.</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provision for income taxes decreased 6% for the six months ended December 31, 2022, compared to the same period in fiscal year 2022. The effective tax rate for the six months ended December 31, 2022, was 23.4% compared to 23.5% for the same period a year ago.</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above changes, net income decreased 5% for the six months ended December 31, 2022, compared to the same period a year ago. Total net income less deconversion fee net income of $7,020, plus acquisition net loss of $7,275, less the gain on disposal of assets, net, of $ 5,556 for the current fiscal period, and less deconversion fee net income of $20,751 for the prior fiscal period, results in a 3% increase period over period.</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second fiscal quarter was significantly impacted by a recent rapid slowdown of merger and acquisition activity in the financial institution industry, which has caused decreases in deconversion fee revenue, as noted, and in conversion/merger services revenue. However, we move into the third quarter of fiscal 2023 with significant portions of our business continuing to come from recurring revenues and our sales pipeline remaining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detailed discussion of the major components of the results of operations for the three and six months ended December 31, 2022, follows. Discussions compare the current fiscal year's three and six months ended December 31, 2022, to the prior fiscal year's three and six months ended December 31,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04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16"/>
                <w:szCs w:val="16"/>
                <w:color w:val="auto"/>
              </w:rPr>
            </w:pPr>
          </w:p>
        </w:tc>
        <w:tc>
          <w:tcPr>
            <w:tcW w:w="2820" w:type="dxa"/>
            <w:vAlign w:val="bottom"/>
            <w:gridSpan w:val="8"/>
          </w:tcPr>
          <w:p>
            <w:pPr>
              <w:spacing w:after="0" w:line="190" w:lineRule="exact"/>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290,700</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296,211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610,849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593,704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58 %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decreased 2% for the second quarter of fiscal 2023 compared to the same quarter a year ago. Reducing services and support revenue for deconversion fee revenue from each quarter, which was $6,380 for the current fiscal quarter and $26,903 for the prior fiscal year quarter and acquisition revenue of $19 for the current fiscal quarter, results in growth of 6% quarter over quarter. This increase was primarily driven by growth in data processing and hosting revenue.</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3% for the six months ended December 31, 2022 compared to the same period a year ago. Reducing services and support revenue for deconversion fee revenue from each period, which was $10,899 for the current fiscal period and $30,627 for the prior fiscal period, and acquisition revenue of $43 for the current fiscal period, results in growth of 7% period over period. This increase was primarily driven by growth in data processing and hosting and software usage fee revenues. Growth in software usage fee revenues reflects a continuing shift of customers to our time-based license model.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7"/>
                <w:szCs w:val="17"/>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214,614</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197,685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423,667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388,248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42 %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9% for the second quarter of fiscal 2023 compared to the same quarter last fiscal year. Reducing processing revenue for acquisition revenue of $2,559 for the current fiscal quarter, results in growth of 7% quarter over quarter. This increase was primarily driven by higher card processing, payment processing, including iPay and Payrailz, and Jack Henry digital revenue, including Banno, as well as other processing fee revenues, primarily due to expanding volumes.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9% for the six months ended December 31, 2022, compared to the same period last fiscal year. Reducing processing revenue for acquisition revenue of $3,273 for the current fiscal period, results in growth of 8% period over period. This increase was primarily driven by higher card processing and Jack Henry digital revenue, including Banno, as well as payment processing fees, including iPay and Payrailz, and other processing fee revenues, primarily due to expanding volumes.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960" w:type="dxa"/>
            <w:vAlign w:val="bottom"/>
            <w:gridSpan w:val="9"/>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304,589</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282,825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602,849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559,460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60 %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second quarter of fiscal 2023 increased 8% over the prior fiscal year second quarter. Reducing cost of revenue for deconversion costs from each quarter, which were $555 for the current fiscal year quarter and $1,601 for the prior fiscal year quarter, and for acquisition costs of $5,861 from the current fiscal year quarter, results in a 6% increase quarter over quarter. This increase was primarily due to higher personnel costs, including benefits expenses, resulting from a 1% headcount increase in the trailing twelve months, higher direct costs in line with related increases in revenue, and increased amortization of intangible assets. Cost of revenue increased 3% compared to the prior fiscal year quarter as a percentage of total revenue.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increased 8% for the six months ended December 31, 2022, compared to the same period last fiscal year. Reducing cost of revenue for deconversion costs from each period, which were $965 for the current fiscal period and $1,938 for the prior fiscal period, and for acquisition costs of $7,400 from the current fiscal period, results in a 7% increase period over period. This increase was primarily due to higher direct costs in line with related increases in revenue, higher personnel costs, including benefits expenses, resulting from a 1% headcount increase in the trailing twelve months, and increased amortization of intangible assets. Cost of revenue increased 1% compared to the prior fiscal period as a percentage of total revenue.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20" w:type="dxa"/>
            <w:vAlign w:val="bottom"/>
            <w:gridSpan w:val="8"/>
            <w:vMerge w:val="restart"/>
          </w:tcPr>
          <w:p>
            <w:pPr>
              <w:ind w:left="8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2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2022</w:t>
            </w: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36,561</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69,554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7 %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7 %</w:t>
            </w:r>
          </w:p>
        </w:tc>
        <w:tc>
          <w:tcPr>
            <w:tcW w:w="5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22% for the second quarter of fiscal 2023 over the prior fiscal year second quarter. Reducing research and development expense for the effects of acquisitions of $274 for the current fiscal quarter, results in a 21% increase quarter over quarter. This increase was primarily due to an increase in personnel costs, net of capitalization, including benefits expenses, resulting from a 13% headcount increase in the trailing twelve months, and higher internal licenses and fees. Research and development expense for the quarter increased 1% compared to the prior fiscal year quarter as a percentage of total revenue.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23% for the six months ended December 31, 2022, compared to the same period last fiscal year. Reducing research and development expense for the effects of acquisitions of $606 for the current fiscal period, results in a 22% increase period over period. This increase was primarily due to an increase in personnel costs, net of capitalization, including benefits expenses, resulting from a 13% headcount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increase in the trailing twelve months, and higher internal licenses and fees. Research and development expense for the current fiscal period increased 1% compared to the prior fiscal year period as a percentage of total revenue.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2880" w:type="dxa"/>
            <w:vAlign w:val="bottom"/>
            <w:gridSpan w:val="8"/>
          </w:tcPr>
          <w:p>
            <w:pPr>
              <w:ind w:left="100"/>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80" w:type="dxa"/>
            <w:vAlign w:val="bottom"/>
            <w:gridSpan w:val="8"/>
            <w:vMerge w:val="restart"/>
          </w:tcPr>
          <w:p>
            <w:pPr>
              <w:ind w:left="120"/>
              <w:spacing w:after="0"/>
              <w:rPr>
                <w:sz w:val="20"/>
                <w:szCs w:val="20"/>
                <w:color w:val="auto"/>
              </w:rPr>
            </w:pPr>
            <w:r>
              <w:rPr>
                <w:rFonts w:ascii="Arial" w:cs="Arial" w:eastAsia="Arial" w:hAnsi="Arial"/>
                <w:sz w:val="18"/>
                <w:szCs w:val="18"/>
                <w:color w:val="auto"/>
              </w:rPr>
              <w:t>Six Months Ended December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rPr>
              <w:t>Change</w:t>
            </w:r>
          </w:p>
        </w:tc>
        <w:tc>
          <w:tcPr>
            <w:tcW w:w="2980" w:type="dxa"/>
            <w:vAlign w:val="bottom"/>
            <w:gridSpan w:val="8"/>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320"/>
              <w:spacing w:after="0" w:line="182" w:lineRule="exact"/>
              <w:rPr>
                <w:sz w:val="20"/>
                <w:szCs w:val="20"/>
                <w:color w:val="auto"/>
              </w:rPr>
            </w:pPr>
            <w:r>
              <w:rPr>
                <w:rFonts w:ascii="Arial" w:cs="Arial" w:eastAsia="Arial" w:hAnsi="Arial"/>
                <w:sz w:val="18"/>
                <w:szCs w:val="18"/>
                <w:b w:val="1"/>
                <w:bCs w:val="1"/>
                <w:color w:val="auto"/>
                <w:w w:val="94"/>
              </w:rPr>
              <w:t>2022</w:t>
            </w:r>
          </w:p>
        </w:tc>
        <w:tc>
          <w:tcPr>
            <w:tcW w:w="5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540"/>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50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56,788</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55,493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114,013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106,565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460" w:type="dxa"/>
            <w:vAlign w:val="bottom"/>
          </w:tcPr>
          <w:p>
            <w:pPr>
              <w:spacing w:after="0"/>
              <w:rPr>
                <w:sz w:val="21"/>
                <w:szCs w:val="21"/>
                <w:color w:val="auto"/>
              </w:rPr>
            </w:pPr>
          </w:p>
        </w:tc>
        <w:tc>
          <w:tcPr>
            <w:tcW w:w="12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11 %</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2% in the second quarter of fiscal 2023 over the same quarter in the prior fiscal year. Reducing selling, general, and administrative expense for the effects of deconversion fees from each quarter, which were $362 for the current fiscal year quarter and $946 for the prior fiscal year quarter, and for the effects of acquisitions of $772 for the current fiscal year quarter, and increasing selling, general, and administrative expense for the gain on disposal of assets, net, of $1,207 for the current fiscal year quarter, results in a 4% increase quarter over quarter. This increase was primarily due to higher personnel costs, including benefits expenses, resulting from a 5% headcount increase in the trailing twelve months. Selling, general, and administrative expense remained consistent as a percentage of total revenue this fiscal quarter versus the prior fiscal year quarter.</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 increased 7% in the six months ended December 31, 2022, compared to the same period last fiscal year. Reducing selling, general, and administrative expense for the effects of deconversion fees from each period, which were $604 for the current fiscal year period and $1,149 for the prior fiscal year period, and for the effects of acquisitions of $1,436 for the current fiscal period, and increasing selling, general, and administrative expense for the gain on disposal of assets, net, of $7,384 for the current fiscal year period, results in a 13% increase period over period. This increase was primarily due to higher personnel costs, including benefits expenses, resulting from a 5% headcount increase in the trailing twelve months, increased travel expenses, and increased consulting and other professional services. Selling, general, and administrative expense remained consistent as a percentage of total revenue this fiscal period versus the prior fiscal year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20" w:type="dxa"/>
            <w:vAlign w:val="bottom"/>
            <w:gridSpan w:val="9"/>
          </w:tcPr>
          <w:p>
            <w:pPr>
              <w:ind w:left="2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8"/>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41"/>
        </w:trPr>
        <w:tc>
          <w:tcPr>
            <w:tcW w:w="3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4"/>
          </w:tcPr>
          <w:p>
            <w:pPr>
              <w:jc w:val="right"/>
              <w:ind w:right="1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0"/>
                <w:szCs w:val="20"/>
                <w:color w:val="auto"/>
              </w:rPr>
            </w:pPr>
          </w:p>
        </w:tc>
        <w:tc>
          <w:tcPr>
            <w:tcW w:w="1520" w:type="dxa"/>
            <w:vAlign w:val="bottom"/>
            <w:gridSpan w:val="4"/>
          </w:tcPr>
          <w:p>
            <w:pPr>
              <w:jc w:val="right"/>
              <w:ind w:right="13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Change</w:t>
            </w:r>
          </w:p>
        </w:tc>
      </w:tr>
      <w:tr>
        <w:trPr>
          <w:trHeight w:val="185"/>
        </w:trPr>
        <w:tc>
          <w:tcPr>
            <w:tcW w:w="3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spacing w:after="0" w:line="185" w:lineRule="exact"/>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right"/>
              <w:ind w:right="420"/>
              <w:spacing w:after="0" w:line="185"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480"/>
              <w:spacing w:after="0" w:line="185" w:lineRule="exact"/>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right"/>
              <w:ind w:right="420"/>
              <w:spacing w:after="0" w:line="185"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20,567 %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10,608 %</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(3,406)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(4,982)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616 %</w:t>
            </w: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second quarter of fiscal 2023 and six months ended December 31, 2022, compared to the same periods a year ago. Interest expense increased when compared to the prior fiscal year quarter and year-to-date period due to recent increases in prevailing interest rates, length of borrowing time, and amounts borrowed. There was a $ 275,000 outstanding balance under the credit facility at December 31, 2022, and $240,000 outstanding balance at December 31, 2021. The increase in the outstanding balance was primarily due to funding the Payrailz acquisition on August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Pr>
          <w:p>
            <w:pPr>
              <w:spacing w:after="0"/>
              <w:rPr>
                <w:sz w:val="18"/>
                <w:szCs w:val="18"/>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40" w:type="dxa"/>
            <w:vAlign w:val="bottom"/>
            <w:gridSpan w:val="8"/>
            <w:vMerge w:val="restart"/>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24,435</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29,551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57,186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60,791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23.2 %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23.4 %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change in effective tax rate for the second quarter of fiscal 2023 and six months ended December 31, 2022, compared to the same periods a year ago was primarily due to larger excess tax benefits received from share-based compensation in the current fiscal periods.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auto"/>
              </w:rPr>
              <w:t>Three Months Ended December</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6"/>
          </w:tcPr>
          <w:p>
            <w:pPr>
              <w:jc w:val="center"/>
              <w:ind w:right="420"/>
              <w:spacing w:after="0"/>
              <w:rPr>
                <w:sz w:val="20"/>
                <w:szCs w:val="20"/>
                <w:color w:val="auto"/>
              </w:rPr>
            </w:pPr>
            <w:r>
              <w:rPr>
                <w:rFonts w:ascii="Arial" w:cs="Arial" w:eastAsia="Arial" w:hAnsi="Arial"/>
                <w:sz w:val="18"/>
                <w:szCs w:val="18"/>
                <w:color w:val="auto"/>
                <w:w w:val="99"/>
              </w:rPr>
              <w:t>Six Months Ended</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189"/>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ind w:right="310"/>
              <w:spacing w:after="0" w:line="189" w:lineRule="exact"/>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3"/>
          </w:tcPr>
          <w:p>
            <w:pPr>
              <w:jc w:val="center"/>
              <w:ind w:right="400"/>
              <w:spacing w:after="0" w:line="189" w:lineRule="exact"/>
              <w:rPr>
                <w:sz w:val="20"/>
                <w:szCs w:val="20"/>
                <w:color w:val="auto"/>
              </w:rPr>
            </w:pPr>
            <w:r>
              <w:rPr>
                <w:rFonts w:ascii="Arial" w:cs="Arial" w:eastAsia="Arial" w:hAnsi="Arial"/>
                <w:sz w:val="18"/>
                <w:szCs w:val="18"/>
                <w:color w:val="auto"/>
                <w:w w:val="98"/>
              </w:rPr>
              <w:t>Change</w:t>
            </w:r>
          </w:p>
        </w:tc>
        <w:tc>
          <w:tcPr>
            <w:tcW w:w="340" w:type="dxa"/>
            <w:vAlign w:val="bottom"/>
          </w:tcPr>
          <w:p>
            <w:pPr>
              <w:spacing w:after="0"/>
              <w:rPr>
                <w:sz w:val="16"/>
                <w:szCs w:val="16"/>
                <w:color w:val="auto"/>
              </w:rPr>
            </w:pPr>
          </w:p>
        </w:tc>
        <w:tc>
          <w:tcPr>
            <w:tcW w:w="2040" w:type="dxa"/>
            <w:vAlign w:val="bottom"/>
            <w:gridSpan w:val="6"/>
          </w:tcPr>
          <w:p>
            <w:pPr>
              <w:jc w:val="center"/>
              <w:ind w:right="440"/>
              <w:spacing w:after="0" w:line="189" w:lineRule="exact"/>
              <w:rPr>
                <w:sz w:val="20"/>
                <w:szCs w:val="20"/>
                <w:color w:val="auto"/>
              </w:rPr>
            </w:pPr>
            <w:r>
              <w:rPr>
                <w:rFonts w:ascii="Arial" w:cs="Arial" w:eastAsia="Arial" w:hAnsi="Arial"/>
                <w:sz w:val="18"/>
                <w:szCs w:val="18"/>
                <w:color w:val="auto"/>
                <w:w w:val="99"/>
              </w:rPr>
              <w:t>December 31,</w:t>
            </w:r>
          </w:p>
        </w:tc>
        <w:tc>
          <w:tcPr>
            <w:tcW w:w="1240" w:type="dxa"/>
            <w:vAlign w:val="bottom"/>
          </w:tcPr>
          <w:p>
            <w:pPr>
              <w:jc w:val="right"/>
              <w:ind w:right="210"/>
              <w:spacing w:after="0" w:line="189" w:lineRule="exact"/>
              <w:rPr>
                <w:sz w:val="20"/>
                <w:szCs w:val="20"/>
                <w:color w:val="auto"/>
              </w:rPr>
            </w:pPr>
            <w:r>
              <w:rPr>
                <w:rFonts w:ascii="Arial" w:cs="Arial" w:eastAsia="Arial" w:hAnsi="Arial"/>
                <w:sz w:val="18"/>
                <w:szCs w:val="18"/>
                <w:color w:val="auto"/>
              </w:rPr>
              <w:t>Change</w:t>
            </w:r>
          </w:p>
        </w:tc>
      </w:tr>
      <w:tr>
        <w:trPr>
          <w:trHeight w:val="34"/>
        </w:trPr>
        <w:tc>
          <w:tcPr>
            <w:tcW w:w="3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380"/>
              <w:spacing w:after="0" w:line="182" w:lineRule="exact"/>
              <w:rPr>
                <w:sz w:val="20"/>
                <w:szCs w:val="20"/>
                <w:color w:val="auto"/>
              </w:rPr>
            </w:pPr>
            <w:r>
              <w:rPr>
                <w:rFonts w:ascii="Arial" w:cs="Arial" w:eastAsia="Arial" w:hAnsi="Arial"/>
                <w:sz w:val="18"/>
                <w:szCs w:val="18"/>
                <w:b w:val="1"/>
                <w:bCs w:val="1"/>
                <w:color w:val="auto"/>
                <w:w w:val="94"/>
              </w:rPr>
              <w:t>2022</w:t>
            </w:r>
          </w:p>
        </w:tc>
        <w:tc>
          <w:tcPr>
            <w:tcW w:w="420" w:type="dxa"/>
            <w:vAlign w:val="bottom"/>
          </w:tcPr>
          <w:p>
            <w:pPr>
              <w:spacing w:after="0"/>
              <w:rPr>
                <w:sz w:val="15"/>
                <w:szCs w:val="15"/>
                <w:color w:val="auto"/>
              </w:rPr>
            </w:pPr>
          </w:p>
        </w:tc>
        <w:tc>
          <w:tcPr>
            <w:tcW w:w="74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80,775</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95,670</w:t>
            </w: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187,324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197,783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864"/>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decreased 16% to $80,775, or $1.10 per diluted share, for the second quarter of fiscal 2023 compared to $95,670, or $1.30 per diluted share in the same quarter of fiscal 2022. Total net income less deconversion fee net income of $4,111, an acquisition net loss of $5,405, and the gain on disposal of assets, net, of $909, for the current fiscal quarter, and reducing operating expenses for the effects of deconversion fees of $18,352 for the prior fiscal year quarter, results in a 5% increase quarter over quarter.</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decreased 5% to $187,324, or $2.56 per diluted share, for the six months ended December 31, 2022, compared to $197,783, or $2.68 per diluted share in the same period of fiscal 2022. Total net income less the net effects of deconversion fees of $7,020, an acquisition net loss of $7,275, and the gain on disposal of assets, net, of $5,556, for the current fiscal period and reducing operating expenses for the effects of deconversion fees of $20,751 for the prior fiscal year period, results in a 3% increase period over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7"/>
            <w:vMerge w:val="restart"/>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760" w:type="dxa"/>
            <w:vAlign w:val="bottom"/>
            <w:gridSpan w:val="9"/>
            <w:vMerge w:val="continue"/>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4"/>
                <w:szCs w:val="14"/>
                <w:color w:val="auto"/>
              </w:rPr>
            </w:pPr>
          </w:p>
        </w:tc>
        <w:tc>
          <w:tcPr>
            <w:tcW w:w="2620" w:type="dxa"/>
            <w:vAlign w:val="bottom"/>
            <w:gridSpan w:val="7"/>
            <w:vMerge w:val="continue"/>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155,390</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154,878</w:t>
            </w: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330,514</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320,163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68,324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64,554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140,564</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Core segment remained consistent and cost of revenue increased 6% for the three months ended December 31, 2022, compared to the three months ended December 31, 2021. Reducing Core revenue for deconversion fee revenue in both periods, which totaled $2,115 for the second quarter of fiscal 2023 and $10,853 for the second quarter of fiscal 2022, results in a 6% increase quarter over quarter. Cost of revenue increased 6% quarter over quarter primarily due to higher personnel costs and increased direct support costs. Cost of revenue increased 2% as a percentage of revenue for the second quarter of fiscal 2023 compared to the same quarter of fiscal 2022.</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Core segment increased 3% and cost of revenue increased 7% for the six months ended December 31, 2022, compared to the six months ended December 31, 2021. Reducing Core revenue for deconversion fee revenue in both periods, which totaled $3,933 for the six months ended December 31, 2022, and $13,021 for the six months ended December 31, 2021, results in a 6% increase period over period. This increase in Core revenue over the prior fiscal year period was primarily driven by the growth in data processing and hosting and software usage fee revenues. Cost of revenue increased 7% period over period primarily due to increased direct support costs and higher personnel costs. Cost of revenue increased 1% as a percentage of revenue for the six months ended December 31, 2022, compared to the same period of fiscal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7"/>
            <w:vMerge w:val="restart"/>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2760" w:type="dxa"/>
            <w:vAlign w:val="bottom"/>
            <w:gridSpan w:val="9"/>
            <w:vMerge w:val="continue"/>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4"/>
                <w:szCs w:val="14"/>
                <w:color w:val="auto"/>
              </w:rPr>
            </w:pPr>
          </w:p>
        </w:tc>
        <w:tc>
          <w:tcPr>
            <w:tcW w:w="2620" w:type="dxa"/>
            <w:vAlign w:val="bottom"/>
            <w:gridSpan w:val="7"/>
            <w:vMerge w:val="continue"/>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191,487</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185,505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378,026</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358,096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108,071</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96,966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209,226</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191,549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Payments segment increased 3% for the second quarter of fiscal 2023 compared to the equivalent quarter of the prior fiscal year. Reducing Payments revenue for deconversion fee revenue in both periods, which totaled $1,336 for the second quarter of fiscal 2023 and $7,933 for the second quarter of fiscal 2022 and for revenue from acquisitions of $2,578 from the current fiscal year quarter, results in a 6% increase quarter over quarter. This Payments revenue growth was primarily due to increased card and remittance fee revenues within processing. Cost of revenue increased 11% quarter over quarter primarily due to increased direct costs in line with associated revenues and higher personnel costs. Cost of revenue as a percentage of revenue increased 4% for the second quarter of fiscal 2023 compared to the same quarter of fiscal 2022.</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Payments segment increased 6% for the six months ended December 31, 2022, compared to the equivalent period of the prior fiscal year. This Payments revenue growth was primarily due to increased card and remittance fee revenues within processing. Cost of revenue increased 9% period over period primarily due to increased direct costs in line with associated revenues and higher personnel costs. Cost of revenue as a percentage of revenue increased 2% for the six months ended December 31, 2022, compared to the same period of fiscal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7"/>
            <w:vMerge w:val="restart"/>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360" w:type="dxa"/>
            <w:vAlign w:val="bottom"/>
          </w:tcPr>
          <w:p>
            <w:pPr>
              <w:spacing w:after="0"/>
              <w:rPr>
                <w:sz w:val="14"/>
                <w:szCs w:val="14"/>
                <w:color w:val="auto"/>
              </w:rPr>
            </w:pPr>
          </w:p>
        </w:tc>
        <w:tc>
          <w:tcPr>
            <w:tcW w:w="2760" w:type="dxa"/>
            <w:vAlign w:val="bottom"/>
            <w:gridSpan w:val="9"/>
            <w:vMerge w:val="continue"/>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4"/>
                <w:szCs w:val="14"/>
                <w:color w:val="auto"/>
              </w:rPr>
            </w:pPr>
          </w:p>
        </w:tc>
        <w:tc>
          <w:tcPr>
            <w:tcW w:w="2620" w:type="dxa"/>
            <w:vAlign w:val="bottom"/>
            <w:gridSpan w:val="7"/>
            <w:vMerge w:val="continue"/>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142,295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136,540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290,647</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274,318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59,270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55,982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117,708</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110,399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Complementary segment increased 4% for the second quarter of fiscal 2023 compared to the equivalent quarter of the prior fiscal year. This Complementary revenue growth was primarily driven by increased hosting fees and Jack Henry digital revenues. Cost of revenue increased 6% quarter over quarter primarily due to increased direct costs in line with associated revenues and higher personnel costs. Cost of revenue as a percentage of revenue increased 1% for the second quarter of fiscal 2023 compared to the same quarter of fiscal 2022.</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Complementary segment increased 6% for the six months ended December 31, 2022, compared to the equivalent period of the prior fiscal year. This Complementary revenue growth was primarily driven by increased hosting fees and Jack Henry digital revenues. Cost of revenue increased 7% period over period primarily due to increased direct costs in line with associated revenues and higher personnel costs. Cost of revenue as a percentage of revenue remained consistent for the six months ended December 31, 2022, compared to the same period of fiscal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December</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7"/>
            <w:vMerge w:val="restart"/>
          </w:tcPr>
          <w:p>
            <w:pPr>
              <w:ind w:left="20"/>
              <w:spacing w:after="0"/>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4"/>
                <w:szCs w:val="14"/>
                <w:color w:val="auto"/>
              </w:rPr>
            </w:pPr>
          </w:p>
        </w:tc>
        <w:tc>
          <w:tcPr>
            <w:tcW w:w="2720" w:type="dxa"/>
            <w:vAlign w:val="bottom"/>
            <w:gridSpan w:val="8"/>
            <w:vMerge w:val="continue"/>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4"/>
                <w:szCs w:val="14"/>
                <w:color w:val="auto"/>
              </w:rPr>
            </w:pPr>
          </w:p>
        </w:tc>
        <w:tc>
          <w:tcPr>
            <w:tcW w:w="2620" w:type="dxa"/>
            <w:vAlign w:val="bottom"/>
            <w:gridSpan w:val="7"/>
            <w:vMerge w:val="continue"/>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16,142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35,329</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29,375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68,924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65,323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135,351</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any of the other three segments. Revenue in the Corporate and Other segment decreased 5% for the second quarter of fiscal 2023 compared to the equivalent quarter of the prior fiscal year. The decrease quarter over quarter was primarily due to lower user group revenues due to differences in the timing of the user conference year over year.</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for the Corporate and Other segment includes operating costs not directly attributable to any of the other three segments. The cost of revenue in the second quarter of fiscal 2023 increased 6% when compared to the prior fiscal year quarter primarily due to higher internal licenses and fees and personnel costs.</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in the Corporate and Other segment increased 20% for the six months ended December 31, 2022, compared to the equivalent period of the prior fiscal year. The increase period over period was primarily due to higher services and support revenue.</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cost of revenue in the six months ended December 31, 2022, increased 7% when compared to the prior fiscal year period primarily due to higher internal licenses and fees, personnel costs, and hardware costs.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$25,763 at December 31, 2022, from $48,787 at June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2"/>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187,324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73,405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113,293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(125,433)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(119,822)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(64,371)</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197,351</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for the first six months of fiscal 2023 decreased 3% compared to the same period last year. Cash from operations is primarily used to repay debt, pay dividends, repurchase stock, for capital expenditures, and acquisitions.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six months of fiscal 2023 totaled $ 301,192 and included: $229,628 for an acquisition; $81,046 for the ongoing enhancements and development of existing and new product and service offerings; capital expenditures on facilities and equipment of $17,376; and $1,027 for the purchase and development of internal use software. This was partially offset by proceeds from the sale of assets of $27,885. Cash used in investing activities for the first six months of fiscal 2022 totaled $101,052 and included $71,353 for the development of software; capital expenditures of $ 22,373; and $7,364 for the purchase and development of internal use software. This was partially offset by proceeds from the sale of assets of $38.</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provided cash of $87,457 for the first six months of fiscal 2023 and included borrowings on credit facilities of $365,000. This was partially offset by payments on credit facilities of $205,042, dividends paid to stockholders of $71,454 and $1,047 net cash outflow from the issuance of stock and tax withholding related to stock-based compensation. Financing activities used cash of $118,171 in the first six months of fiscal 2022 including repurchase of treasury stock of $ 193,917, $80,065 for repayments on credit facilities and financing leases, and $67,696 for the payment of dividends. This was partially offset by borrowings on credit facilities of $220,000 and $3,507 net cash inflow from the issuance of stock and tax withholding related to stock-based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$17,376 and $22,373 for the six months ended December 31, 2022, and December 31, 2021, respectively, were made primarily for additional equipment and the improvement of existing facilities. These additions were funded from cash generated by operations. Total consolidated capital expenditures on facilities and equipment for the Company for fiscal year 2023 are expected to be approximately $57,000 and have been or will be funded from our credit facilities and cash generated by operations.</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adjustments, and $46,000 for indemnification matters under the merger agreement.</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and cash generated from operations. Payrailz provides cloud-native, API-first, AI-enabled consumer and commercial digital payment solutions and experiences that enable money to be moved in the moment of need.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8"/>
          <w:szCs w:val="18"/>
          <w:color w:val="auto"/>
        </w:rPr>
        <w:t>On September 29, 2022, the Company entered into an agreement with Twilio Inc., which added contractual spend obligations for the period October 1, 2022, through September 30, 2027, of $16,350. This commitment is in addition to the commitments discussed in our Annual Report on Form 10-K for the year ended June 30, 2022.</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27, 2022, the Company renewed an agreement with Microsoft, Inc., which added contractual spend obligations for the period January 1, 2023, through June 30, 2026, of $20,000 for Microsoft Azure Cloud services, and added contractual spend obligations for the period January 1, 2023, through June 30, 2026, of $49,000 for Server and Application licensing under the Microsoft Server and Cloud Enrollment Program.</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2022, and June 30, 2022, there were 31,043 shares in treasury stock and the Company had the remaining authority to repurchase up to 3,948 additional shares. The total cost of treasury shares at December 31, 2022, and June 30, 2022, was $1,807,118.</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16, 2022, the Inflation Reduction Act of 2022 (“IRA”) was signed into law. The IRA made several changes to the U.S. tax code including, but not limited to, a 1% excise tax on net stock repurchases and tax incentives to promote clean energy. The Company does not expect the IRA to have a material impact on its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the prior credit agreement described below. The credit agreement allows for borrowings of up to $600,000, which may be increased by the Company to $1,000,000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December 31, 2022, the Company was in compliance with all such covenants. The amended and restated credit facility terminates August 31, 2027. There was $275,000 outstanding under the amended and restated credit facility at December 31, 2022.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June 30, 2022, there was a $115,000 outstanding balance on the prior credit facility that was entered into on February 10, 2020. The prior</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 facility was a five-year senior, unsecured revolving credit facility. The credit facility allowed for borrowings of up to $300,000, which could be increased by the Company to $700,000 at any time until maturity. The prior credit facility bore interest at a variable rate equal to (a)</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 rate based on a eurocurrency rate or (b) an alternate base rate (the highest of (i) 0%, (ii) the U.S. Bank prime rate for such day, (iii) 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the outstanding credit facility balance of $160,000 at December 31, 2022, compared to June 30, 2022, was primarily due to the acquisition of Payrailz during the six months ended December 31, 2022. This borrowing, along with recent increases in prevailing interest rates, is expected to contribute to increased interest expense during fiscal 2023, and until our outstanding balances are reduced.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was renewed in March 2021 and expires on April 30, 2023. At December 31, 2022, and June 30, 2022, no amount was outstanding.</w:t>
      </w:r>
    </w:p>
    <w:p>
      <w:pPr>
        <w:spacing w:after="0" w:line="198" w:lineRule="exact"/>
        <w:rPr>
          <w:sz w:val="20"/>
          <w:szCs w:val="20"/>
          <w:color w:val="auto"/>
        </w:rPr>
      </w:pPr>
    </w:p>
    <w:p>
      <w:pPr>
        <w:ind w:right="4240"/>
        <w:spacing w:after="0" w:line="360"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87"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8"/>
          <w:szCs w:val="18"/>
          <w:color w:val="auto"/>
        </w:rPr>
        <w:t>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had $275,000 outstanding debt with variable interest rates as of December 31, 2022, and a 1% increase in our borrowing rate would increase our annual interest expense by $2,750.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December 31, 2022,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December 31,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Total Number of</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Shares</w:t>
            </w:r>
          </w:p>
        </w:tc>
        <w:tc>
          <w:tcPr>
            <w:tcW w:w="12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58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October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November 1- November 30, 2022</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December 31, 2022</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47"/>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3,947,713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8"/>
        <w:spacing w:after="0" w:line="238" w:lineRule="auto"/>
        <w:tabs>
          <w:tab w:leader="none" w:pos="201"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17, 2021, were for 35 million shares. Under these authorizations, the Company has repurchased and not re-issued 31,042,903 shares and has repurchased and re-issued 9,384 shares. These authorizations have no specific dollar or share price targets and no expiration 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December 31, 2022, and June 30, 2022, (ii) the Condensed Consolidated Statements of Income for the three and six months ended December 31, 2022, and 2021, (iii) the Condensed Consolidated Statements of Changes in Shareholders' Equity for the three and six months ended December 31, 2022, and 2021, (iv) the Condensed Consolidated Statements of Cash Flows for the six months ended December 31, 2022, and 2021,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9, 2023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February 9, 2023</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six month period ended December 31,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six month period ended December 31,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2023</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2023-02-09T14:08:49Z</dcterms:created>
  <dcterms:modified xsi:type="dcterms:W3CDTF">2023-02-09T14:08:49Z</dcterms:modified>
</cp:coreProperties>
</file>