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w:t>
      </w:r>
    </w:p>
    <w:p>
      <w:pPr>
        <w:spacing w:after="0" w:line="238" w:lineRule="auto"/>
        <w:rPr>
          <w:sz w:val="20"/>
          <w:szCs w:val="20"/>
          <w:color w:val="auto"/>
        </w:rPr>
      </w:pPr>
      <w:r>
        <w:rPr>
          <w:rFonts w:ascii="Courier New" w:cs="Courier New" w:eastAsia="Courier New" w:hAnsi="Courier New"/>
          <w:sz w:val="18"/>
          <w:szCs w:val="18"/>
          <w:color w:val="auto"/>
        </w:rPr>
        <w:t>Henry (Jack) &amp; Associates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 426281101</w:t>
      </w:r>
    </w:p>
    <w:p>
      <w:pPr>
        <w:spacing w:after="0" w:line="238" w:lineRule="auto"/>
        <w:rPr>
          <w:sz w:val="20"/>
          <w:szCs w:val="20"/>
          <w:color w:val="auto"/>
        </w:rPr>
      </w:pPr>
      <w:r>
        <w:rPr>
          <w:rFonts w:ascii="Courier New" w:cs="Courier New" w:eastAsia="Courier New" w:hAnsi="Courier New"/>
          <w:sz w:val="18"/>
          <w:szCs w:val="18"/>
          <w:color w:val="auto"/>
        </w:rPr>
        <w:t>Filing Fee: Yes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426281101</w:t>
      </w:r>
    </w:p>
    <w:p>
      <w:pPr>
        <w:spacing w:after="0"/>
        <w:tabs>
          <w:tab w:leader="none" w:pos="5140" w:val="left"/>
        </w:tabs>
        <w:rPr>
          <w:sz w:val="20"/>
          <w:szCs w:val="20"/>
          <w:color w:val="auto"/>
        </w:rPr>
      </w:pPr>
      <w:r>
        <w:rPr>
          <w:rFonts w:ascii="Courier New" w:cs="Courier New" w:eastAsia="Courier New" w:hAnsi="Courier New"/>
          <w:sz w:val="18"/>
          <w:szCs w:val="18"/>
          <w:color w:val="auto"/>
        </w:rPr>
        <w:t>Item 1: Reporting Person - FMR Corp. - (Tax ID:</w:t>
      </w:r>
      <w:r>
        <w:rPr>
          <w:sz w:val="20"/>
          <w:szCs w:val="20"/>
          <w:color w:val="auto"/>
        </w:rPr>
        <w:tab/>
      </w:r>
      <w:r>
        <w:rPr>
          <w:rFonts w:ascii="Courier New" w:cs="Courier New" w:eastAsia="Courier New" w:hAnsi="Courier New"/>
          <w:sz w:val="16"/>
          <w:szCs w:val="16"/>
          <w:color w:val="auto"/>
        </w:rPr>
        <w:t>04-2507163)</w:t>
      </w:r>
    </w:p>
    <w:p>
      <w:pPr>
        <w:spacing w:after="0"/>
        <w:rPr>
          <w:sz w:val="20"/>
          <w:szCs w:val="20"/>
          <w:color w:val="auto"/>
        </w:rPr>
      </w:pPr>
      <w:r>
        <w:rPr>
          <w:rFonts w:ascii="Courier New" w:cs="Courier New" w:eastAsia="Courier New" w:hAnsi="Courier New"/>
          <w:sz w:val="18"/>
          <w:szCs w:val="18"/>
          <w:color w:val="auto"/>
        </w:rPr>
        <w:t>Item 4: Commonwealth of Massachusetts</w:t>
      </w:r>
    </w:p>
    <w:p>
      <w:pPr>
        <w:sectPr>
          <w:pgSz w:w="11900" w:h="16855" w:orient="portrait"/>
          <w:cols w:equalWidth="0" w:num="1">
            <w:col w:w="10219"/>
          </w:cols>
          <w:pgMar w:left="240" w:top="852" w:right="1440" w:bottom="0" w:gutter="0" w:footer="0" w:header="0"/>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462,933 Item 6: None Item 7: 640,966 Item 8: None Item 9: 640,966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HC</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426281101</w:t>
      </w:r>
    </w:p>
    <w:p>
      <w:pPr>
        <w:spacing w:after="0"/>
        <w:tabs>
          <w:tab w:leader="none" w:pos="6300" w:val="left"/>
        </w:tabs>
        <w:rPr>
          <w:sz w:val="20"/>
          <w:szCs w:val="20"/>
          <w:color w:val="auto"/>
        </w:rPr>
      </w:pPr>
      <w:r>
        <w:rPr>
          <w:rFonts w:ascii="Courier New" w:cs="Courier New" w:eastAsia="Courier New" w:hAnsi="Courier New"/>
          <w:sz w:val="18"/>
          <w:szCs w:val="18"/>
          <w:color w:val="auto"/>
        </w:rPr>
        <w:t>Item 1: Reporting Person - Edward C. Johnson 3d - (Tax ID:</w:t>
      </w:r>
      <w:r>
        <w:rPr>
          <w:sz w:val="20"/>
          <w:szCs w:val="20"/>
          <w:color w:val="auto"/>
        </w:rPr>
        <w:tab/>
      </w:r>
      <w:r>
        <w:rPr>
          <w:rFonts w:ascii="Courier New" w:cs="Courier New" w:eastAsia="Courier New" w:hAnsi="Courier New"/>
          <w:sz w:val="16"/>
          <w:szCs w:val="16"/>
          <w:color w:val="auto"/>
        </w:rPr>
        <w:t>###-##-####)</w:t>
      </w:r>
    </w:p>
    <w:p>
      <w:pPr>
        <w:spacing w:after="0"/>
        <w:rPr>
          <w:sz w:val="20"/>
          <w:szCs w:val="20"/>
          <w:color w:val="auto"/>
        </w:rPr>
      </w:pPr>
      <w:r>
        <w:rPr>
          <w:rFonts w:ascii="Courier New" w:cs="Courier New" w:eastAsia="Courier New" w:hAnsi="Courier New"/>
          <w:sz w:val="18"/>
          <w:szCs w:val="18"/>
          <w:color w:val="auto"/>
        </w:rPr>
        <w:t>Item 4: United States of America</w:t>
      </w:r>
    </w:p>
    <w:p>
      <w:pPr>
        <w:sectPr>
          <w:pgSz w:w="11900" w:h="16855" w:orient="portrait"/>
          <w:cols w:equalWidth="0" w:num="1">
            <w:col w:w="10219"/>
          </w:cols>
          <w:pgMar w:left="240" w:top="852" w:right="1440" w:bottom="0" w:gutter="0" w:footer="0" w:header="0"/>
          <w:type w:val="continuous"/>
        </w:sectPr>
      </w:pPr>
    </w:p>
    <w:p>
      <w:pPr>
        <w:spacing w:after="0" w:line="3" w:lineRule="exact"/>
        <w:rPr>
          <w:sz w:val="24"/>
          <w:szCs w:val="24"/>
          <w:color w:val="auto"/>
        </w:rPr>
      </w:pPr>
    </w:p>
    <w:p>
      <w:pPr>
        <w:spacing w:after="0" w:line="271" w:lineRule="auto"/>
        <w:rPr>
          <w:sz w:val="20"/>
          <w:szCs w:val="20"/>
          <w:color w:val="auto"/>
        </w:rPr>
      </w:pPr>
      <w:r>
        <w:rPr>
          <w:rFonts w:ascii="Courier New" w:cs="Courier New" w:eastAsia="Courier New" w:hAnsi="Courier New"/>
          <w:sz w:val="16"/>
          <w:szCs w:val="16"/>
          <w:color w:val="auto"/>
        </w:rPr>
        <w:t>Item 5: None Item 6: None Item 7: 640,966 Item 8: None Item 9: 640,966 Item 11: Item 12: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5.49%</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218" w:lineRule="exact"/>
        <w:rPr>
          <w:sz w:val="24"/>
          <w:szCs w:val="24"/>
          <w:color w:val="auto"/>
        </w:rPr>
      </w:pPr>
    </w:p>
    <w:p>
      <w:pPr>
        <w:sectPr>
          <w:pgSz w:w="11900" w:h="16855" w:orient="portrait"/>
          <w:cols w:equalWidth="0" w:num="2">
            <w:col w:w="1580" w:space="120"/>
            <w:col w:w="8519"/>
          </w:cols>
          <w:pgMar w:left="240" w:top="852" w:right="1440" w:bottom="0" w:gutter="0" w:footer="0" w:header="0"/>
          <w:type w:val="continuous"/>
        </w:sectPr>
      </w:pPr>
    </w:p>
    <w:p>
      <w:pPr>
        <w:spacing w:after="0" w:line="200" w:lineRule="exact"/>
        <w:rPr>
          <w:sz w:val="24"/>
          <w:szCs w:val="24"/>
          <w:color w:val="auto"/>
        </w:rPr>
      </w:pPr>
    </w:p>
    <w:p>
      <w:pPr>
        <w:spacing w:after="0" w:line="39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Henry (Jack) &amp; Associates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663 Highway 60, P.O. Box 807</w:t>
      </w:r>
    </w:p>
    <w:p>
      <w:pPr>
        <w:ind w:left="1700"/>
        <w:spacing w:after="0"/>
        <w:tabs>
          <w:tab w:leader="none" w:pos="2940" w:val="left"/>
        </w:tabs>
        <w:rPr>
          <w:sz w:val="20"/>
          <w:szCs w:val="20"/>
          <w:color w:val="auto"/>
        </w:rPr>
      </w:pPr>
      <w:r>
        <w:rPr>
          <w:rFonts w:ascii="Courier New" w:cs="Courier New" w:eastAsia="Courier New" w:hAnsi="Courier New"/>
          <w:sz w:val="18"/>
          <w:szCs w:val="18"/>
          <w:color w:val="auto"/>
        </w:rPr>
        <w:t>Monett, MO</w:t>
      </w:r>
      <w:r>
        <w:rPr>
          <w:sz w:val="20"/>
          <w:szCs w:val="20"/>
          <w:color w:val="auto"/>
        </w:rPr>
        <w:tab/>
      </w:r>
      <w:r>
        <w:rPr>
          <w:rFonts w:ascii="Courier New" w:cs="Courier New" w:eastAsia="Courier New" w:hAnsi="Courier New"/>
          <w:sz w:val="16"/>
          <w:szCs w:val="16"/>
          <w:color w:val="auto"/>
        </w:rPr>
        <w:t>65708-1230</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426281101</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1700" w:hanging="849"/>
        <w:spacing w:after="0"/>
        <w:tabs>
          <w:tab w:leader="none" w:pos="17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640,966</w:t>
      </w:r>
    </w:p>
    <w:p>
      <w:pPr>
        <w:sectPr>
          <w:pgSz w:w="11900" w:h="16855"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5.49%</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462,933</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640,966</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37"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 Henry (Jack) &amp; Associates Incorporated. No one person's interest in the common stock of Henry (Jack) &amp; Associates Incorporated is more than five percent of the total outstanding common stock.</w:t>
      </w:r>
    </w:p>
    <w:p>
      <w:pPr>
        <w:spacing w:after="0" w:line="210"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Henry (Jack) &amp; Associates Incorporated at December 31, 1994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217,233 shares or 1.86% of the common stock outstanding of Henry (Jack) &amp; Associates Incorporated ("the Company") as a result of acting as investment adviser to several investment companies registered under Section 8 of the Investment Company Act of 1940, and as a result of acting as sub-adviser to Fidelity American Special Situations Trust ("FASST").</w:t>
      </w:r>
    </w:p>
    <w:p>
      <w:pPr>
        <w:spacing w:after="0" w:line="215"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FASST is a unit trust established and authorized by the Department of Trade and Industry under the laws of England. The investment adviser of FASST is Fidelity Investment Services Limited, an English company and a subsidiary of Fidelity International Limited ("FIL").</w:t>
      </w:r>
    </w:p>
    <w:p>
      <w:pPr>
        <w:spacing w:after="0" w:line="207" w:lineRule="exact"/>
        <w:rPr>
          <w:sz w:val="20"/>
          <w:szCs w:val="20"/>
          <w:color w:val="auto"/>
        </w:rPr>
      </w:pPr>
    </w:p>
    <w:p>
      <w:pPr>
        <w:ind w:right="1679" w:firstLine="843"/>
        <w:spacing w:after="0" w:line="290" w:lineRule="auto"/>
        <w:rPr>
          <w:sz w:val="20"/>
          <w:szCs w:val="20"/>
          <w:color w:val="auto"/>
        </w:rPr>
      </w:pPr>
      <w:r>
        <w:rPr>
          <w:rFonts w:ascii="Courier New" w:cs="Courier New" w:eastAsia="Courier New" w:hAnsi="Courier New"/>
          <w:sz w:val="16"/>
          <w:szCs w:val="16"/>
          <w:color w:val="auto"/>
        </w:rPr>
        <w:t>Edward C. Johnson 3d, FMR Corp., through its control of Fidelity, and the Funds each has sole power to dispose of the 178,033 shares owned by the Funds.</w:t>
      </w:r>
    </w:p>
    <w:p>
      <w:pPr>
        <w:spacing w:after="0" w:line="170"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779" w:firstLine="843"/>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39,200 shares held by FASST.</w:t>
      </w:r>
    </w:p>
    <w:p>
      <w:pPr>
        <w:spacing w:after="0" w:line="208"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423,733 shares or 3.63%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voting and dispositive power over 423,733 shares of common stock owned by the institutional account(s) as reported above.</w:t>
      </w:r>
    </w:p>
    <w:p>
      <w:pPr>
        <w:spacing w:after="0" w:line="207"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also the beneficial owner of 39,200 shares or 0.34% of the common stock outstanding of the company owned by FASST. Additional information with respect to the beneficial ownership of Fidelity International Limited is shown on Exhibit B, page 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the beneficial owner of 39,200 shares</w:t>
      </w:r>
    </w:p>
    <w:p>
      <w:pPr>
        <w:spacing w:after="0" w:line="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or 0.34% of the common stock outstanding of Henry (Jack) &amp; Associates Incorporated owned by FASST.</w:t>
      </w:r>
    </w:p>
    <w:p>
      <w:pPr>
        <w:spacing w:after="0" w:line="208" w:lineRule="exact"/>
        <w:rPr>
          <w:sz w:val="20"/>
          <w:szCs w:val="20"/>
          <w:color w:val="auto"/>
        </w:rPr>
      </w:pPr>
    </w:p>
    <w:p>
      <w:pPr>
        <w:ind w:right="1879" w:firstLine="843"/>
        <w:spacing w:after="0" w:line="290"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w:t>
      </w:r>
    </w:p>
    <w:p>
      <w:pPr>
        <w:sectPr>
          <w:pgSz w:w="11900" w:h="16838" w:orient="portrait"/>
          <w:cols w:equalWidth="0" w:num="1">
            <w:col w:w="10219"/>
          </w:cols>
          <w:pgMar w:left="240" w:top="136" w:right="1440" w:bottom="0" w:gutter="0" w:footer="0" w:header="0"/>
        </w:sectPr>
      </w:pPr>
    </w:p>
    <w:bookmarkStart w:id="3" w:name="page4"/>
    <w:bookmarkEnd w:id="3"/>
    <w:p>
      <w:pPr>
        <w:ind w:right="1999"/>
        <w:spacing w:after="0" w:line="237" w:lineRule="auto"/>
        <w:rPr>
          <w:sz w:val="20"/>
          <w:szCs w:val="20"/>
          <w:color w:val="auto"/>
        </w:rPr>
      </w:pPr>
      <w:r>
        <w:rPr>
          <w:rFonts w:ascii="Courier New" w:cs="Courier New" w:eastAsia="Courier New" w:hAnsi="Courier New"/>
          <w:sz w:val="18"/>
          <w:szCs w:val="18"/>
          <w:color w:val="auto"/>
        </w:rPr>
        <w:t>Corp. On that date, the shares of FIL held by Fidelity were distributed, as a 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09"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08"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FMR Corp. and FIL are of the view that they are not acting as a "group"</w:t>
      </w:r>
    </w:p>
    <w:tbl>
      <w:tblPr>
        <w:tblLayout w:type="fixed"/>
        <w:tblInd w:w="0" w:type="dxa"/>
        <w:tblCellMar>
          <w:top w:w="0" w:type="dxa"/>
          <w:left w:w="0" w:type="dxa"/>
          <w:bottom w:w="0" w:type="dxa"/>
          <w:right w:w="0" w:type="dxa"/>
        </w:tblCellMar>
      </w:tblPr>
      <w:tr>
        <w:trPr>
          <w:trHeight w:val="203"/>
        </w:trPr>
        <w:tc>
          <w:tcPr>
            <w:tcW w:w="37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for purposes of Section 13(d) under</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Securities</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Exchange Act of 1934 (the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"1934" Act) and that</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they</w:t>
            </w:r>
          </w:p>
        </w:tc>
        <w:tc>
          <w:tcPr>
            <w:tcW w:w="42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are not otherwise required to attribute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each</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other the "beneficial</w:t>
            </w:r>
          </w:p>
        </w:tc>
        <w:tc>
          <w:tcPr>
            <w:tcW w:w="15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ownership" of</w:t>
            </w:r>
          </w:p>
        </w:tc>
        <w:tc>
          <w:tcPr>
            <w:tcW w:w="448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securities "beneficially owned" by the</w:t>
            </w:r>
          </w:p>
        </w:tc>
      </w:tr>
      <w:tr>
        <w:trPr>
          <w:trHeight w:val="203"/>
        </w:trPr>
        <w:tc>
          <w:tcPr>
            <w:tcW w:w="532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other corporation within the meaning of Rule 13d-3</w:t>
            </w:r>
          </w:p>
        </w:tc>
        <w:tc>
          <w:tcPr>
            <w:tcW w:w="29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promulgated under the 1934</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Act.  Therefore, they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are</w:t>
            </w:r>
          </w:p>
        </w:tc>
        <w:tc>
          <w:tcPr>
            <w:tcW w:w="3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of the view that the shares held</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other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 need not</w:t>
            </w:r>
          </w:p>
        </w:tc>
        <w:tc>
          <w:tcPr>
            <w:tcW w:w="31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7"/>
              </w:rPr>
              <w:t>be aggregated for purposes of</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Section</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13(d).</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However, FMR</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 is making this</w:t>
            </w:r>
          </w:p>
        </w:tc>
        <w:tc>
          <w:tcPr>
            <w:tcW w:w="396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7"/>
              </w:rPr>
              <w:t>filing on a voluntary basis as if all</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of the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are</w:t>
            </w:r>
          </w:p>
        </w:tc>
      </w:tr>
      <w:tr>
        <w:trPr>
          <w:trHeight w:val="203"/>
        </w:trPr>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beneficially owned by</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FMR</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Corp. and</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FIL on a joint</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basis.</w:t>
            </w:r>
          </w:p>
        </w:tc>
        <w:tc>
          <w:tcPr>
            <w:tcW w:w="7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15" w:lineRule="exact"/>
        <w:rPr>
          <w:sz w:val="20"/>
          <w:szCs w:val="20"/>
          <w:color w:val="auto"/>
        </w:rPr>
      </w:pPr>
    </w:p>
    <w:p>
      <w:pPr>
        <w:ind w:right="2099" w:firstLine="1054"/>
        <w:spacing w:after="0" w:line="235" w:lineRule="auto"/>
        <w:rPr>
          <w:sz w:val="20"/>
          <w:szCs w:val="20"/>
          <w:color w:val="auto"/>
        </w:rPr>
      </w:pPr>
      <w:r>
        <w:rPr>
          <w:rFonts w:ascii="Courier New" w:cs="Courier New" w:eastAsia="Courier New" w:hAnsi="Courier New"/>
          <w:sz w:val="18"/>
          <w:szCs w:val="18"/>
          <w:color w:val="auto"/>
        </w:rPr>
        <w:t>FIL, FMR Corp., through its control of Fidelity, and FASST each has sole power to vote and to dispose of the 39,200 shares held by FASST.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Henry (Jack) &amp; Associates Incorporated at December 31, 1994.</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Corp.</w:t>
      </w:r>
    </w:p>
    <w:p>
      <w:pPr>
        <w:ind w:left="860"/>
        <w:spacing w:after="0" w:line="238" w:lineRule="auto"/>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rPr>
          <w:sz w:val="20"/>
          <w:szCs w:val="20"/>
          <w:color w:val="auto"/>
        </w:rPr>
      </w:pPr>
      <w:r>
        <w:rPr>
          <w:rFonts w:ascii="Courier New" w:cs="Courier New" w:eastAsia="Courier New" w:hAnsi="Courier New"/>
          <w:sz w:val="18"/>
          <w:szCs w:val="18"/>
          <w:color w:val="auto"/>
        </w:rPr>
        <w:t>Arthur S. Loring</w:t>
      </w:r>
    </w:p>
    <w:p>
      <w:pPr>
        <w:spacing w:after="0" w:line="237" w:lineRule="auto"/>
        <w:rPr>
          <w:sz w:val="20"/>
          <w:szCs w:val="20"/>
          <w:color w:val="auto"/>
        </w:rPr>
      </w:pPr>
      <w:r>
        <w:rPr>
          <w:rFonts w:ascii="Courier New" w:cs="Courier New" w:eastAsia="Courier New" w:hAnsi="Courier New"/>
          <w:sz w:val="18"/>
          <w:szCs w:val="18"/>
          <w:color w:val="auto"/>
        </w:rPr>
        <w:t>Vice President - Legal</w:t>
      </w:r>
    </w:p>
    <w:p>
      <w:pPr>
        <w:ind w:left="860"/>
        <w:spacing w:after="0" w:line="238" w:lineRule="auto"/>
        <w:rPr>
          <w:sz w:val="20"/>
          <w:szCs w:val="20"/>
          <w:color w:val="auto"/>
        </w:rPr>
      </w:pPr>
      <w:r>
        <w:rPr>
          <w:rFonts w:ascii="Courier New" w:cs="Courier New" w:eastAsia="Courier New" w:hAnsi="Courier New"/>
          <w:sz w:val="18"/>
          <w:szCs w:val="18"/>
          <w:color w:val="auto"/>
        </w:rPr>
        <w:t>Edward C. Johnson 3d</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Under Power of Attorney dated</w:t>
      </w:r>
    </w:p>
    <w:p>
      <w:pPr>
        <w:spacing w:after="0" w:line="237" w:lineRule="auto"/>
        <w:rPr>
          <w:sz w:val="20"/>
          <w:szCs w:val="20"/>
          <w:color w:val="auto"/>
        </w:rPr>
      </w:pPr>
      <w:r>
        <w:rPr>
          <w:rFonts w:ascii="Courier New" w:cs="Courier New" w:eastAsia="Courier New" w:hAnsi="Courier New"/>
          <w:sz w:val="18"/>
          <w:szCs w:val="18"/>
          <w:color w:val="auto"/>
        </w:rPr>
        <w:t>5/17/89</w:t>
      </w:r>
    </w:p>
    <w:p>
      <w:pPr>
        <w:spacing w:after="0"/>
        <w:rPr>
          <w:sz w:val="20"/>
          <w:szCs w:val="20"/>
          <w:color w:val="auto"/>
        </w:rPr>
      </w:pPr>
      <w:r>
        <w:rPr>
          <w:rFonts w:ascii="Courier New" w:cs="Courier New" w:eastAsia="Courier New" w:hAnsi="Courier New"/>
          <w:sz w:val="18"/>
          <w:szCs w:val="18"/>
          <w:color w:val="auto"/>
        </w:rPr>
        <w:t>On File with Schedule 13G for</w:t>
      </w:r>
    </w:p>
    <w:p>
      <w:pPr>
        <w:spacing w:after="0" w:line="237" w:lineRule="auto"/>
        <w:rPr>
          <w:sz w:val="20"/>
          <w:szCs w:val="20"/>
          <w:color w:val="auto"/>
        </w:rPr>
      </w:pPr>
      <w:r>
        <w:rPr>
          <w:rFonts w:ascii="Courier New" w:cs="Courier New" w:eastAsia="Courier New" w:hAnsi="Courier New"/>
          <w:sz w:val="18"/>
          <w:szCs w:val="18"/>
          <w:color w:val="auto"/>
        </w:rPr>
        <w:t>Airborne Freight Corp. 9/10/91</w:t>
      </w:r>
    </w:p>
    <w:p>
      <w:pPr>
        <w:ind w:left="860"/>
        <w:spacing w:after="0" w:line="238" w:lineRule="auto"/>
        <w:rPr>
          <w:sz w:val="20"/>
          <w:szCs w:val="20"/>
          <w:color w:val="auto"/>
        </w:rPr>
      </w:pPr>
      <w:r>
        <w:rPr>
          <w:rFonts w:ascii="Courier New" w:cs="Courier New" w:eastAsia="Courier New" w:hAnsi="Courier New"/>
          <w:sz w:val="18"/>
          <w:szCs w:val="18"/>
          <w:color w:val="auto"/>
        </w:rPr>
        <w:t>Fidelity Management &amp; Research Company</w:t>
      </w:r>
    </w:p>
    <w:p>
      <w:pPr>
        <w:ind w:left="860"/>
        <w:spacing w:after="0"/>
        <w:tabs>
          <w:tab w:leader="none" w:pos="1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/s/Arthur S. Loring</w:t>
      </w:r>
    </w:p>
    <w:p>
      <w:pPr>
        <w:spacing w:after="0" w:line="237" w:lineRule="auto"/>
        <w:rPr>
          <w:sz w:val="20"/>
          <w:szCs w:val="20"/>
          <w:color w:val="auto"/>
        </w:rPr>
      </w:pPr>
      <w:r>
        <w:rPr>
          <w:rFonts w:ascii="Courier New" w:cs="Courier New" w:eastAsia="Courier New" w:hAnsi="Courier New"/>
          <w:sz w:val="18"/>
          <w:szCs w:val="18"/>
          <w:color w:val="auto"/>
        </w:rPr>
        <w:t>Arthur S. Loring</w:t>
      </w:r>
    </w:p>
    <w:p>
      <w:pPr>
        <w:sectPr>
          <w:pgSz w:w="11900" w:h="16838" w:orient="portrait"/>
          <w:cols w:equalWidth="0" w:num="1">
            <w:col w:w="10219"/>
          </w:cols>
          <w:pgMar w:left="240" w:top="142" w:right="1440" w:bottom="0" w:gutter="0" w:footer="0" w:header="0"/>
        </w:sectPr>
      </w:pPr>
    </w:p>
    <w:bookmarkStart w:id="4" w:name="page5"/>
    <w:bookmarkEnd w:id="4"/>
    <w:p>
      <w:pPr>
        <w:spacing w:after="0"/>
        <w:rPr>
          <w:sz w:val="20"/>
          <w:szCs w:val="20"/>
          <w:color w:val="auto"/>
        </w:rPr>
      </w:pPr>
      <w:r>
        <w:rPr>
          <w:rFonts w:ascii="Courier New" w:cs="Courier New" w:eastAsia="Courier New" w:hAnsi="Courier New"/>
          <w:sz w:val="16"/>
          <w:szCs w:val="16"/>
          <w:color w:val="auto"/>
        </w:rPr>
        <w:t>Sr. V.P. and General Counsel</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2019-12-13T15:47:04Z</dcterms:created>
  <dcterms:modified xsi:type="dcterms:W3CDTF">2019-12-13T15:47:04Z</dcterms:modified>
</cp:coreProperties>
</file>