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97"/>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762"/>
        <w:spacing w:after="0"/>
        <w:tabs>
          <w:tab w:leader="none" w:pos="4462" w:val="left"/>
        </w:tabs>
        <w:rPr>
          <w:sz w:val="20"/>
          <w:szCs w:val="20"/>
          <w:color w:val="auto"/>
        </w:rPr>
      </w:pPr>
      <w:r>
        <w:rPr>
          <w:rFonts w:ascii="Courier New" w:cs="Courier New" w:eastAsia="Courier New" w:hAnsi="Courier New"/>
          <w:sz w:val="16"/>
          <w:szCs w:val="16"/>
          <w:color w:val="auto"/>
        </w:rPr>
        <w:t>Washington, D.C.</w:t>
        <w:tab/>
        <w:t>20549</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ind w:left="2662" w:right="3839" w:hanging="2662"/>
        <w:spacing w:after="0" w:line="239" w:lineRule="auto"/>
        <w:tabs>
          <w:tab w:leader="none" w:pos="37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373" w:lineRule="exact"/>
        <w:rPr>
          <w:sz w:val="24"/>
          <w:szCs w:val="24"/>
          <w:color w:val="auto"/>
        </w:rPr>
      </w:pPr>
    </w:p>
    <w:p>
      <w:pPr>
        <w:ind w:left="2382" w:right="4499" w:hanging="2382"/>
        <w:spacing w:after="0" w:line="259" w:lineRule="auto"/>
        <w:tabs>
          <w:tab w:leader="none" w:pos="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ind w:left="2"/>
        <w:spacing w:after="0" w:line="236" w:lineRule="auto"/>
        <w:rPr>
          <w:sz w:val="20"/>
          <w:szCs w:val="20"/>
          <w:color w:val="auto"/>
        </w:rPr>
      </w:pPr>
      <w:r>
        <w:rPr>
          <w:rFonts w:ascii="Courier New" w:cs="Courier New" w:eastAsia="Courier New" w:hAnsi="Courier New"/>
          <w:sz w:val="16"/>
          <w:szCs w:val="16"/>
          <w:color w:val="auto"/>
        </w:rPr>
        <w:t>For the transition period from _______________ to ________________</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Commission file number 0-14112</w:t>
      </w:r>
    </w:p>
    <w:p>
      <w:pPr>
        <w:spacing w:after="0" w:line="186"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JACK HENRY &amp; ASSOCIATES, INC.</w:t>
      </w:r>
    </w:p>
    <w:p>
      <w:pPr>
        <w:spacing w:after="0" w:line="5"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1"/>
          </w:cols>
          <w:pgMar w:left="238" w:top="420" w:right="1440" w:bottom="0" w:gutter="0" w:footer="0" w:header="0"/>
        </w:sectPr>
      </w:pPr>
    </w:p>
    <w:p>
      <w:pPr>
        <w:spacing w:after="0" w:line="194" w:lineRule="exact"/>
        <w:rPr>
          <w:sz w:val="24"/>
          <w:szCs w:val="24"/>
          <w:color w:val="auto"/>
        </w:rPr>
      </w:pPr>
    </w:p>
    <w:p>
      <w:pPr>
        <w:ind w:left="1902"/>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582"/>
        <w:spacing w:after="0"/>
        <w:rPr>
          <w:sz w:val="20"/>
          <w:szCs w:val="20"/>
          <w:color w:val="auto"/>
        </w:rPr>
      </w:pPr>
      <w:r>
        <w:rPr>
          <w:rFonts w:ascii="Courier New" w:cs="Courier New" w:eastAsia="Courier New" w:hAnsi="Courier New"/>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43-1128385</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(I.R.S. Employer</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4" w:lineRule="exact"/>
        <w:rPr>
          <w:sz w:val="24"/>
          <w:szCs w:val="24"/>
          <w:color w:val="auto"/>
        </w:rPr>
      </w:pPr>
    </w:p>
    <w:p>
      <w:pPr>
        <w:sectPr>
          <w:pgSz w:w="11900" w:h="16838" w:orient="portrait"/>
          <w:cols w:equalWidth="0" w:num="2">
            <w:col w:w="4962" w:space="0"/>
            <w:col w:w="5259"/>
          </w:cols>
          <w:pgMar w:left="238" w:top="420" w:right="1440" w:bottom="0" w:gutter="0" w:footer="0" w:header="0"/>
          <w:type w:val="continuous"/>
        </w:sectPr>
      </w:pPr>
    </w:p>
    <w:p>
      <w:pPr>
        <w:jc w:val="center"/>
        <w:ind w:right="2597"/>
        <w:spacing w:after="0"/>
        <w:tabs>
          <w:tab w:leader="none" w:pos="160" w:val="left"/>
        </w:tabs>
        <w:rPr>
          <w:sz w:val="20"/>
          <w:szCs w:val="20"/>
          <w:color w:val="auto"/>
        </w:rPr>
      </w:pPr>
      <w:r>
        <w:rPr>
          <w:rFonts w:ascii="Courier New" w:cs="Courier New" w:eastAsia="Courier New" w:hAnsi="Courier New"/>
          <w:sz w:val="16"/>
          <w:szCs w:val="16"/>
          <w:color w:val="auto"/>
        </w:rPr>
        <w:t>663 Highway 60, P. O. Box 807, Monett, MO</w:t>
        <w:tab/>
        <w:t>65708</w:t>
      </w:r>
    </w:p>
    <w:p>
      <w:pPr>
        <w:spacing w:after="0" w:line="2"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(Zip Code)</w:t>
      </w:r>
    </w:p>
    <w:p>
      <w:pPr>
        <w:spacing w:after="0" w:line="186"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417-235-6652</w:t>
      </w:r>
    </w:p>
    <w:p>
      <w:pPr>
        <w:spacing w:after="0" w:line="2"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86" w:lineRule="exact"/>
        <w:rPr>
          <w:sz w:val="24"/>
          <w:szCs w:val="24"/>
          <w:color w:val="auto"/>
        </w:rPr>
      </w:pPr>
    </w:p>
    <w:p>
      <w:pPr>
        <w:ind w:left="3722"/>
        <w:spacing w:after="0"/>
        <w:rPr>
          <w:sz w:val="20"/>
          <w:szCs w:val="20"/>
          <w:color w:val="auto"/>
        </w:rPr>
      </w:pPr>
      <w:r>
        <w:rPr>
          <w:rFonts w:ascii="Courier New" w:cs="Courier New" w:eastAsia="Courier New" w:hAnsi="Courier New"/>
          <w:sz w:val="16"/>
          <w:szCs w:val="16"/>
          <w:color w:val="auto"/>
        </w:rPr>
        <w:t>N/A</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(Former name, former address and former fiscal year, if changed since last</w:t>
      </w:r>
    </w:p>
    <w:p>
      <w:pPr>
        <w:spacing w:after="0" w:line="11"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report)</w:t>
      </w:r>
    </w:p>
    <w:p>
      <w:pPr>
        <w:sectPr>
          <w:pgSz w:w="11900" w:h="16838" w:orient="portrait"/>
          <w:cols w:equalWidth="0" w:num="1">
            <w:col w:w="10221"/>
          </w:cols>
          <w:pgMar w:left="238" w:top="420" w:right="1440" w:bottom="0" w:gutter="0" w:footer="0" w:header="0"/>
          <w:type w:val="continuous"/>
        </w:sectPr>
      </w:pPr>
    </w:p>
    <w:p>
      <w:pPr>
        <w:spacing w:after="0" w:line="186"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486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Indicate by check mark whether the registrant</w:t>
            </w:r>
          </w:p>
        </w:tc>
        <w:tc>
          <w:tcPr>
            <w:tcW w:w="2680" w:type="dxa"/>
            <w:vAlign w:val="bottom"/>
          </w:tcPr>
          <w:p>
            <w:pPr>
              <w:spacing w:after="0"/>
              <w:rPr>
                <w:sz w:val="20"/>
                <w:szCs w:val="20"/>
                <w:color w:val="auto"/>
              </w:rPr>
            </w:pPr>
            <w:r>
              <w:rPr>
                <w:rFonts w:ascii="Courier New" w:cs="Courier New" w:eastAsia="Courier New" w:hAnsi="Courier New"/>
                <w:sz w:val="16"/>
                <w:szCs w:val="16"/>
                <w:color w:val="auto"/>
              </w:rPr>
              <w:t>(1) has filed all reports</w:t>
            </w:r>
          </w:p>
        </w:tc>
      </w:tr>
      <w:tr>
        <w:trPr>
          <w:trHeight w:val="183"/>
        </w:trPr>
        <w:tc>
          <w:tcPr>
            <w:tcW w:w="4860" w:type="dxa"/>
            <w:vAlign w:val="bottom"/>
            <w:gridSpan w:val="3"/>
          </w:tcPr>
          <w:p>
            <w:pPr>
              <w:spacing w:after="0"/>
              <w:rPr>
                <w:sz w:val="20"/>
                <w:szCs w:val="20"/>
                <w:color w:val="auto"/>
              </w:rPr>
            </w:pPr>
            <w:r>
              <w:rPr>
                <w:rFonts w:ascii="Courier New" w:cs="Courier New" w:eastAsia="Courier New" w:hAnsi="Courier New"/>
                <w:sz w:val="16"/>
                <w:szCs w:val="16"/>
                <w:color w:val="auto"/>
              </w:rPr>
              <w:t>required to be filed by Section 13 or 15(d) of the</w:t>
            </w:r>
          </w:p>
        </w:tc>
        <w:tc>
          <w:tcPr>
            <w:tcW w:w="2680" w:type="dxa"/>
            <w:vAlign w:val="bottom"/>
          </w:tcPr>
          <w:p>
            <w:pPr>
              <w:spacing w:after="0"/>
              <w:rPr>
                <w:sz w:val="20"/>
                <w:szCs w:val="20"/>
                <w:color w:val="auto"/>
              </w:rPr>
            </w:pPr>
            <w:r>
              <w:rPr>
                <w:rFonts w:ascii="Courier New" w:cs="Courier New" w:eastAsia="Courier New" w:hAnsi="Courier New"/>
                <w:sz w:val="16"/>
                <w:szCs w:val="16"/>
                <w:color w:val="auto"/>
              </w:rPr>
              <w:t>Securities Exchange Act of</w:t>
            </w:r>
          </w:p>
        </w:tc>
      </w:tr>
      <w:tr>
        <w:trPr>
          <w:trHeight w:val="183"/>
        </w:trPr>
        <w:tc>
          <w:tcPr>
            <w:tcW w:w="7540" w:type="dxa"/>
            <w:vAlign w:val="bottom"/>
            <w:gridSpan w:val="4"/>
          </w:tcPr>
          <w:p>
            <w:pPr>
              <w:spacing w:after="0"/>
              <w:rPr>
                <w:sz w:val="20"/>
                <w:szCs w:val="20"/>
                <w:color w:val="auto"/>
              </w:rPr>
            </w:pPr>
            <w:r>
              <w:rPr>
                <w:rFonts w:ascii="Courier New" w:cs="Courier New" w:eastAsia="Courier New" w:hAnsi="Courier New"/>
                <w:sz w:val="16"/>
                <w:szCs w:val="16"/>
                <w:color w:val="auto"/>
              </w:rPr>
              <w:t>1934 during the preceding 12 months (or for such shorter period that the</w:t>
            </w:r>
          </w:p>
        </w:tc>
      </w:tr>
      <w:tr>
        <w:trPr>
          <w:trHeight w:val="183"/>
        </w:trPr>
        <w:tc>
          <w:tcPr>
            <w:tcW w:w="4860" w:type="dxa"/>
            <w:vAlign w:val="bottom"/>
            <w:gridSpan w:val="3"/>
          </w:tcPr>
          <w:p>
            <w:pPr>
              <w:spacing w:after="0"/>
              <w:rPr>
                <w:sz w:val="20"/>
                <w:szCs w:val="20"/>
                <w:color w:val="auto"/>
              </w:rPr>
            </w:pPr>
            <w:r>
              <w:rPr>
                <w:rFonts w:ascii="Courier New" w:cs="Courier New" w:eastAsia="Courier New" w:hAnsi="Courier New"/>
                <w:sz w:val="16"/>
                <w:szCs w:val="16"/>
                <w:color w:val="auto"/>
              </w:rPr>
              <w:t>registrant was required to file such reports), and</w:t>
            </w:r>
          </w:p>
        </w:tc>
        <w:tc>
          <w:tcPr>
            <w:tcW w:w="2680" w:type="dxa"/>
            <w:vAlign w:val="bottom"/>
          </w:tcPr>
          <w:p>
            <w:pPr>
              <w:spacing w:after="0"/>
              <w:rPr>
                <w:sz w:val="20"/>
                <w:szCs w:val="20"/>
                <w:color w:val="auto"/>
              </w:rPr>
            </w:pPr>
            <w:r>
              <w:rPr>
                <w:rFonts w:ascii="Courier New" w:cs="Courier New" w:eastAsia="Courier New" w:hAnsi="Courier New"/>
                <w:sz w:val="16"/>
                <w:szCs w:val="16"/>
                <w:color w:val="auto"/>
                <w:w w:val="98"/>
              </w:rPr>
              <w:t>(2) has been subject to such</w:t>
            </w:r>
          </w:p>
        </w:tc>
      </w:tr>
      <w:tr>
        <w:trPr>
          <w:trHeight w:val="183"/>
        </w:trPr>
        <w:tc>
          <w:tcPr>
            <w:tcW w:w="4860" w:type="dxa"/>
            <w:vAlign w:val="bottom"/>
            <w:gridSpan w:val="3"/>
          </w:tcPr>
          <w:p>
            <w:pPr>
              <w:spacing w:after="0"/>
              <w:rPr>
                <w:sz w:val="20"/>
                <w:szCs w:val="20"/>
                <w:color w:val="auto"/>
              </w:rPr>
            </w:pPr>
            <w:r>
              <w:rPr>
                <w:rFonts w:ascii="Courier New" w:cs="Courier New" w:eastAsia="Courier New" w:hAnsi="Courier New"/>
                <w:sz w:val="16"/>
                <w:szCs w:val="16"/>
                <w:color w:val="auto"/>
              </w:rPr>
              <w:t>filing requirements for the past 90 days.</w:t>
            </w:r>
          </w:p>
        </w:tc>
        <w:tc>
          <w:tcPr>
            <w:tcW w:w="2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Yes   x</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No</w:t>
            </w:r>
          </w:p>
        </w:tc>
        <w:tc>
          <w:tcPr>
            <w:tcW w:w="200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367"/>
        </w:trPr>
        <w:tc>
          <w:tcPr>
            <w:tcW w:w="960" w:type="dxa"/>
            <w:vAlign w:val="bottom"/>
          </w:tcPr>
          <w:p>
            <w:pPr>
              <w:spacing w:after="0"/>
              <w:rPr>
                <w:sz w:val="24"/>
                <w:szCs w:val="24"/>
                <w:color w:val="auto"/>
              </w:rPr>
            </w:pPr>
          </w:p>
        </w:tc>
        <w:tc>
          <w:tcPr>
            <w:tcW w:w="390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APPLICABLE ONLY TO CORPORATE</w:t>
            </w:r>
          </w:p>
        </w:tc>
        <w:tc>
          <w:tcPr>
            <w:tcW w:w="2680" w:type="dxa"/>
            <w:vAlign w:val="bottom"/>
          </w:tcPr>
          <w:p>
            <w:pPr>
              <w:spacing w:after="0"/>
              <w:rPr>
                <w:sz w:val="20"/>
                <w:szCs w:val="20"/>
                <w:color w:val="auto"/>
              </w:rPr>
            </w:pPr>
            <w:r>
              <w:rPr>
                <w:rFonts w:ascii="Courier New" w:cs="Courier New" w:eastAsia="Courier New" w:hAnsi="Courier New"/>
                <w:sz w:val="16"/>
                <w:szCs w:val="16"/>
                <w:color w:val="auto"/>
              </w:rPr>
              <w:t>ISSUERS:</w:t>
            </w:r>
          </w:p>
        </w:tc>
      </w:tr>
      <w:tr>
        <w:trPr>
          <w:trHeight w:val="183"/>
        </w:trPr>
        <w:tc>
          <w:tcPr>
            <w:tcW w:w="7540" w:type="dxa"/>
            <w:vAlign w:val="bottom"/>
            <w:gridSpan w:val="4"/>
          </w:tcPr>
          <w:p>
            <w:pPr>
              <w:ind w:left="480"/>
              <w:spacing w:after="0"/>
              <w:rPr>
                <w:sz w:val="20"/>
                <w:szCs w:val="20"/>
                <w:color w:val="auto"/>
              </w:rPr>
            </w:pPr>
            <w:r>
              <w:rPr>
                <w:rFonts w:ascii="Courier New" w:cs="Courier New" w:eastAsia="Courier New" w:hAnsi="Courier New"/>
                <w:sz w:val="16"/>
                <w:szCs w:val="16"/>
                <w:color w:val="auto"/>
              </w:rPr>
              <w:t>Indicate the number of shares outstanding of each of the issuer's classes</w:t>
            </w:r>
          </w:p>
        </w:tc>
      </w:tr>
      <w:tr>
        <w:trPr>
          <w:trHeight w:val="183"/>
        </w:trPr>
        <w:tc>
          <w:tcPr>
            <w:tcW w:w="4860" w:type="dxa"/>
            <w:vAlign w:val="bottom"/>
            <w:gridSpan w:val="3"/>
          </w:tcPr>
          <w:p>
            <w:pPr>
              <w:spacing w:after="0"/>
              <w:rPr>
                <w:sz w:val="20"/>
                <w:szCs w:val="20"/>
                <w:color w:val="auto"/>
              </w:rPr>
            </w:pPr>
            <w:r>
              <w:rPr>
                <w:rFonts w:ascii="Courier New" w:cs="Courier New" w:eastAsia="Courier New" w:hAnsi="Courier New"/>
                <w:sz w:val="16"/>
                <w:szCs w:val="16"/>
                <w:color w:val="auto"/>
                <w:w w:val="98"/>
              </w:rPr>
              <w:t>of common stock, as of the latest practicable date.</w:t>
            </w:r>
          </w:p>
        </w:tc>
        <w:tc>
          <w:tcPr>
            <w:tcW w:w="2680" w:type="dxa"/>
            <w:vAlign w:val="bottom"/>
          </w:tcPr>
          <w:p>
            <w:pPr>
              <w:spacing w:after="0"/>
              <w:rPr>
                <w:sz w:val="15"/>
                <w:szCs w:val="15"/>
                <w:color w:val="auto"/>
              </w:rPr>
            </w:pPr>
          </w:p>
        </w:tc>
      </w:tr>
      <w:tr>
        <w:trPr>
          <w:trHeight w:val="367"/>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w w:val="95"/>
              </w:rPr>
              <w:t>Class</w:t>
            </w:r>
          </w:p>
        </w:tc>
        <w:tc>
          <w:tcPr>
            <w:tcW w:w="1900" w:type="dxa"/>
            <w:vAlign w:val="bottom"/>
          </w:tcPr>
          <w:p>
            <w:pPr>
              <w:spacing w:after="0"/>
              <w:rPr>
                <w:sz w:val="24"/>
                <w:szCs w:val="24"/>
                <w:color w:val="auto"/>
              </w:rPr>
            </w:pPr>
          </w:p>
        </w:tc>
        <w:tc>
          <w:tcPr>
            <w:tcW w:w="4680" w:type="dxa"/>
            <w:vAlign w:val="bottom"/>
            <w:gridSpan w:val="2"/>
          </w:tcPr>
          <w:p>
            <w:pPr>
              <w:jc w:val="right"/>
              <w:ind w:right="1641"/>
              <w:spacing w:after="0"/>
              <w:rPr>
                <w:sz w:val="20"/>
                <w:szCs w:val="20"/>
                <w:color w:val="auto"/>
              </w:rPr>
            </w:pPr>
            <w:r>
              <w:rPr>
                <w:rFonts w:ascii="Courier New" w:cs="Courier New" w:eastAsia="Courier New" w:hAnsi="Courier New"/>
                <w:sz w:val="16"/>
                <w:szCs w:val="16"/>
                <w:color w:val="auto"/>
              </w:rPr>
              <w:t>Outstanding at April 30, 1995</w:t>
            </w:r>
          </w:p>
        </w:tc>
      </w:tr>
      <w:tr>
        <w:trPr>
          <w:trHeight w:val="183"/>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Common Stock, $.01 par value</w:t>
            </w:r>
          </w:p>
        </w:tc>
        <w:tc>
          <w:tcPr>
            <w:tcW w:w="4680" w:type="dxa"/>
            <w:vAlign w:val="bottom"/>
            <w:gridSpan w:val="2"/>
          </w:tcPr>
          <w:p>
            <w:pPr>
              <w:jc w:val="right"/>
              <w:ind w:right="2501"/>
              <w:spacing w:after="0"/>
              <w:rPr>
                <w:sz w:val="20"/>
                <w:szCs w:val="20"/>
                <w:color w:val="auto"/>
              </w:rPr>
            </w:pPr>
            <w:r>
              <w:rPr>
                <w:rFonts w:ascii="Courier New" w:cs="Courier New" w:eastAsia="Courier New" w:hAnsi="Courier New"/>
                <w:sz w:val="16"/>
                <w:szCs w:val="16"/>
                <w:color w:val="auto"/>
              </w:rPr>
              <w:t>11,720,028</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2482"/>
        <w:spacing w:after="0"/>
        <w:rPr>
          <w:sz w:val="20"/>
          <w:szCs w:val="20"/>
          <w:color w:val="auto"/>
        </w:rPr>
      </w:pPr>
      <w:r>
        <w:rPr>
          <w:rFonts w:ascii="Courier New" w:cs="Courier New" w:eastAsia="Courier New" w:hAnsi="Courier New"/>
          <w:sz w:val="16"/>
          <w:szCs w:val="16"/>
          <w:color w:val="auto"/>
        </w:rPr>
        <w:t>JACK HENRY &amp; ASSOCIATES, INC.</w:t>
      </w:r>
    </w:p>
    <w:p>
      <w:pPr>
        <w:spacing w:after="0" w:line="369"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CONTENTS</w:t>
      </w:r>
    </w:p>
    <w:p>
      <w:pPr>
        <w:spacing w:after="0" w:line="369" w:lineRule="exact"/>
        <w:rPr>
          <w:sz w:val="24"/>
          <w:szCs w:val="24"/>
          <w:color w:val="auto"/>
        </w:rPr>
      </w:pPr>
    </w:p>
    <w:p>
      <w:pPr>
        <w:ind w:left="5062"/>
        <w:spacing w:after="0"/>
        <w:rPr>
          <w:sz w:val="20"/>
          <w:szCs w:val="20"/>
          <w:color w:val="auto"/>
        </w:rPr>
      </w:pPr>
      <w:r>
        <w:rPr>
          <w:rFonts w:ascii="Courier New" w:cs="Courier New" w:eastAsia="Courier New" w:hAnsi="Courier New"/>
          <w:sz w:val="16"/>
          <w:szCs w:val="16"/>
          <w:color w:val="auto"/>
        </w:rPr>
        <w:t>Page No.</w:t>
      </w:r>
    </w:p>
    <w:p>
      <w:pPr>
        <w:spacing w:after="0" w:line="186" w:lineRule="exact"/>
        <w:rPr>
          <w:sz w:val="24"/>
          <w:szCs w:val="24"/>
          <w:color w:val="auto"/>
        </w:rPr>
      </w:pPr>
    </w:p>
    <w:p>
      <w:pPr>
        <w:ind w:left="2"/>
        <w:spacing w:after="0"/>
        <w:tabs>
          <w:tab w:leader="none" w:pos="1222"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6"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Item I - Financial Statements</w:t>
      </w:r>
    </w:p>
    <w:p>
      <w:pPr>
        <w:spacing w:after="0" w:line="186" w:lineRule="exact"/>
        <w:rPr>
          <w:sz w:val="24"/>
          <w:szCs w:val="24"/>
          <w:color w:val="auto"/>
        </w:rPr>
      </w:pPr>
    </w:p>
    <w:tbl>
      <w:tblPr>
        <w:tblLayout w:type="fixed"/>
        <w:tblInd w:w="962"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Condensed</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Consolidated Balance Sheets -</w:t>
            </w:r>
          </w:p>
        </w:tc>
        <w:tc>
          <w:tcPr>
            <w:tcW w:w="520" w:type="dxa"/>
            <w:vAlign w:val="bottom"/>
          </w:tcPr>
          <w:p>
            <w:pPr>
              <w:spacing w:after="0"/>
              <w:rPr>
                <w:sz w:val="15"/>
                <w:szCs w:val="15"/>
                <w:color w:val="auto"/>
              </w:rPr>
            </w:pPr>
          </w:p>
        </w:tc>
      </w:tr>
      <w:tr>
        <w:trPr>
          <w:trHeight w:val="183"/>
        </w:trPr>
        <w:tc>
          <w:tcPr>
            <w:tcW w:w="45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March 31, 1995, (Unaudited) and June</w:t>
            </w:r>
          </w:p>
        </w:tc>
        <w:tc>
          <w:tcPr>
            <w:tcW w:w="520" w:type="dxa"/>
            <w:vAlign w:val="bottom"/>
          </w:tcPr>
          <w:p>
            <w:pPr>
              <w:spacing w:after="0"/>
              <w:rPr>
                <w:sz w:val="15"/>
                <w:szCs w:val="15"/>
                <w:color w:val="auto"/>
              </w:rPr>
            </w:pPr>
          </w:p>
        </w:tc>
      </w:tr>
      <w:tr>
        <w:trPr>
          <w:trHeight w:val="183"/>
        </w:trPr>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30, 1994</w:t>
            </w:r>
          </w:p>
        </w:tc>
        <w:tc>
          <w:tcPr>
            <w:tcW w:w="36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367"/>
        </w:trPr>
        <w:tc>
          <w:tcPr>
            <w:tcW w:w="900" w:type="dxa"/>
            <w:vAlign w:val="bottom"/>
          </w:tcPr>
          <w:p>
            <w:pPr>
              <w:spacing w:after="0"/>
              <w:rPr>
                <w:sz w:val="20"/>
                <w:szCs w:val="20"/>
                <w:color w:val="auto"/>
              </w:rPr>
            </w:pPr>
            <w:r>
              <w:rPr>
                <w:rFonts w:ascii="Courier New" w:cs="Courier New" w:eastAsia="Courier New" w:hAnsi="Courier New"/>
                <w:sz w:val="16"/>
                <w:szCs w:val="16"/>
                <w:color w:val="auto"/>
              </w:rPr>
              <w:t>Condensed</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Consolidated Statements of</w:t>
            </w:r>
          </w:p>
        </w:tc>
        <w:tc>
          <w:tcPr>
            <w:tcW w:w="520" w:type="dxa"/>
            <w:vAlign w:val="bottom"/>
          </w:tcPr>
          <w:p>
            <w:pPr>
              <w:spacing w:after="0"/>
              <w:rPr>
                <w:sz w:val="24"/>
                <w:szCs w:val="24"/>
                <w:color w:val="auto"/>
              </w:rPr>
            </w:pPr>
          </w:p>
        </w:tc>
      </w:tr>
      <w:tr>
        <w:trPr>
          <w:trHeight w:val="183"/>
        </w:trPr>
        <w:tc>
          <w:tcPr>
            <w:tcW w:w="45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Operations for the Nine Months and</w:t>
            </w:r>
          </w:p>
        </w:tc>
        <w:tc>
          <w:tcPr>
            <w:tcW w:w="520" w:type="dxa"/>
            <w:vAlign w:val="bottom"/>
          </w:tcPr>
          <w:p>
            <w:pPr>
              <w:spacing w:after="0"/>
              <w:rPr>
                <w:sz w:val="15"/>
                <w:szCs w:val="15"/>
                <w:color w:val="auto"/>
              </w:rPr>
            </w:pPr>
          </w:p>
        </w:tc>
      </w:tr>
      <w:tr>
        <w:trPr>
          <w:trHeight w:val="183"/>
        </w:trPr>
        <w:tc>
          <w:tcPr>
            <w:tcW w:w="45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Three Months Ended March 31, 1995</w:t>
            </w:r>
          </w:p>
        </w:tc>
        <w:tc>
          <w:tcPr>
            <w:tcW w:w="520" w:type="dxa"/>
            <w:vAlign w:val="bottom"/>
          </w:tcPr>
          <w:p>
            <w:pPr>
              <w:spacing w:after="0"/>
              <w:rPr>
                <w:sz w:val="15"/>
                <w:szCs w:val="15"/>
                <w:color w:val="auto"/>
              </w:rPr>
            </w:pPr>
          </w:p>
        </w:tc>
      </w:tr>
      <w:tr>
        <w:trPr>
          <w:trHeight w:val="183"/>
        </w:trPr>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and 1994</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(Unaudited)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67"/>
        </w:trPr>
        <w:tc>
          <w:tcPr>
            <w:tcW w:w="900" w:type="dxa"/>
            <w:vAlign w:val="bottom"/>
          </w:tcPr>
          <w:p>
            <w:pPr>
              <w:spacing w:after="0"/>
              <w:rPr>
                <w:sz w:val="20"/>
                <w:szCs w:val="20"/>
                <w:color w:val="auto"/>
              </w:rPr>
            </w:pPr>
            <w:r>
              <w:rPr>
                <w:rFonts w:ascii="Courier New" w:cs="Courier New" w:eastAsia="Courier New" w:hAnsi="Courier New"/>
                <w:sz w:val="16"/>
                <w:szCs w:val="16"/>
                <w:color w:val="auto"/>
              </w:rPr>
              <w:t>Condensed</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Consolidated Statements of Cash</w:t>
            </w:r>
          </w:p>
        </w:tc>
        <w:tc>
          <w:tcPr>
            <w:tcW w:w="520" w:type="dxa"/>
            <w:vAlign w:val="bottom"/>
          </w:tcPr>
          <w:p>
            <w:pPr>
              <w:spacing w:after="0"/>
              <w:rPr>
                <w:sz w:val="24"/>
                <w:szCs w:val="24"/>
                <w:color w:val="auto"/>
              </w:rPr>
            </w:pPr>
          </w:p>
        </w:tc>
      </w:tr>
      <w:tr>
        <w:trPr>
          <w:trHeight w:val="183"/>
        </w:trPr>
        <w:tc>
          <w:tcPr>
            <w:tcW w:w="45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Flows for the Nine Months Ended March 31,</w:t>
            </w:r>
          </w:p>
        </w:tc>
        <w:tc>
          <w:tcPr>
            <w:tcW w:w="520" w:type="dxa"/>
            <w:vAlign w:val="bottom"/>
          </w:tcPr>
          <w:p>
            <w:pPr>
              <w:spacing w:after="0"/>
              <w:rPr>
                <w:sz w:val="15"/>
                <w:szCs w:val="15"/>
                <w:color w:val="auto"/>
              </w:rPr>
            </w:pPr>
          </w:p>
        </w:tc>
      </w:tr>
      <w:tr>
        <w:trPr>
          <w:trHeight w:val="183"/>
        </w:trPr>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1995 and</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1994 (Unaudited)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67"/>
        </w:trPr>
        <w:tc>
          <w:tcPr>
            <w:tcW w:w="4520" w:type="dxa"/>
            <w:vAlign w:val="bottom"/>
            <w:gridSpan w:val="2"/>
          </w:tcPr>
          <w:p>
            <w:pPr>
              <w:spacing w:after="0"/>
              <w:rPr>
                <w:sz w:val="20"/>
                <w:szCs w:val="20"/>
                <w:color w:val="auto"/>
              </w:rPr>
            </w:pPr>
            <w:r>
              <w:rPr>
                <w:rFonts w:ascii="Courier New" w:cs="Courier New" w:eastAsia="Courier New" w:hAnsi="Courier New"/>
                <w:sz w:val="16"/>
                <w:szCs w:val="16"/>
                <w:color w:val="auto"/>
              </w:rPr>
              <w:t>Notes to the Condensed Consolidated Financial</w:t>
            </w:r>
          </w:p>
        </w:tc>
        <w:tc>
          <w:tcPr>
            <w:tcW w:w="520" w:type="dxa"/>
            <w:vAlign w:val="bottom"/>
          </w:tcPr>
          <w:p>
            <w:pPr>
              <w:spacing w:after="0"/>
              <w:rPr>
                <w:sz w:val="24"/>
                <w:szCs w:val="24"/>
                <w:color w:val="auto"/>
              </w:rPr>
            </w:pPr>
          </w:p>
        </w:tc>
      </w:tr>
      <w:tr>
        <w:trPr>
          <w:trHeight w:val="183"/>
        </w:trPr>
        <w:tc>
          <w:tcPr>
            <w:tcW w:w="45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Statements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bl>
    <w:p>
      <w:pPr>
        <w:spacing w:after="0" w:line="186"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Item 2 - Management's Discussion and Analysis of</w:t>
      </w:r>
    </w:p>
    <w:p>
      <w:pPr>
        <w:spacing w:after="0" w:line="2" w:lineRule="exact"/>
        <w:rPr>
          <w:sz w:val="24"/>
          <w:szCs w:val="24"/>
          <w:color w:val="auto"/>
        </w:rPr>
      </w:pPr>
    </w:p>
    <w:p>
      <w:pPr>
        <w:ind w:left="1422"/>
        <w:spacing w:after="0"/>
        <w:rPr>
          <w:sz w:val="20"/>
          <w:szCs w:val="20"/>
          <w:color w:val="auto"/>
        </w:rPr>
      </w:pPr>
      <w:r>
        <w:rPr>
          <w:rFonts w:ascii="Courier New" w:cs="Courier New" w:eastAsia="Courier New" w:hAnsi="Courier New"/>
          <w:sz w:val="16"/>
          <w:szCs w:val="16"/>
          <w:color w:val="auto"/>
        </w:rPr>
        <w:t>Results of Operations and Financial</w:t>
      </w:r>
    </w:p>
    <w:p>
      <w:pPr>
        <w:sectPr>
          <w:pgSz w:w="11900" w:h="16838" w:orient="portrait"/>
          <w:cols w:equalWidth="0" w:num="1">
            <w:col w:w="10221"/>
          </w:cols>
          <w:pgMar w:left="238" w:top="420" w:right="1440" w:bottom="0" w:gutter="0" w:footer="0" w:header="0"/>
          <w:type w:val="continuous"/>
        </w:sectPr>
      </w:pPr>
    </w:p>
    <w:bookmarkStart w:id="1" w:name="page2"/>
    <w:bookmarkEnd w:id="1"/>
    <w:tbl>
      <w:tblPr>
        <w:tblLayout w:type="fixed"/>
        <w:tblInd w:w="1420" w:type="dxa"/>
        <w:tblCellMar>
          <w:top w:w="0" w:type="dxa"/>
          <w:left w:w="0" w:type="dxa"/>
          <w:bottom w:w="0" w:type="dxa"/>
          <w:right w:w="0" w:type="dxa"/>
        </w:tblCellMar>
      </w:tblPr>
      <w:tr>
        <w:trPr>
          <w:trHeight w:val="181"/>
        </w:trPr>
        <w:tc>
          <w:tcPr>
            <w:tcW w:w="2540" w:type="dxa"/>
            <w:vAlign w:val="bottom"/>
          </w:tcPr>
          <w:p>
            <w:pPr>
              <w:spacing w:after="0"/>
              <w:rPr>
                <w:sz w:val="20"/>
                <w:szCs w:val="20"/>
                <w:color w:val="auto"/>
              </w:rPr>
            </w:pPr>
            <w:r>
              <w:rPr>
                <w:rFonts w:ascii="Courier New" w:cs="Courier New" w:eastAsia="Courier New" w:hAnsi="Courier New"/>
                <w:sz w:val="16"/>
                <w:szCs w:val="16"/>
                <w:color w:val="auto"/>
              </w:rPr>
              <w:t>Condition</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8-10</w:t>
            </w:r>
          </w:p>
        </w:tc>
      </w:tr>
    </w:tbl>
    <w:p>
      <w:pPr>
        <w:spacing w:after="0" w:line="3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900" w:type="dxa"/>
            <w:vAlign w:val="bottom"/>
          </w:tcPr>
          <w:p>
            <w:pPr>
              <w:spacing w:after="0"/>
              <w:rPr>
                <w:sz w:val="20"/>
                <w:szCs w:val="20"/>
                <w:color w:val="auto"/>
              </w:rPr>
            </w:pPr>
            <w:r>
              <w:rPr>
                <w:rFonts w:ascii="Courier New" w:cs="Courier New" w:eastAsia="Courier New" w:hAnsi="Courier New"/>
                <w:sz w:val="16"/>
                <w:szCs w:val="16"/>
                <w:color w:val="auto"/>
              </w:rPr>
              <w:t>Item 5 - Other Information</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bl>
    <w:p>
      <w:pPr>
        <w:spacing w:after="0" w:line="200" w:lineRule="exact"/>
        <w:rPr>
          <w:sz w:val="20"/>
          <w:szCs w:val="20"/>
          <w:color w:val="auto"/>
        </w:rPr>
      </w:pPr>
    </w:p>
    <w:p>
      <w:pPr>
        <w:spacing w:after="0" w:line="35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36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JACK HENRY &amp; ASSOCIATES, INC. AND SUBSIDIARIES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CONSOLIDATED BALANCE SHEETS</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(In Thousands of Dollars, Except Share Data)</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6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March 31,</w:t>
            </w: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3"/>
              </w:rPr>
              <w:t>1995</w:t>
            </w:r>
          </w:p>
        </w:tc>
        <w:tc>
          <w:tcPr>
            <w:tcW w:w="10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6"/>
              </w:rPr>
              <w:t>June 30,</w:t>
            </w:r>
          </w:p>
        </w:tc>
      </w:tr>
      <w:tr>
        <w:trPr>
          <w:trHeight w:val="183"/>
        </w:trPr>
        <w:tc>
          <w:tcPr>
            <w:tcW w:w="4060" w:type="dxa"/>
            <w:vAlign w:val="bottom"/>
          </w:tcPr>
          <w:p>
            <w:pPr>
              <w:spacing w:after="0"/>
              <w:rPr>
                <w:sz w:val="15"/>
                <w:szCs w:val="15"/>
                <w:color w:val="auto"/>
              </w:rPr>
            </w:pPr>
          </w:p>
        </w:tc>
        <w:tc>
          <w:tcPr>
            <w:tcW w:w="1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(Unaudited)</w:t>
            </w:r>
          </w:p>
        </w:tc>
        <w:tc>
          <w:tcPr>
            <w:tcW w:w="4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367"/>
        </w:trPr>
        <w:tc>
          <w:tcPr>
            <w:tcW w:w="4060" w:type="dxa"/>
            <w:vAlign w:val="bottom"/>
          </w:tcPr>
          <w:p>
            <w:pPr>
              <w:ind w:left="760"/>
              <w:spacing w:after="0"/>
              <w:rPr>
                <w:sz w:val="20"/>
                <w:szCs w:val="20"/>
                <w:color w:val="auto"/>
              </w:rPr>
            </w:pPr>
            <w:r>
              <w:rPr>
                <w:rFonts w:ascii="Courier New" w:cs="Courier New" w:eastAsia="Courier New" w:hAnsi="Courier New"/>
                <w:sz w:val="16"/>
                <w:szCs w:val="16"/>
                <w:color w:val="auto"/>
              </w:rPr>
              <w:t>ASSETS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16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$ 3,151</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$ 1,942</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Short-term investments</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3"/>
              </w:rPr>
              <w:t>11,174</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9,729</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Receivables</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5,682</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11,384</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Prepaid expenses and other</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2,302</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2,126</w:t>
            </w:r>
          </w:p>
        </w:tc>
      </w:tr>
      <w:tr>
        <w:trPr>
          <w:trHeight w:val="367"/>
        </w:trPr>
        <w:tc>
          <w:tcPr>
            <w:tcW w:w="4060" w:type="dxa"/>
            <w:vAlign w:val="bottom"/>
          </w:tcPr>
          <w:p>
            <w:pPr>
              <w:ind w:left="760"/>
              <w:spacing w:after="0"/>
              <w:rPr>
                <w:sz w:val="20"/>
                <w:szCs w:val="20"/>
                <w:color w:val="auto"/>
              </w:rPr>
            </w:pPr>
            <w:r>
              <w:rPr>
                <w:rFonts w:ascii="Courier New" w:cs="Courier New" w:eastAsia="Courier New" w:hAnsi="Courier New"/>
                <w:sz w:val="16"/>
                <w:szCs w:val="16"/>
                <w:color w:val="auto"/>
              </w:rPr>
              <w:t>Total current assets</w:t>
            </w:r>
          </w:p>
        </w:tc>
        <w:tc>
          <w:tcPr>
            <w:tcW w:w="16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$22,309</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$25,181</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620" w:type="dxa"/>
            <w:vAlign w:val="bottom"/>
          </w:tcPr>
          <w:p>
            <w:pPr>
              <w:spacing w:after="0"/>
              <w:rPr>
                <w:sz w:val="24"/>
                <w:szCs w:val="24"/>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8,275</w:t>
            </w:r>
          </w:p>
        </w:tc>
        <w:tc>
          <w:tcPr>
            <w:tcW w:w="42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7,022</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Intangible assets, net of amortization</w:t>
            </w:r>
          </w:p>
        </w:tc>
        <w:tc>
          <w:tcPr>
            <w:tcW w:w="16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$ 4,581</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$ 3,238</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Computer software</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1,110</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1,196</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Investments and other</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410</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677</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Marketable equity securities</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1,062</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1,033</w:t>
            </w:r>
          </w:p>
        </w:tc>
      </w:tr>
      <w:tr>
        <w:trPr>
          <w:trHeight w:val="367"/>
        </w:trPr>
        <w:tc>
          <w:tcPr>
            <w:tcW w:w="4060" w:type="dxa"/>
            <w:vAlign w:val="bottom"/>
          </w:tcPr>
          <w:p>
            <w:pPr>
              <w:ind w:left="760"/>
              <w:spacing w:after="0"/>
              <w:rPr>
                <w:sz w:val="20"/>
                <w:szCs w:val="20"/>
                <w:color w:val="auto"/>
              </w:rPr>
            </w:pPr>
            <w:r>
              <w:rPr>
                <w:rFonts w:ascii="Courier New" w:cs="Courier New" w:eastAsia="Courier New" w:hAnsi="Courier New"/>
                <w:sz w:val="16"/>
                <w:szCs w:val="16"/>
                <w:color w:val="auto"/>
              </w:rPr>
              <w:t>Total other assets</w:t>
            </w:r>
          </w:p>
        </w:tc>
        <w:tc>
          <w:tcPr>
            <w:tcW w:w="16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$ 7,163</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$ 6,144</w:t>
            </w:r>
          </w:p>
        </w:tc>
      </w:tr>
      <w:tr>
        <w:trPr>
          <w:trHeight w:val="367"/>
        </w:trPr>
        <w:tc>
          <w:tcPr>
            <w:tcW w:w="4060" w:type="dxa"/>
            <w:vAlign w:val="bottom"/>
          </w:tcPr>
          <w:p>
            <w:pPr>
              <w:ind w:left="760"/>
              <w:spacing w:after="0"/>
              <w:rPr>
                <w:sz w:val="20"/>
                <w:szCs w:val="20"/>
                <w:color w:val="auto"/>
              </w:rPr>
            </w:pPr>
            <w:r>
              <w:rPr>
                <w:rFonts w:ascii="Courier New" w:cs="Courier New" w:eastAsia="Courier New" w:hAnsi="Courier New"/>
                <w:sz w:val="16"/>
                <w:szCs w:val="16"/>
                <w:color w:val="auto"/>
              </w:rPr>
              <w:t>Total assets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$37,747</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$38,347</w:t>
            </w:r>
          </w:p>
        </w:tc>
      </w:tr>
      <w:tr>
        <w:trPr>
          <w:trHeight w:val="550"/>
        </w:trPr>
        <w:tc>
          <w:tcPr>
            <w:tcW w:w="4060" w:type="dxa"/>
            <w:vAlign w:val="bottom"/>
          </w:tcPr>
          <w:p>
            <w:pPr>
              <w:spacing w:after="0"/>
              <w:rPr>
                <w:sz w:val="24"/>
                <w:szCs w:val="24"/>
                <w:color w:val="auto"/>
              </w:rPr>
            </w:pPr>
          </w:p>
        </w:tc>
        <w:tc>
          <w:tcPr>
            <w:tcW w:w="1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March 31,</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4060" w:type="dxa"/>
            <w:vAlign w:val="bottom"/>
          </w:tcPr>
          <w:p>
            <w:pPr>
              <w:spacing w:after="0"/>
              <w:rPr>
                <w:sz w:val="15"/>
                <w:szCs w:val="15"/>
                <w:color w:val="auto"/>
              </w:rPr>
            </w:pPr>
          </w:p>
        </w:tc>
        <w:tc>
          <w:tcPr>
            <w:tcW w:w="162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1995</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(Unaudited)</w:t>
            </w:r>
          </w:p>
        </w:tc>
        <w:tc>
          <w:tcPr>
            <w:tcW w:w="42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1994</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LIABILITIES AND STOCKHOLDERS' EQUITY</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16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$ 2,041</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$ 2,086</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Accrued expenses</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1,220</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1,541</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Income taxes</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430</w:t>
            </w:r>
          </w:p>
        </w:tc>
        <w:tc>
          <w:tcPr>
            <w:tcW w:w="42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Deferred revenue</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5,776</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10,373</w:t>
            </w:r>
          </w:p>
        </w:tc>
      </w:tr>
      <w:tr>
        <w:trPr>
          <w:trHeight w:val="183"/>
        </w:trPr>
        <w:tc>
          <w:tcPr>
            <w:tcW w:w="4060" w:type="dxa"/>
            <w:vAlign w:val="bottom"/>
          </w:tcPr>
          <w:p>
            <w:pPr>
              <w:ind w:left="760"/>
              <w:spacing w:after="0"/>
              <w:rPr>
                <w:sz w:val="20"/>
                <w:szCs w:val="20"/>
                <w:color w:val="auto"/>
              </w:rPr>
            </w:pPr>
            <w:r>
              <w:rPr>
                <w:rFonts w:ascii="Courier New" w:cs="Courier New" w:eastAsia="Courier New" w:hAnsi="Courier New"/>
                <w:sz w:val="16"/>
                <w:szCs w:val="16"/>
                <w:color w:val="auto"/>
              </w:rPr>
              <w:t>Total current liabilities</w:t>
            </w:r>
          </w:p>
        </w:tc>
        <w:tc>
          <w:tcPr>
            <w:tcW w:w="16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$ 9,467</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$14,000</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620" w:type="dxa"/>
            <w:vAlign w:val="bottom"/>
          </w:tcPr>
          <w:p>
            <w:pPr>
              <w:spacing w:after="0"/>
              <w:rPr>
                <w:sz w:val="24"/>
                <w:szCs w:val="24"/>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717</w:t>
            </w:r>
          </w:p>
        </w:tc>
        <w:tc>
          <w:tcPr>
            <w:tcW w:w="42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697</w:t>
            </w:r>
          </w:p>
        </w:tc>
      </w:tr>
      <w:tr>
        <w:trPr>
          <w:trHeight w:val="367"/>
        </w:trPr>
        <w:tc>
          <w:tcPr>
            <w:tcW w:w="4060" w:type="dxa"/>
            <w:vAlign w:val="bottom"/>
          </w:tcPr>
          <w:p>
            <w:pPr>
              <w:ind w:left="760"/>
              <w:spacing w:after="0"/>
              <w:rPr>
                <w:sz w:val="20"/>
                <w:szCs w:val="20"/>
                <w:color w:val="auto"/>
              </w:rPr>
            </w:pPr>
            <w:r>
              <w:rPr>
                <w:rFonts w:ascii="Courier New" w:cs="Courier New" w:eastAsia="Courier New" w:hAnsi="Courier New"/>
                <w:sz w:val="16"/>
                <w:szCs w:val="16"/>
                <w:color w:val="auto"/>
              </w:rPr>
              <w:t>Total liabilities</w:t>
            </w:r>
          </w:p>
        </w:tc>
        <w:tc>
          <w:tcPr>
            <w:tcW w:w="16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$10,184</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$14,697</w:t>
            </w:r>
          </w:p>
        </w:tc>
      </w:tr>
      <w:tr>
        <w:trPr>
          <w:trHeight w:val="550"/>
        </w:trPr>
        <w:tc>
          <w:tcPr>
            <w:tcW w:w="40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 $1.00 par value;</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500,000 shares authorized;</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none issued</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Common stock - $0.01 par value;</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30,000,000 shares authorized;</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11,704,528 issued @ 3/31/95</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11,674,403 issued @ 6/30/94</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117</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Additional paid-in capital</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9,199</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9,099</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unrealized loss on noncurrent</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rPr>
              <w:t>equity securities</w:t>
            </w:r>
          </w:p>
        </w:tc>
        <w:tc>
          <w:tcPr>
            <w:tcW w:w="620" w:type="dxa"/>
            <w:vAlign w:val="bottom"/>
          </w:tcPr>
          <w:p>
            <w:pPr>
              <w:spacing w:after="0"/>
              <w:rPr>
                <w:sz w:val="15"/>
                <w:szCs w:val="15"/>
                <w:color w:val="auto"/>
              </w:rPr>
            </w:pPr>
          </w:p>
        </w:tc>
        <w:tc>
          <w:tcPr>
            <w:tcW w:w="10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62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3"/>
              </w:rPr>
              <w:t>18,247</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14,478</w:t>
            </w:r>
          </w:p>
        </w:tc>
      </w:tr>
      <w:tr>
        <w:trPr>
          <w:trHeight w:val="367"/>
        </w:trPr>
        <w:tc>
          <w:tcPr>
            <w:tcW w:w="4060" w:type="dxa"/>
            <w:vAlign w:val="bottom"/>
          </w:tcPr>
          <w:p>
            <w:pPr>
              <w:ind w:left="760"/>
              <w:spacing w:after="0"/>
              <w:rPr>
                <w:sz w:val="20"/>
                <w:szCs w:val="20"/>
                <w:color w:val="auto"/>
              </w:rPr>
            </w:pPr>
            <w:r>
              <w:rPr>
                <w:rFonts w:ascii="Courier New" w:cs="Courier New" w:eastAsia="Courier New" w:hAnsi="Courier New"/>
                <w:sz w:val="16"/>
                <w:szCs w:val="16"/>
                <w:color w:val="auto"/>
              </w:rPr>
              <w:t>Total stockholders' equity</w:t>
            </w:r>
          </w:p>
        </w:tc>
        <w:tc>
          <w:tcPr>
            <w:tcW w:w="16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$27,563</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$23,650</w:t>
            </w:r>
          </w:p>
        </w:tc>
      </w:tr>
      <w:tr>
        <w:trPr>
          <w:trHeight w:val="367"/>
        </w:trPr>
        <w:tc>
          <w:tcPr>
            <w:tcW w:w="4060" w:type="dxa"/>
            <w:vAlign w:val="bottom"/>
          </w:tcPr>
          <w:p>
            <w:pPr>
              <w:ind w:left="760"/>
              <w:spacing w:after="0"/>
              <w:rPr>
                <w:sz w:val="20"/>
                <w:szCs w:val="20"/>
                <w:color w:val="auto"/>
              </w:rPr>
            </w:pPr>
            <w:r>
              <w:rPr>
                <w:rFonts w:ascii="Courier New" w:cs="Courier New" w:eastAsia="Courier New" w:hAnsi="Courier New"/>
                <w:sz w:val="16"/>
                <w:szCs w:val="16"/>
                <w:color w:val="auto"/>
              </w:rPr>
              <w:t>Total liabilities and</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4060" w:type="dxa"/>
            <w:vAlign w:val="bottom"/>
          </w:tcPr>
          <w:p>
            <w:pPr>
              <w:ind w:left="860"/>
              <w:spacing w:after="0"/>
              <w:rPr>
                <w:sz w:val="20"/>
                <w:szCs w:val="20"/>
                <w:color w:val="auto"/>
              </w:rPr>
            </w:pPr>
            <w:r>
              <w:rPr>
                <w:rFonts w:ascii="Courier New" w:cs="Courier New" w:eastAsia="Courier New" w:hAnsi="Courier New"/>
                <w:sz w:val="16"/>
                <w:szCs w:val="16"/>
                <w:color w:val="auto"/>
              </w:rPr>
              <w:t>stockholders' equity</w:t>
            </w:r>
          </w:p>
        </w:tc>
        <w:tc>
          <w:tcPr>
            <w:tcW w:w="16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$37,747</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$38,347</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ectPr>
          <w:pgSz w:w="11900" w:h="16838" w:orient="portrait"/>
          <w:cols w:equalWidth="0" w:num="1">
            <w:col w:w="10219"/>
          </w:cols>
          <w:pgMar w:left="240" w:top="139" w:right="1440" w:bottom="181" w:gutter="0" w:footer="0" w:header="0"/>
        </w:sectPr>
      </w:pPr>
    </w:p>
    <w:bookmarkStart w:id="2" w:name="page3"/>
    <w:bookmarkEnd w:id="2"/>
    <w:p>
      <w:pPr>
        <w:spacing w:after="0" w:line="5"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JACK HENRY &amp; ASSOCIATES, INC. AND SUBSIDIARIES</w:t>
      </w:r>
    </w:p>
    <w:p>
      <w:pPr>
        <w:spacing w:after="0" w:line="2"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8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(In Thousands of Dollars, Except Per Share Data)</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550"/>
        </w:trPr>
        <w:tc>
          <w:tcPr>
            <w:tcW w:w="3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Quarter Ended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gridSpan w:val="4"/>
          </w:tcPr>
          <w:p>
            <w:pPr>
              <w:ind w:left="440"/>
              <w:spacing w:after="0"/>
              <w:rPr>
                <w:sz w:val="20"/>
                <w:szCs w:val="20"/>
                <w:color w:val="auto"/>
              </w:rPr>
            </w:pPr>
            <w:r>
              <w:rPr>
                <w:rFonts w:ascii="Courier New" w:cs="Courier New" w:eastAsia="Courier New" w:hAnsi="Courier New"/>
                <w:sz w:val="16"/>
                <w:szCs w:val="16"/>
                <w:color w:val="auto"/>
              </w:rPr>
              <w:t>Nine Months Ended</w:t>
            </w:r>
          </w:p>
        </w:tc>
      </w:tr>
      <w:tr>
        <w:trPr>
          <w:trHeight w:val="183"/>
        </w:trPr>
        <w:tc>
          <w:tcPr>
            <w:tcW w:w="31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31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1994</w:t>
            </w:r>
          </w:p>
        </w:tc>
        <w:tc>
          <w:tcPr>
            <w:tcW w:w="540" w:type="dxa"/>
            <w:vAlign w:val="bottom"/>
          </w:tcPr>
          <w:p>
            <w:pPr>
              <w:spacing w:after="0"/>
              <w:rPr>
                <w:sz w:val="15"/>
                <w:szCs w:val="15"/>
                <w:color w:val="auto"/>
              </w:rPr>
            </w:pPr>
          </w:p>
        </w:tc>
        <w:tc>
          <w:tcPr>
            <w:tcW w:w="1180" w:type="dxa"/>
            <w:vAlign w:val="bottom"/>
          </w:tcPr>
          <w:p>
            <w:pPr>
              <w:jc w:val="right"/>
              <w:ind w:right="721"/>
              <w:spacing w:after="0"/>
              <w:rPr>
                <w:sz w:val="20"/>
                <w:szCs w:val="20"/>
                <w:color w:val="auto"/>
              </w:rPr>
            </w:pPr>
            <w:r>
              <w:rPr>
                <w:rFonts w:ascii="Courier New" w:cs="Courier New" w:eastAsia="Courier New" w:hAnsi="Courier New"/>
                <w:sz w:val="16"/>
                <w:szCs w:val="16"/>
                <w:color w:val="auto"/>
                <w:w w:val="93"/>
              </w:rPr>
              <w:t>1995</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6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Software licensing &amp; installation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3,685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3,056</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$11,310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9,079</w:t>
            </w: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Maintenance/support &amp; service</w:t>
            </w: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2,645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1,763</w:t>
            </w:r>
          </w:p>
        </w:tc>
        <w:tc>
          <w:tcPr>
            <w:tcW w:w="540" w:type="dxa"/>
            <w:vAlign w:val="bottom"/>
          </w:tcPr>
          <w:p>
            <w:pPr>
              <w:spacing w:after="0"/>
              <w:rPr>
                <w:sz w:val="15"/>
                <w:szCs w:val="15"/>
                <w:color w:val="auto"/>
              </w:rPr>
            </w:pP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1"/>
              </w:rPr>
              <w:t>7,689</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5,039</w:t>
            </w: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Hardware sales &amp; commissions</w:t>
            </w: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4,075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4,032</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12,460</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14,092</w:t>
            </w:r>
          </w:p>
        </w:tc>
      </w:tr>
      <w:tr>
        <w:trPr>
          <w:trHeight w:val="183"/>
        </w:trPr>
        <w:tc>
          <w:tcPr>
            <w:tcW w:w="3140" w:type="dxa"/>
            <w:vAlign w:val="bottom"/>
          </w:tcPr>
          <w:p>
            <w:pPr>
              <w:ind w:left="480"/>
              <w:spacing w:after="0"/>
              <w:rPr>
                <w:sz w:val="20"/>
                <w:szCs w:val="20"/>
                <w:color w:val="auto"/>
              </w:rPr>
            </w:pPr>
            <w:r>
              <w:rPr>
                <w:rFonts w:ascii="Courier New" w:cs="Courier New" w:eastAsia="Courier New" w:hAnsi="Courier New"/>
                <w:sz w:val="16"/>
                <w:szCs w:val="16"/>
                <w:color w:val="auto"/>
              </w:rPr>
              <w:t>Total revenues</w:t>
            </w:r>
          </w:p>
        </w:tc>
        <w:tc>
          <w:tcPr>
            <w:tcW w:w="3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7"/>
              </w:rPr>
              <w:t>10,405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8,851</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$31,459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28,210</w:t>
            </w:r>
          </w:p>
        </w:tc>
      </w:tr>
      <w:tr>
        <w:trPr>
          <w:trHeight w:val="367"/>
        </w:trPr>
        <w:tc>
          <w:tcPr>
            <w:tcW w:w="31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Cost of hardware</w:t>
            </w:r>
          </w:p>
        </w:tc>
        <w:tc>
          <w:tcPr>
            <w:tcW w:w="3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2,950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3,102</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$ 9,025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10,615</w:t>
            </w: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Cost of services</w:t>
            </w:r>
          </w:p>
        </w:tc>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1,983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1,670</w:t>
            </w:r>
          </w:p>
        </w:tc>
        <w:tc>
          <w:tcPr>
            <w:tcW w:w="540" w:type="dxa"/>
            <w:vAlign w:val="bottom"/>
          </w:tcPr>
          <w:p>
            <w:pPr>
              <w:spacing w:after="0"/>
              <w:rPr>
                <w:sz w:val="15"/>
                <w:szCs w:val="15"/>
                <w:color w:val="auto"/>
              </w:rPr>
            </w:pP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1"/>
              </w:rPr>
              <w:t>5,850</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5,120</w:t>
            </w:r>
          </w:p>
        </w:tc>
      </w:tr>
      <w:tr>
        <w:trPr>
          <w:trHeight w:val="183"/>
        </w:trPr>
        <w:tc>
          <w:tcPr>
            <w:tcW w:w="3140" w:type="dxa"/>
            <w:vAlign w:val="bottom"/>
          </w:tcPr>
          <w:p>
            <w:pPr>
              <w:ind w:left="480"/>
              <w:spacing w:after="0"/>
              <w:rPr>
                <w:sz w:val="20"/>
                <w:szCs w:val="20"/>
                <w:color w:val="auto"/>
              </w:rPr>
            </w:pPr>
            <w:r>
              <w:rPr>
                <w:rFonts w:ascii="Courier New" w:cs="Courier New" w:eastAsia="Courier New" w:hAnsi="Courier New"/>
                <w:sz w:val="16"/>
                <w:szCs w:val="16"/>
                <w:color w:val="auto"/>
              </w:rPr>
              <w:t>Total cost of sales</w:t>
            </w:r>
          </w:p>
        </w:tc>
        <w:tc>
          <w:tcPr>
            <w:tcW w:w="3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4,933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4,772</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$14,875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15,735</w:t>
            </w:r>
          </w:p>
        </w:tc>
      </w:tr>
      <w:tr>
        <w:trPr>
          <w:trHeight w:val="367"/>
        </w:trPr>
        <w:tc>
          <w:tcPr>
            <w:tcW w:w="31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3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5,472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4,079</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$16,584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12,475</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67"/>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Selling and marketing</w:t>
            </w:r>
          </w:p>
        </w:tc>
        <w:tc>
          <w:tcPr>
            <w:tcW w:w="3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1,347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1,132</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$ 3,956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3,428</w:t>
            </w: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Research and development</w:t>
            </w: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231</w:t>
            </w:r>
          </w:p>
        </w:tc>
        <w:tc>
          <w:tcPr>
            <w:tcW w:w="540" w:type="dxa"/>
            <w:vAlign w:val="bottom"/>
          </w:tcPr>
          <w:p>
            <w:pPr>
              <w:spacing w:after="0"/>
              <w:rPr>
                <w:sz w:val="15"/>
                <w:szCs w:val="15"/>
                <w:color w:val="auto"/>
              </w:rPr>
            </w:pP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826</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715</w:t>
            </w: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General and administrative</w:t>
            </w:r>
          </w:p>
        </w:tc>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832</w:t>
            </w:r>
          </w:p>
        </w:tc>
        <w:tc>
          <w:tcPr>
            <w:tcW w:w="540" w:type="dxa"/>
            <w:vAlign w:val="bottom"/>
          </w:tcPr>
          <w:p>
            <w:pPr>
              <w:spacing w:after="0"/>
              <w:rPr>
                <w:sz w:val="15"/>
                <w:szCs w:val="15"/>
                <w:color w:val="auto"/>
              </w:rPr>
            </w:pP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1"/>
              </w:rPr>
              <w:t>3,457</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2,628</w:t>
            </w:r>
          </w:p>
        </w:tc>
      </w:tr>
      <w:tr>
        <w:trPr>
          <w:trHeight w:val="183"/>
        </w:trPr>
        <w:tc>
          <w:tcPr>
            <w:tcW w:w="3140" w:type="dxa"/>
            <w:vAlign w:val="bottom"/>
          </w:tcPr>
          <w:p>
            <w:pPr>
              <w:ind w:left="480"/>
              <w:spacing w:after="0"/>
              <w:rPr>
                <w:sz w:val="20"/>
                <w:szCs w:val="20"/>
                <w:color w:val="auto"/>
              </w:rPr>
            </w:pPr>
            <w:r>
              <w:rPr>
                <w:rFonts w:ascii="Courier New" w:cs="Courier New" w:eastAsia="Courier New" w:hAnsi="Courier New"/>
                <w:sz w:val="16"/>
                <w:szCs w:val="16"/>
                <w:color w:val="auto"/>
              </w:rPr>
              <w:t>Total operating expenses</w:t>
            </w:r>
          </w:p>
        </w:tc>
        <w:tc>
          <w:tcPr>
            <w:tcW w:w="3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2,835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2,195</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$ 8,239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6,771</w:t>
            </w:r>
          </w:p>
        </w:tc>
      </w:tr>
      <w:tr>
        <w:trPr>
          <w:trHeight w:val="367"/>
        </w:trPr>
        <w:tc>
          <w:tcPr>
            <w:tcW w:w="31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3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2,637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1,884</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$ 8,345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5,704</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6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and dividend income, net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137</w:t>
            </w:r>
          </w:p>
        </w:tc>
        <w:tc>
          <w:tcPr>
            <w:tcW w:w="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547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472</w:t>
            </w: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Other, net</w:t>
            </w: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31</w:t>
            </w:r>
          </w:p>
        </w:tc>
        <w:tc>
          <w:tcPr>
            <w:tcW w:w="540" w:type="dxa"/>
            <w:vAlign w:val="bottom"/>
          </w:tcPr>
          <w:p>
            <w:pPr>
              <w:spacing w:after="0"/>
              <w:rPr>
                <w:sz w:val="15"/>
                <w:szCs w:val="15"/>
                <w:color w:val="auto"/>
              </w:rPr>
            </w:pP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7</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553</w:t>
            </w:r>
          </w:p>
        </w:tc>
      </w:tr>
      <w:tr>
        <w:trPr>
          <w:trHeight w:val="183"/>
        </w:trPr>
        <w:tc>
          <w:tcPr>
            <w:tcW w:w="3140" w:type="dxa"/>
            <w:vAlign w:val="bottom"/>
          </w:tcPr>
          <w:p>
            <w:pPr>
              <w:ind w:left="480"/>
              <w:spacing w:after="0"/>
              <w:rPr>
                <w:sz w:val="20"/>
                <w:szCs w:val="20"/>
                <w:color w:val="auto"/>
              </w:rPr>
            </w:pPr>
            <w:r>
              <w:rPr>
                <w:rFonts w:ascii="Courier New" w:cs="Courier New" w:eastAsia="Courier New" w:hAnsi="Courier New"/>
                <w:sz w:val="16"/>
                <w:szCs w:val="16"/>
                <w:color w:val="auto"/>
              </w:rPr>
              <w:t>Total other income</w:t>
            </w:r>
          </w:p>
        </w:tc>
        <w:tc>
          <w:tcPr>
            <w:tcW w:w="3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168</w:t>
            </w:r>
          </w:p>
        </w:tc>
        <w:tc>
          <w:tcPr>
            <w:tcW w:w="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554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1,025</w:t>
            </w:r>
          </w:p>
        </w:tc>
      </w:tr>
      <w:tr>
        <w:trPr>
          <w:trHeight w:val="550"/>
        </w:trPr>
        <w:tc>
          <w:tcPr>
            <w:tcW w:w="314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3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2,850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2,052</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$ 8,899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6,729</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1,076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761</w:t>
            </w:r>
          </w:p>
        </w:tc>
        <w:tc>
          <w:tcPr>
            <w:tcW w:w="540" w:type="dxa"/>
            <w:vAlign w:val="bottom"/>
          </w:tcPr>
          <w:p>
            <w:pPr>
              <w:spacing w:after="0"/>
              <w:rPr>
                <w:sz w:val="15"/>
                <w:szCs w:val="15"/>
                <w:color w:val="auto"/>
              </w:rPr>
            </w:pP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1"/>
              </w:rPr>
              <w:t>3,288</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2,328</w:t>
            </w:r>
          </w:p>
        </w:tc>
      </w:tr>
      <w:tr>
        <w:trPr>
          <w:trHeight w:val="367"/>
        </w:trPr>
        <w:tc>
          <w:tcPr>
            <w:tcW w:w="3140" w:type="dxa"/>
            <w:vAlign w:val="bottom"/>
          </w:tcPr>
          <w:p>
            <w:pPr>
              <w:ind w:left="480"/>
              <w:spacing w:after="0"/>
              <w:rPr>
                <w:sz w:val="20"/>
                <w:szCs w:val="20"/>
                <w:color w:val="auto"/>
              </w:rPr>
            </w:pPr>
            <w:r>
              <w:rPr>
                <w:rFonts w:ascii="Courier New" w:cs="Courier New" w:eastAsia="Courier New" w:hAnsi="Courier New"/>
                <w:sz w:val="16"/>
                <w:szCs w:val="16"/>
                <w:color w:val="auto"/>
              </w:rPr>
              <w:t>Net income</w:t>
            </w:r>
          </w:p>
        </w:tc>
        <w:tc>
          <w:tcPr>
            <w:tcW w:w="3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1,774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1,291</w:t>
            </w:r>
          </w:p>
        </w:tc>
        <w:tc>
          <w:tcPr>
            <w:tcW w:w="17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$ 5,611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4,401</w:t>
            </w:r>
          </w:p>
        </w:tc>
      </w:tr>
      <w:tr>
        <w:trPr>
          <w:trHeight w:val="367"/>
        </w:trPr>
        <w:tc>
          <w:tcPr>
            <w:tcW w:w="3140" w:type="dxa"/>
            <w:vAlign w:val="bottom"/>
          </w:tcPr>
          <w:p>
            <w:pPr>
              <w:spacing w:after="0"/>
              <w:rPr>
                <w:sz w:val="20"/>
                <w:szCs w:val="20"/>
                <w:color w:val="auto"/>
              </w:rPr>
            </w:pPr>
            <w:r>
              <w:rPr>
                <w:rFonts w:ascii="Courier New" w:cs="Courier New" w:eastAsia="Courier New" w:hAnsi="Courier New"/>
                <w:sz w:val="16"/>
                <w:szCs w:val="16"/>
                <w:color w:val="auto"/>
              </w:rPr>
              <w:t>Per share information (Note 4):</w:t>
            </w:r>
          </w:p>
        </w:tc>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.15</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367"/>
        </w:trPr>
        <w:tc>
          <w:tcPr>
            <w:tcW w:w="3140" w:type="dxa"/>
            <w:vAlign w:val="bottom"/>
          </w:tcPr>
          <w:p>
            <w:pPr>
              <w:spacing w:after="0"/>
              <w:rPr>
                <w:sz w:val="20"/>
                <w:szCs w:val="20"/>
                <w:color w:val="auto"/>
              </w:rPr>
            </w:pPr>
            <w:r>
              <w:rPr>
                <w:rFonts w:ascii="Courier New" w:cs="Courier New" w:eastAsia="Courier New" w:hAnsi="Courier New"/>
                <w:sz w:val="16"/>
                <w:szCs w:val="16"/>
                <w:color w:val="auto"/>
              </w:rPr>
              <w:t>Weighted avg. shares outstanding</w:t>
            </w:r>
          </w:p>
        </w:tc>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2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7"/>
              </w:rPr>
              <w:t>12,054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12,057</w:t>
            </w:r>
          </w:p>
        </w:tc>
        <w:tc>
          <w:tcPr>
            <w:tcW w:w="540" w:type="dxa"/>
            <w:vAlign w:val="bottom"/>
          </w:tcPr>
          <w:p>
            <w:pPr>
              <w:spacing w:after="0"/>
              <w:rPr>
                <w:sz w:val="24"/>
                <w:szCs w:val="24"/>
                <w:color w:val="auto"/>
              </w:rPr>
            </w:pPr>
          </w:p>
        </w:tc>
        <w:tc>
          <w:tcPr>
            <w:tcW w:w="11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3"/>
              </w:rPr>
              <w:t>12,007</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12,011</w:t>
            </w:r>
          </w:p>
        </w:tc>
      </w:tr>
    </w:tbl>
    <w:p>
      <w:pPr>
        <w:spacing w:after="0" w:line="188" w:lineRule="exact"/>
        <w:rPr>
          <w:sz w:val="20"/>
          <w:szCs w:val="20"/>
          <w:color w:val="auto"/>
        </w:rPr>
      </w:pPr>
    </w:p>
    <w:p>
      <w:pPr>
        <w:ind w:right="4360"/>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1994 figures restated to current year presentation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1994 figures reflects the 33.33% stock dividend paid March 10, 1994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JACK HENRY &amp; ASSOCIATES, INC. AND SUBSIDIARIES</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CONDENSED STATEMENTS OF CASH FLOWS</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(In Thousands of Dollars)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Nine Months Ended</w:t>
            </w:r>
          </w:p>
        </w:tc>
      </w:tr>
      <w:tr>
        <w:trPr>
          <w:trHeight w:val="183"/>
        </w:trPr>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67"/>
        </w:trPr>
        <w:tc>
          <w:tcPr>
            <w:tcW w:w="4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1995</w:t>
            </w:r>
          </w:p>
        </w:tc>
        <w:tc>
          <w:tcPr>
            <w:tcW w:w="100" w:type="dxa"/>
            <w:vAlign w:val="bottom"/>
          </w:tcPr>
          <w:p>
            <w:pPr>
              <w:spacing w:after="0"/>
              <w:rPr>
                <w:sz w:val="24"/>
                <w:szCs w:val="24"/>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Cash flows - operating activities:</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Cash received from customers</w:t>
            </w:r>
          </w:p>
        </w:tc>
        <w:tc>
          <w:tcPr>
            <w:tcW w:w="17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$32,570</w:t>
            </w: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8"/>
              </w:rPr>
              <w:t>$29,029</w:t>
            </w: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Cash paid to suppliers and employees</w:t>
            </w:r>
          </w:p>
        </w:tc>
        <w:tc>
          <w:tcPr>
            <w:tcW w:w="17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(22,079)</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(22,573)</w:t>
            </w: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Interest and dividends received</w:t>
            </w:r>
          </w:p>
        </w:tc>
        <w:tc>
          <w:tcPr>
            <w:tcW w:w="400" w:type="dxa"/>
            <w:vAlign w:val="bottom"/>
          </w:tcPr>
          <w:p>
            <w:pPr>
              <w:spacing w:after="0"/>
              <w:rPr>
                <w:sz w:val="15"/>
                <w:szCs w:val="15"/>
                <w:color w:val="auto"/>
              </w:rPr>
            </w:pPr>
          </w:p>
        </w:tc>
        <w:tc>
          <w:tcPr>
            <w:tcW w:w="13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585</w:t>
            </w:r>
          </w:p>
        </w:tc>
        <w:tc>
          <w:tcPr>
            <w:tcW w:w="1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416</w:t>
            </w: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Income taxes paid</w:t>
            </w:r>
          </w:p>
        </w:tc>
        <w:tc>
          <w:tcPr>
            <w:tcW w:w="4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(3,174)</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(1,743)</w:t>
            </w: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Other, net</w:t>
            </w:r>
          </w:p>
        </w:tc>
        <w:tc>
          <w:tcPr>
            <w:tcW w:w="400" w:type="dxa"/>
            <w:vAlign w:val="bottom"/>
          </w:tcPr>
          <w:p>
            <w:pPr>
              <w:spacing w:after="0"/>
              <w:rPr>
                <w:sz w:val="15"/>
                <w:szCs w:val="15"/>
                <w:color w:val="auto"/>
              </w:rPr>
            </w:pPr>
          </w:p>
        </w:tc>
        <w:tc>
          <w:tcPr>
            <w:tcW w:w="13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w:t>
            </w:r>
          </w:p>
        </w:tc>
        <w:tc>
          <w:tcPr>
            <w:tcW w:w="1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455</w:t>
            </w:r>
          </w:p>
        </w:tc>
      </w:tr>
      <w:tr>
        <w:trPr>
          <w:trHeight w:val="183"/>
        </w:trPr>
        <w:tc>
          <w:tcPr>
            <w:tcW w:w="4280" w:type="dxa"/>
            <w:vAlign w:val="bottom"/>
          </w:tcPr>
          <w:p>
            <w:pPr>
              <w:ind w:left="380"/>
              <w:spacing w:after="0"/>
              <w:rPr>
                <w:sz w:val="20"/>
                <w:szCs w:val="20"/>
                <w:color w:val="auto"/>
              </w:rPr>
            </w:pPr>
            <w:r>
              <w:rPr>
                <w:rFonts w:ascii="Courier New" w:cs="Courier New" w:eastAsia="Courier New" w:hAnsi="Courier New"/>
                <w:sz w:val="16"/>
                <w:szCs w:val="16"/>
                <w:color w:val="auto"/>
              </w:rPr>
              <w:t>Net cash provided by operating</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280" w:type="dxa"/>
            <w:vAlign w:val="bottom"/>
          </w:tcPr>
          <w:p>
            <w:pPr>
              <w:ind w:left="480"/>
              <w:spacing w:after="0"/>
              <w:rPr>
                <w:sz w:val="20"/>
                <w:szCs w:val="20"/>
                <w:color w:val="auto"/>
              </w:rPr>
            </w:pPr>
            <w:r>
              <w:rPr>
                <w:rFonts w:ascii="Courier New" w:cs="Courier New" w:eastAsia="Courier New" w:hAnsi="Courier New"/>
                <w:sz w:val="16"/>
                <w:szCs w:val="16"/>
                <w:color w:val="auto"/>
              </w:rPr>
              <w:t>activities</w:t>
            </w:r>
          </w:p>
        </w:tc>
        <w:tc>
          <w:tcPr>
            <w:tcW w:w="17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$ 7,921</w:t>
            </w: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8"/>
              </w:rPr>
              <w:t>$ 5,584</w:t>
            </w:r>
          </w:p>
        </w:tc>
      </w:tr>
      <w:tr>
        <w:trPr>
          <w:trHeight w:val="734"/>
        </w:trPr>
        <w:tc>
          <w:tcPr>
            <w:tcW w:w="42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Proceeds on sale of property &amp; equipment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w:t>
            </w: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Capital expenditures</w:t>
            </w:r>
          </w:p>
        </w:tc>
        <w:tc>
          <w:tcPr>
            <w:tcW w:w="4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(1,893)</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(685)</w:t>
            </w: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Short-term investment activity, net</w:t>
            </w:r>
          </w:p>
        </w:tc>
        <w:tc>
          <w:tcPr>
            <w:tcW w:w="4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(1,504)</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(5,208)</w:t>
            </w: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Long-term investment activity, net</w:t>
            </w:r>
          </w:p>
        </w:tc>
        <w:tc>
          <w:tcPr>
            <w:tcW w:w="4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(40)</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Capitalized software development</w:t>
            </w:r>
          </w:p>
        </w:tc>
        <w:tc>
          <w:tcPr>
            <w:tcW w:w="4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(165)</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Payment of long-term debt</w:t>
            </w:r>
          </w:p>
        </w:tc>
        <w:tc>
          <w:tcPr>
            <w:tcW w:w="400" w:type="dxa"/>
            <w:vAlign w:val="bottom"/>
          </w:tcPr>
          <w:p>
            <w:pPr>
              <w:spacing w:after="0"/>
              <w:rPr>
                <w:sz w:val="15"/>
                <w:szCs w:val="15"/>
                <w:color w:val="auto"/>
              </w:rPr>
            </w:pPr>
          </w:p>
        </w:tc>
        <w:tc>
          <w:tcPr>
            <w:tcW w:w="13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(800)</w:t>
            </w: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Acquisition costs, net</w:t>
            </w:r>
          </w:p>
        </w:tc>
        <w:tc>
          <w:tcPr>
            <w:tcW w:w="4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(1,370)</w:t>
            </w:r>
          </w:p>
        </w:tc>
        <w:tc>
          <w:tcPr>
            <w:tcW w:w="1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w:t>
            </w:r>
          </w:p>
        </w:tc>
      </w:tr>
      <w:tr>
        <w:trPr>
          <w:trHeight w:val="367"/>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Net cash used in investing activities</w:t>
            </w:r>
          </w:p>
        </w:tc>
        <w:tc>
          <w:tcPr>
            <w:tcW w:w="17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$(4,971)</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$(6,730)</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Proceeds from issuance of common stock</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280" w:type="dxa"/>
            <w:vAlign w:val="bottom"/>
          </w:tcPr>
          <w:p>
            <w:pPr>
              <w:ind w:left="380"/>
              <w:spacing w:after="0"/>
              <w:rPr>
                <w:sz w:val="20"/>
                <w:szCs w:val="20"/>
                <w:color w:val="auto"/>
              </w:rPr>
            </w:pPr>
            <w:r>
              <w:rPr>
                <w:rFonts w:ascii="Courier New" w:cs="Courier New" w:eastAsia="Courier New" w:hAnsi="Courier New"/>
                <w:sz w:val="16"/>
                <w:szCs w:val="16"/>
                <w:color w:val="auto"/>
              </w:rPr>
              <w:t>upon exercise of stock options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503</w:t>
            </w:r>
          </w:p>
        </w:tc>
      </w:tr>
    </w:tbl>
    <w:p>
      <w:pPr>
        <w:sectPr>
          <w:pgSz w:w="11900" w:h="16844" w:orient="portrait"/>
          <w:cols w:equalWidth="0" w:num="1">
            <w:col w:w="11520"/>
          </w:cols>
          <w:pgMar w:left="240" w:top="322" w:right="139" w:bottom="0" w:gutter="0" w:footer="0" w:header="0"/>
        </w:sectPr>
      </w:pPr>
    </w:p>
    <w:bookmarkStart w:id="3" w:name="page4"/>
    <w:bookmarkEnd w:id="3"/>
    <w:p>
      <w:pPr>
        <w:spacing w:after="0" w:line="20"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6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Dividends paid</w:t>
            </w:r>
          </w:p>
        </w:tc>
        <w:tc>
          <w:tcPr>
            <w:tcW w:w="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(1,841)</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(1,565)</w:t>
            </w:r>
          </w:p>
        </w:tc>
      </w:tr>
      <w:tr>
        <w:trPr>
          <w:trHeight w:val="367"/>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used</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in</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financing activities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(1,741)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(1,062)</w:t>
            </w:r>
          </w:p>
        </w:tc>
      </w:tr>
      <w:tr>
        <w:trPr>
          <w:trHeight w:val="367"/>
        </w:trPr>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Net increase</w:t>
            </w:r>
          </w:p>
        </w:tc>
        <w:tc>
          <w:tcPr>
            <w:tcW w:w="30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(decrease) in cash</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1,209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(2,208)</w:t>
            </w:r>
          </w:p>
        </w:tc>
      </w:tr>
      <w:tr>
        <w:trPr>
          <w:trHeight w:val="367"/>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Cash at</w:t>
            </w:r>
          </w:p>
        </w:tc>
        <w:tc>
          <w:tcPr>
            <w:tcW w:w="9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beginning</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period</w:t>
            </w:r>
          </w:p>
        </w:tc>
        <w:tc>
          <w:tcPr>
            <w:tcW w:w="440" w:type="dxa"/>
            <w:vAlign w:val="bottom"/>
          </w:tcPr>
          <w:p>
            <w:pPr>
              <w:spacing w:after="0"/>
              <w:rPr>
                <w:sz w:val="24"/>
                <w:szCs w:val="24"/>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1,942</w:t>
            </w:r>
          </w:p>
        </w:tc>
        <w:tc>
          <w:tcPr>
            <w:tcW w:w="42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4,843</w:t>
            </w:r>
          </w:p>
        </w:tc>
      </w:tr>
      <w:tr>
        <w:trPr>
          <w:trHeight w:val="367"/>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Cash at</w:t>
            </w:r>
          </w:p>
        </w:tc>
        <w:tc>
          <w:tcPr>
            <w:tcW w:w="35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end of period</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3,151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2,635</w:t>
            </w:r>
          </w:p>
        </w:tc>
      </w:tr>
    </w:tbl>
    <w:p>
      <w:pPr>
        <w:spacing w:after="0" w:line="372" w:lineRule="exact"/>
        <w:rPr>
          <w:sz w:val="20"/>
          <w:szCs w:val="20"/>
          <w:color w:val="auto"/>
        </w:rPr>
      </w:pPr>
    </w:p>
    <w:p>
      <w:pPr>
        <w:ind w:left="2" w:right="3059"/>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240" w:right="1140"/>
        <w:spacing w:after="0"/>
        <w:rPr>
          <w:sz w:val="20"/>
          <w:szCs w:val="20"/>
          <w:color w:val="auto"/>
        </w:rPr>
      </w:pPr>
      <w:r>
        <w:rPr>
          <w:rFonts w:ascii="Courier New" w:cs="Courier New" w:eastAsia="Courier New" w:hAnsi="Courier New"/>
          <w:sz w:val="16"/>
          <w:szCs w:val="16"/>
          <w:color w:val="auto"/>
        </w:rPr>
        <w:t>JACK HENRY &amp; ASSOCIATES, INC. AND SUBSIDIARIES NOTES TO THE CONDENSED CONSOLIDATED FINANCIAL STATEMENTS (Unaudited)</w:t>
      </w:r>
    </w:p>
    <w:p>
      <w:pPr>
        <w:spacing w:after="0" w:line="370" w:lineRule="exact"/>
        <w:rPr>
          <w:sz w:val="20"/>
          <w:szCs w:val="20"/>
          <w:color w:val="auto"/>
        </w:rPr>
      </w:pPr>
    </w:p>
    <w:p>
      <w:pPr>
        <w:ind w:left="382" w:hanging="382"/>
        <w:spacing w:after="0"/>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8" w:lineRule="exact"/>
        <w:rPr>
          <w:sz w:val="20"/>
          <w:szCs w:val="20"/>
          <w:color w:val="auto"/>
        </w:rPr>
      </w:pPr>
    </w:p>
    <w:p>
      <w:pPr>
        <w:ind w:left="2" w:right="2599" w:firstLine="191"/>
        <w:spacing w:after="0" w:line="242" w:lineRule="auto"/>
        <w:rPr>
          <w:sz w:val="20"/>
          <w:szCs w:val="20"/>
          <w:color w:val="auto"/>
        </w:rPr>
      </w:pPr>
      <w:r>
        <w:rPr>
          <w:rFonts w:ascii="Courier New" w:cs="Courier New" w:eastAsia="Courier New" w:hAnsi="Courier New"/>
          <w:sz w:val="16"/>
          <w:szCs w:val="16"/>
          <w:color w:val="auto"/>
        </w:rPr>
        <w:t>Description of the Company - Jack Henry &amp; Associates, Inc. ("JHA" or the "Company") is a computer software company which has developed several banking software systems. It markets those systems to financial institutions worldwide along with the computer equipment (hardware) and provides the conversion and software customization services necessary for a financial institution to install a JHA software system. It also provides continuing support and maintenance services to customers using the system. All of these related activities are currently considered a single business segment.</w:t>
      </w:r>
    </w:p>
    <w:p>
      <w:pPr>
        <w:spacing w:after="0" w:line="189" w:lineRule="exact"/>
        <w:rPr>
          <w:sz w:val="20"/>
          <w:szCs w:val="20"/>
          <w:color w:val="auto"/>
        </w:rPr>
      </w:pPr>
    </w:p>
    <w:p>
      <w:pPr>
        <w:ind w:left="2" w:right="2679" w:firstLine="191"/>
        <w:spacing w:after="0"/>
        <w:rPr>
          <w:sz w:val="20"/>
          <w:szCs w:val="20"/>
          <w:color w:val="auto"/>
        </w:rPr>
      </w:pPr>
      <w:r>
        <w:rPr>
          <w:rFonts w:ascii="Courier New" w:cs="Courier New" w:eastAsia="Courier New" w:hAnsi="Courier New"/>
          <w:sz w:val="16"/>
          <w:szCs w:val="16"/>
          <w:color w:val="auto"/>
        </w:rPr>
        <w:t>Consolidation - The consolidated financial statements include the accounts of JHA and its wholly-owned subsidiaries. All significant intercompany accounts and transactions have been eliminated in the consolidation.</w:t>
      </w:r>
    </w:p>
    <w:p>
      <w:pPr>
        <w:spacing w:after="0" w:line="190" w:lineRule="exact"/>
        <w:rPr>
          <w:sz w:val="20"/>
          <w:szCs w:val="20"/>
          <w:color w:val="auto"/>
        </w:rPr>
      </w:pPr>
    </w:p>
    <w:p>
      <w:pPr>
        <w:ind w:left="2" w:right="2879" w:firstLine="191"/>
        <w:spacing w:after="0" w:line="241" w:lineRule="auto"/>
        <w:rPr>
          <w:sz w:val="20"/>
          <w:szCs w:val="20"/>
          <w:color w:val="auto"/>
        </w:rPr>
      </w:pPr>
      <w:r>
        <w:rPr>
          <w:rFonts w:ascii="Courier New" w:cs="Courier New" w:eastAsia="Courier New" w:hAnsi="Courier New"/>
          <w:sz w:val="16"/>
          <w:szCs w:val="16"/>
          <w:color w:val="auto"/>
        </w:rPr>
        <w:t>Other Significant Accounting Policies - The accounting policies followed by the Company are set forth in Note 1 to the Company's consolidated financial statements included in its Annual Report on Form 10-K ("Form 10-K") for the fiscal year ended June 30, 1994.</w:t>
      </w:r>
    </w:p>
    <w:p>
      <w:pPr>
        <w:spacing w:after="0" w:line="186" w:lineRule="exact"/>
        <w:rPr>
          <w:sz w:val="20"/>
          <w:szCs w:val="20"/>
          <w:color w:val="auto"/>
        </w:rPr>
      </w:pPr>
    </w:p>
    <w:p>
      <w:pPr>
        <w:ind w:left="382" w:hanging="382"/>
        <w:spacing w:after="0"/>
        <w:tabs>
          <w:tab w:leader="none" w:pos="3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Interim Financial Statements</w:t>
      </w:r>
    </w:p>
    <w:p>
      <w:pPr>
        <w:spacing w:after="0" w:line="188" w:lineRule="exact"/>
        <w:rPr>
          <w:sz w:val="20"/>
          <w:szCs w:val="20"/>
          <w:color w:val="auto"/>
        </w:rPr>
      </w:pPr>
    </w:p>
    <w:p>
      <w:pPr>
        <w:ind w:left="2" w:right="2599" w:firstLine="191"/>
        <w:spacing w:after="0" w:line="260" w:lineRule="auto"/>
        <w:rPr>
          <w:sz w:val="20"/>
          <w:szCs w:val="20"/>
          <w:color w:val="auto"/>
        </w:rPr>
      </w:pPr>
      <w:r>
        <w:rPr>
          <w:rFonts w:ascii="Courier New" w:cs="Courier New" w:eastAsia="Courier New" w:hAnsi="Courier New"/>
          <w:sz w:val="15"/>
          <w:szCs w:val="15"/>
          <w:color w:val="auto"/>
        </w:rPr>
        <w:t>The accompanying condensed financial statements have been prepared in accor-dance with the instructions to Form 10-Q of the Securities and Exchange Commis-sion and in accordance with generally accepted accounting principles applicable to interim financial statements, and do not include all of the information and footnotes required by generally accepted accounting principles for complete financial statements. The financial statements should be read in conjunction with the audited consolidated financial statements and accompanying notes of the Company for the year ended June 30, 1994, which are included in its Form 10-K.</w:t>
      </w:r>
    </w:p>
    <w:p>
      <w:pPr>
        <w:spacing w:after="0" w:line="178" w:lineRule="exact"/>
        <w:rPr>
          <w:sz w:val="20"/>
          <w:szCs w:val="20"/>
          <w:color w:val="auto"/>
        </w:rPr>
      </w:pPr>
    </w:p>
    <w:p>
      <w:pPr>
        <w:ind w:left="2" w:right="2879" w:firstLine="191"/>
        <w:spacing w:after="0" w:line="241" w:lineRule="auto"/>
        <w:rPr>
          <w:sz w:val="20"/>
          <w:szCs w:val="20"/>
          <w:color w:val="auto"/>
        </w:rPr>
      </w:pPr>
      <w:r>
        <w:rPr>
          <w:rFonts w:ascii="Courier New" w:cs="Courier New" w:eastAsia="Courier New" w:hAnsi="Courier New"/>
          <w:sz w:val="16"/>
          <w:szCs w:val="16"/>
          <w:color w:val="auto"/>
        </w:rPr>
        <w:t>In the opinion of management of the Company, the accompanying condensed financial statements reflect all adjustments necessary (consisting solely of normal recurring adjustments) to present fairly the financial position of the Company as of March 31, 1995, and the results of its operations and its cash flows for the three-month and nine-month periods then ended.</w:t>
      </w:r>
    </w:p>
    <w:p>
      <w:pPr>
        <w:spacing w:after="0" w:line="190" w:lineRule="exact"/>
        <w:rPr>
          <w:sz w:val="20"/>
          <w:szCs w:val="20"/>
          <w:color w:val="auto"/>
        </w:rPr>
      </w:pPr>
    </w:p>
    <w:p>
      <w:pPr>
        <w:jc w:val="both"/>
        <w:ind w:left="2" w:right="3259" w:firstLine="191"/>
        <w:spacing w:after="0" w:line="271" w:lineRule="auto"/>
        <w:rPr>
          <w:sz w:val="20"/>
          <w:szCs w:val="20"/>
          <w:color w:val="auto"/>
        </w:rPr>
      </w:pPr>
      <w:r>
        <w:rPr>
          <w:rFonts w:ascii="Courier New" w:cs="Courier New" w:eastAsia="Courier New" w:hAnsi="Courier New"/>
          <w:sz w:val="15"/>
          <w:szCs w:val="15"/>
          <w:color w:val="auto"/>
        </w:rPr>
        <w:t>The results of operations for the periods ended March 31, 1995, are not necessarily indicative of the results to be expected for the entire year.</w:t>
      </w:r>
    </w:p>
    <w:p>
      <w:pPr>
        <w:spacing w:after="0" w:line="166" w:lineRule="exact"/>
        <w:rPr>
          <w:sz w:val="20"/>
          <w:szCs w:val="20"/>
          <w:color w:val="auto"/>
        </w:rPr>
      </w:pPr>
    </w:p>
    <w:p>
      <w:pPr>
        <w:ind w:left="182" w:right="6119" w:hanging="182"/>
        <w:spacing w:after="0" w:line="481" w:lineRule="auto"/>
        <w:tabs>
          <w:tab w:leader="none" w:pos="37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Interim Footnote Information None.</w:t>
      </w:r>
    </w:p>
    <w:p>
      <w:pPr>
        <w:spacing w:after="0" w:line="4"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Per Share Information</w:t>
      </w:r>
    </w:p>
    <w:p>
      <w:pPr>
        <w:spacing w:after="0" w:line="188" w:lineRule="exact"/>
        <w:rPr>
          <w:sz w:val="20"/>
          <w:szCs w:val="20"/>
          <w:color w:val="auto"/>
        </w:rPr>
      </w:pPr>
    </w:p>
    <w:p>
      <w:pPr>
        <w:ind w:left="2" w:right="2779" w:firstLine="191"/>
        <w:spacing w:after="0" w:line="241" w:lineRule="auto"/>
        <w:rPr>
          <w:sz w:val="20"/>
          <w:szCs w:val="20"/>
          <w:color w:val="auto"/>
        </w:rPr>
      </w:pPr>
      <w:r>
        <w:rPr>
          <w:rFonts w:ascii="Courier New" w:cs="Courier New" w:eastAsia="Courier New" w:hAnsi="Courier New"/>
          <w:sz w:val="16"/>
          <w:szCs w:val="16"/>
          <w:color w:val="auto"/>
        </w:rPr>
        <w:t>Earnings per common share are computed by dividing income by the weighted average number of shares of common stock and dilutive common stock equivalents outstanding for the quarters and nine month periods ended March 31, 1995 and 1994.</w:t>
      </w:r>
    </w:p>
    <w:p>
      <w:pPr>
        <w:spacing w:after="0" w:line="372" w:lineRule="exact"/>
        <w:rPr>
          <w:sz w:val="20"/>
          <w:szCs w:val="20"/>
          <w:color w:val="auto"/>
        </w:rPr>
      </w:pPr>
    </w:p>
    <w:p>
      <w:pPr>
        <w:ind w:left="2" w:right="4499"/>
        <w:spacing w:after="0" w:line="239" w:lineRule="auto"/>
        <w:rPr>
          <w:sz w:val="20"/>
          <w:szCs w:val="20"/>
          <w:color w:val="auto"/>
        </w:rPr>
      </w:pPr>
      <w:r>
        <w:rPr>
          <w:rFonts w:ascii="Courier New" w:cs="Courier New" w:eastAsia="Courier New" w:hAnsi="Courier New"/>
          <w:sz w:val="16"/>
          <w:szCs w:val="16"/>
          <w:color w:val="auto"/>
        </w:rPr>
        <w:t>Item 2. - Management's Discussion and Analysis of Results of Operations and Financial Condition</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Background and Overview</w:t>
      </w:r>
    </w:p>
    <w:p>
      <w:pPr>
        <w:spacing w:after="0" w:line="188" w:lineRule="exact"/>
        <w:rPr>
          <w:sz w:val="20"/>
          <w:szCs w:val="20"/>
          <w:color w:val="auto"/>
        </w:rPr>
      </w:pPr>
    </w:p>
    <w:p>
      <w:pPr>
        <w:ind w:left="2" w:right="2779" w:firstLine="191"/>
        <w:spacing w:after="0" w:line="261" w:lineRule="auto"/>
        <w:rPr>
          <w:sz w:val="20"/>
          <w:szCs w:val="20"/>
          <w:color w:val="auto"/>
        </w:rPr>
      </w:pPr>
      <w:r>
        <w:rPr>
          <w:rFonts w:ascii="Courier New" w:cs="Courier New" w:eastAsia="Courier New" w:hAnsi="Courier New"/>
          <w:sz w:val="15"/>
          <w:szCs w:val="15"/>
          <w:color w:val="auto"/>
        </w:rPr>
        <w:t>Jack Henry &amp; Associates, Inc. ("JHA" or the "Company") is a leading provider of in-house integrated computer systems that perform data processing for banks and related financial institutions. The Company was founded in 1976. Its proprietary applications software, which operates on IBM computers, is offered under two systems: CIF 20/20 1, typically for banks with less than $200 million in assets, and the Silverlake System 2, for banks with assets of $100 million to $3 billion. Domestically, JHA frequently sells hardware with its</w:t>
      </w:r>
    </w:p>
    <w:p>
      <w:pPr>
        <w:sectPr>
          <w:pgSz w:w="11900" w:h="16858" w:orient="portrait"/>
          <w:cols w:equalWidth="0" w:num="1">
            <w:col w:w="10221"/>
          </w:cols>
          <w:pgMar w:left="238" w:top="322" w:right="1440" w:bottom="0" w:gutter="0" w:footer="0" w:header="0"/>
        </w:sectPr>
      </w:pPr>
    </w:p>
    <w:bookmarkStart w:id="4" w:name="page5"/>
    <w:bookmarkEnd w:id="4"/>
    <w:p>
      <w:pPr>
        <w:ind w:right="2599"/>
        <w:spacing w:after="0"/>
        <w:rPr>
          <w:sz w:val="20"/>
          <w:szCs w:val="20"/>
          <w:color w:val="auto"/>
        </w:rPr>
      </w:pPr>
      <w:r>
        <w:rPr>
          <w:rFonts w:ascii="Courier New" w:cs="Courier New" w:eastAsia="Courier New" w:hAnsi="Courier New"/>
          <w:sz w:val="16"/>
          <w:szCs w:val="16"/>
          <w:color w:val="auto"/>
        </w:rPr>
        <w:t>software products. It also provides customer support and related services. The Company's software systems have been installed at over 955 banks and financial institutions worldwide.</w:t>
      </w:r>
    </w:p>
    <w:p>
      <w:pPr>
        <w:spacing w:after="0" w:line="190" w:lineRule="exact"/>
        <w:rPr>
          <w:sz w:val="20"/>
          <w:szCs w:val="20"/>
          <w:color w:val="auto"/>
        </w:rPr>
      </w:pPr>
    </w:p>
    <w:p>
      <w:pPr>
        <w:ind w:right="2599" w:firstLine="191"/>
        <w:spacing w:after="0"/>
        <w:rPr>
          <w:sz w:val="20"/>
          <w:szCs w:val="20"/>
          <w:color w:val="auto"/>
        </w:rPr>
      </w:pPr>
      <w:r>
        <w:rPr>
          <w:rFonts w:ascii="Courier New" w:cs="Courier New" w:eastAsia="Courier New" w:hAnsi="Courier New"/>
          <w:sz w:val="16"/>
          <w:szCs w:val="16"/>
          <w:color w:val="auto"/>
        </w:rPr>
        <w:t>A detailed discussion of the major components of the results of operations for the quarter and the nine months ended March 31, 1995, as compared to the same periods in the previous year follows.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188" w:lineRule="exact"/>
        <w:rPr>
          <w:sz w:val="20"/>
          <w:szCs w:val="20"/>
          <w:color w:val="auto"/>
        </w:rPr>
      </w:pPr>
    </w:p>
    <w:p>
      <w:pPr>
        <w:ind w:right="2599" w:firstLine="191"/>
        <w:spacing w:after="0" w:line="242" w:lineRule="auto"/>
        <w:rPr>
          <w:sz w:val="20"/>
          <w:szCs w:val="20"/>
          <w:color w:val="auto"/>
        </w:rPr>
      </w:pPr>
      <w:r>
        <w:rPr>
          <w:rFonts w:ascii="Courier New" w:cs="Courier New" w:eastAsia="Courier New" w:hAnsi="Courier New"/>
          <w:sz w:val="16"/>
          <w:szCs w:val="16"/>
          <w:color w:val="auto"/>
        </w:rPr>
        <w:t>Revenues increased 18% to $10,405,000, in the third quarter ended March 31, 1995. Software licensing and installation increased 21%, which renders the highest profit margin of the three revenue groups. Maintenance, support and service revenues increased 50% to $2,645,000, growing with new customer addi-tions and the addition of CommLink. Hardware sales were $4,075,000, up slightly from last year's quarter due to the timing and mix of orders received. Overall, revenues continue to be strong because demand for the Company's products and services remains high.</w:t>
      </w:r>
    </w:p>
    <w:p>
      <w:pPr>
        <w:spacing w:after="0" w:line="189" w:lineRule="exact"/>
        <w:rPr>
          <w:sz w:val="20"/>
          <w:szCs w:val="20"/>
          <w:color w:val="auto"/>
        </w:rPr>
      </w:pPr>
    </w:p>
    <w:p>
      <w:pPr>
        <w:ind w:right="2599" w:firstLine="191"/>
        <w:spacing w:after="0" w:line="242" w:lineRule="auto"/>
        <w:rPr>
          <w:sz w:val="20"/>
          <w:szCs w:val="20"/>
          <w:color w:val="auto"/>
        </w:rPr>
      </w:pPr>
      <w:r>
        <w:rPr>
          <w:rFonts w:ascii="Courier New" w:cs="Courier New" w:eastAsia="Courier New" w:hAnsi="Courier New"/>
          <w:sz w:val="16"/>
          <w:szCs w:val="16"/>
          <w:color w:val="auto"/>
        </w:rPr>
        <w:t>The nine months ended March 31, 1995, had a 12% increase in revenues over the same period a year earlier. Software licensing and installation revenues are up 25% over FY '94's third quarter. This increase is complimented by the 53% growth in maintenance/support and service revenue (which increased for similar reasons to the quarter above), but slightly offset by the 12% decrease in hardware sales over the same period last year.</w:t>
      </w:r>
    </w:p>
    <w:p>
      <w:pPr>
        <w:spacing w:after="0" w:line="187" w:lineRule="exact"/>
        <w:rPr>
          <w:sz w:val="20"/>
          <w:szCs w:val="20"/>
          <w:color w:val="auto"/>
        </w:rPr>
      </w:pPr>
    </w:p>
    <w:p>
      <w:pPr>
        <w:ind w:right="2879" w:firstLine="191"/>
        <w:spacing w:after="0" w:line="239" w:lineRule="auto"/>
        <w:rPr>
          <w:sz w:val="20"/>
          <w:szCs w:val="20"/>
          <w:color w:val="auto"/>
        </w:rPr>
      </w:pPr>
      <w:r>
        <w:rPr>
          <w:rFonts w:ascii="Courier New" w:cs="Courier New" w:eastAsia="Courier New" w:hAnsi="Courier New"/>
          <w:sz w:val="16"/>
          <w:szCs w:val="16"/>
          <w:color w:val="auto"/>
        </w:rPr>
        <w:t>The $7,734,049, backlog of sales at March 31, 1995, reflects an increase of 18% above last year's level.</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Sales</w:t>
      </w:r>
    </w:p>
    <w:p>
      <w:pPr>
        <w:spacing w:after="0" w:line="188" w:lineRule="exact"/>
        <w:rPr>
          <w:sz w:val="20"/>
          <w:szCs w:val="20"/>
          <w:color w:val="auto"/>
        </w:rPr>
      </w:pPr>
    </w:p>
    <w:p>
      <w:pPr>
        <w:ind w:right="2599" w:firstLine="191"/>
        <w:spacing w:after="0" w:line="259" w:lineRule="auto"/>
        <w:rPr>
          <w:sz w:val="20"/>
          <w:szCs w:val="20"/>
          <w:color w:val="auto"/>
        </w:rPr>
      </w:pPr>
      <w:r>
        <w:rPr>
          <w:rFonts w:ascii="Courier New" w:cs="Courier New" w:eastAsia="Courier New" w:hAnsi="Courier New"/>
          <w:sz w:val="15"/>
          <w:szCs w:val="15"/>
          <w:color w:val="auto"/>
        </w:rPr>
        <w:t>There was an overall increase in total cost of sales of 5% for the quarter and a decrease of 4% for the nine months compared to the same periods last year.</w:t>
      </w:r>
    </w:p>
    <w:p>
      <w:pPr>
        <w:ind w:right="2679"/>
        <w:spacing w:after="0"/>
        <w:rPr>
          <w:sz w:val="20"/>
          <w:szCs w:val="20"/>
          <w:color w:val="auto"/>
        </w:rPr>
      </w:pPr>
      <w:r>
        <w:rPr>
          <w:rFonts w:ascii="Courier New" w:cs="Courier New" w:eastAsia="Courier New" w:hAnsi="Courier New"/>
          <w:sz w:val="16"/>
          <w:szCs w:val="16"/>
          <w:color w:val="auto"/>
        </w:rPr>
        <w:t>The quarter had cost of hardware decreasing 5%, reflecting a small improvement in margin, and cost of services increased 25%, which reflects a slight improve-ment since non-hardware revenues increased 31%.</w:t>
      </w:r>
    </w:p>
    <w:p>
      <w:pPr>
        <w:spacing w:after="0" w:line="200" w:lineRule="exact"/>
        <w:rPr>
          <w:sz w:val="20"/>
          <w:szCs w:val="20"/>
          <w:color w:val="auto"/>
        </w:rPr>
      </w:pPr>
    </w:p>
    <w:p>
      <w:pPr>
        <w:spacing w:after="0" w:line="357" w:lineRule="exact"/>
        <w:rPr>
          <w:sz w:val="20"/>
          <w:szCs w:val="20"/>
          <w:color w:val="auto"/>
        </w:rPr>
      </w:pPr>
    </w:p>
    <w:p>
      <w:pPr>
        <w:ind w:left="1420" w:right="3639" w:firstLine="477"/>
        <w:spacing w:after="0" w:line="239" w:lineRule="auto"/>
        <w:rPr>
          <w:sz w:val="20"/>
          <w:szCs w:val="20"/>
          <w:color w:val="auto"/>
        </w:rPr>
      </w:pPr>
      <w:r>
        <w:rPr>
          <w:rFonts w:ascii="Courier New" w:cs="Courier New" w:eastAsia="Courier New" w:hAnsi="Courier New"/>
          <w:sz w:val="16"/>
          <w:szCs w:val="16"/>
          <w:color w:val="auto"/>
        </w:rPr>
        <w:t>1CIF 20/20 is a trademark of Jack Henry &amp; Associ-ates, Inc.</w:t>
      </w:r>
    </w:p>
    <w:p>
      <w:pPr>
        <w:spacing w:after="0" w:line="186" w:lineRule="exact"/>
        <w:rPr>
          <w:sz w:val="20"/>
          <w:szCs w:val="20"/>
          <w:color w:val="auto"/>
        </w:rPr>
      </w:pPr>
    </w:p>
    <w:p>
      <w:pPr>
        <w:ind w:left="1900"/>
        <w:spacing w:after="0"/>
        <w:tabs>
          <w:tab w:leader="none" w:pos="3800" w:val="left"/>
        </w:tabs>
        <w:rPr>
          <w:sz w:val="20"/>
          <w:szCs w:val="20"/>
          <w:color w:val="auto"/>
        </w:rPr>
      </w:pPr>
      <w:r>
        <w:rPr>
          <w:rFonts w:ascii="Courier New" w:cs="Courier New" w:eastAsia="Courier New" w:hAnsi="Courier New"/>
          <w:sz w:val="16"/>
          <w:szCs w:val="16"/>
          <w:color w:val="auto"/>
        </w:rPr>
        <w:t>2Silverlake System</w:t>
      </w:r>
      <w:r>
        <w:rPr>
          <w:sz w:val="20"/>
          <w:szCs w:val="20"/>
          <w:color w:val="auto"/>
        </w:rPr>
        <w:tab/>
      </w:r>
      <w:r>
        <w:rPr>
          <w:rFonts w:ascii="Courier New" w:cs="Courier New" w:eastAsia="Courier New" w:hAnsi="Courier New"/>
          <w:sz w:val="15"/>
          <w:szCs w:val="15"/>
          <w:color w:val="auto"/>
        </w:rPr>
        <w:t>is a registered trademark of</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Jack Henry &amp; Associates, Inc.</w:t>
      </w:r>
    </w:p>
    <w:p>
      <w:pPr>
        <w:spacing w:after="0" w:line="188" w:lineRule="exact"/>
        <w:rPr>
          <w:sz w:val="20"/>
          <w:szCs w:val="20"/>
          <w:color w:val="auto"/>
        </w:rPr>
      </w:pPr>
    </w:p>
    <w:p>
      <w:pPr>
        <w:ind w:right="2599" w:firstLine="191"/>
        <w:spacing w:after="0" w:line="241" w:lineRule="auto"/>
        <w:rPr>
          <w:sz w:val="20"/>
          <w:szCs w:val="20"/>
          <w:color w:val="auto"/>
        </w:rPr>
      </w:pPr>
      <w:r>
        <w:rPr>
          <w:rFonts w:ascii="Courier New" w:cs="Courier New" w:eastAsia="Courier New" w:hAnsi="Courier New"/>
          <w:sz w:val="16"/>
          <w:szCs w:val="16"/>
          <w:color w:val="auto"/>
        </w:rPr>
        <w:t>Cost of hardware decreased 15% for the nine months ended March 31, 1995. This is on a 12% decrease in hardware revenue, thus a small margin improvement. The nine month period reflects only a 19% increase in cost of services on a 35% increase in non-hardware revenues. This resulted from the addition of CommLink (which has a higher margin) and improved operational efficiencies.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Profit</w:t>
      </w:r>
    </w:p>
    <w:p>
      <w:pPr>
        <w:spacing w:after="0" w:line="188" w:lineRule="exact"/>
        <w:rPr>
          <w:sz w:val="20"/>
          <w:szCs w:val="20"/>
          <w:color w:val="auto"/>
        </w:rPr>
      </w:pPr>
    </w:p>
    <w:p>
      <w:pPr>
        <w:ind w:right="2599" w:firstLine="191"/>
        <w:spacing w:after="0" w:line="242" w:lineRule="auto"/>
        <w:rPr>
          <w:sz w:val="20"/>
          <w:szCs w:val="20"/>
          <w:color w:val="auto"/>
        </w:rPr>
      </w:pPr>
      <w:r>
        <w:rPr>
          <w:rFonts w:ascii="Courier New" w:cs="Courier New" w:eastAsia="Courier New" w:hAnsi="Courier New"/>
          <w:sz w:val="16"/>
          <w:szCs w:val="16"/>
          <w:color w:val="auto"/>
        </w:rPr>
        <w:t>Gross profit increased to $5,472,000 and $16,584,000, respectively, in the third quarter and the nine months ended March 31, 1995, compared to $4,168,000 and $12,672,000, for the same periods last year. Total gross profit has increased 31% and 31%, which is relatively consistent with the revenue percent-age increases. The previously discussed 21% and the 25% increase in software revenues along with maintenance/services and support increasing due to new customer additions, price increases and CommLink contributions are the primary reasons for the consistent growth in the gross profit margins. The gross margin percentage was 53% of sales for the quarter and nine month periods, up nicely from the previous year periods of 47% and 45%, respectively. Generally, this percentage will fluctuate with hardware sales - as they go down it will trend upward and vice versa.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Expenses</w:t>
      </w:r>
    </w:p>
    <w:p>
      <w:pPr>
        <w:spacing w:after="0" w:line="188" w:lineRule="exact"/>
        <w:rPr>
          <w:sz w:val="20"/>
          <w:szCs w:val="20"/>
          <w:color w:val="auto"/>
        </w:rPr>
      </w:pPr>
    </w:p>
    <w:p>
      <w:pPr>
        <w:ind w:right="2599" w:firstLine="191"/>
        <w:spacing w:after="0" w:line="241" w:lineRule="auto"/>
        <w:rPr>
          <w:sz w:val="20"/>
          <w:szCs w:val="20"/>
          <w:color w:val="auto"/>
        </w:rPr>
      </w:pPr>
      <w:r>
        <w:rPr>
          <w:rFonts w:ascii="Courier New" w:cs="Courier New" w:eastAsia="Courier New" w:hAnsi="Courier New"/>
          <w:sz w:val="16"/>
          <w:szCs w:val="16"/>
          <w:color w:val="auto"/>
        </w:rPr>
        <w:t>Total operating expenses increased 24%. This is a favorable picture, since gross profit increased 31%, thus the Company continues to gain efficiencies through growth. Selling expenses increased 19% and general and administrative expenses increased 31%, research and development increased 21%. These increases are primarily attributable to the addition of CommLink.</w:t>
      </w:r>
    </w:p>
    <w:p>
      <w:pPr>
        <w:spacing w:after="0" w:line="190" w:lineRule="exact"/>
        <w:rPr>
          <w:sz w:val="20"/>
          <w:szCs w:val="20"/>
          <w:color w:val="auto"/>
        </w:rPr>
      </w:pPr>
    </w:p>
    <w:p>
      <w:pPr>
        <w:ind w:right="2599" w:firstLine="191"/>
        <w:spacing w:after="0"/>
        <w:rPr>
          <w:sz w:val="20"/>
          <w:szCs w:val="20"/>
          <w:color w:val="auto"/>
        </w:rPr>
      </w:pPr>
      <w:r>
        <w:rPr>
          <w:rFonts w:ascii="Courier New" w:cs="Courier New" w:eastAsia="Courier New" w:hAnsi="Courier New"/>
          <w:sz w:val="16"/>
          <w:szCs w:val="16"/>
          <w:color w:val="auto"/>
        </w:rPr>
        <w:t>Operating expenses for the nine months ended March 31, 1995, also experienced increases in all areas when compared to the same period a year ago. Again these increases are primarily related to CommLink.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and Expense</w:t>
      </w:r>
    </w:p>
    <w:p>
      <w:pPr>
        <w:spacing w:after="0" w:line="188" w:lineRule="exact"/>
        <w:rPr>
          <w:sz w:val="20"/>
          <w:szCs w:val="20"/>
          <w:color w:val="auto"/>
        </w:rPr>
      </w:pPr>
    </w:p>
    <w:p>
      <w:pPr>
        <w:ind w:right="2599" w:firstLine="191"/>
        <w:spacing w:after="0" w:line="239" w:lineRule="auto"/>
        <w:rPr>
          <w:sz w:val="20"/>
          <w:szCs w:val="20"/>
          <w:color w:val="auto"/>
        </w:rPr>
      </w:pPr>
      <w:r>
        <w:rPr>
          <w:rFonts w:ascii="Courier New" w:cs="Courier New" w:eastAsia="Courier New" w:hAnsi="Courier New"/>
          <w:sz w:val="16"/>
          <w:szCs w:val="16"/>
          <w:color w:val="auto"/>
        </w:rPr>
        <w:t>Other income for the quarter ended March 31, 1995, reflects a net 27% increase when compared to the same period last year.</w:t>
      </w:r>
    </w:p>
    <w:p>
      <w:pPr>
        <w:spacing w:after="0" w:line="189"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The nine months ended March 31, 1995, experienced a net decrease, when compared to the same period a year ago. The largest factor is due to the one-time collection of $394,000 in Fiscal Year 1994's second quarter of amounts previously deemed uncollectible.</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Net Income</w:t>
      </w:r>
    </w:p>
    <w:p>
      <w:pPr>
        <w:spacing w:after="0" w:line="188" w:lineRule="exact"/>
        <w:rPr>
          <w:sz w:val="20"/>
          <w:szCs w:val="20"/>
          <w:color w:val="auto"/>
        </w:rPr>
      </w:pPr>
    </w:p>
    <w:p>
      <w:pPr>
        <w:ind w:right="2779" w:firstLine="191"/>
        <w:spacing w:after="0" w:line="239" w:lineRule="auto"/>
        <w:rPr>
          <w:sz w:val="20"/>
          <w:szCs w:val="20"/>
          <w:color w:val="auto"/>
        </w:rPr>
      </w:pPr>
      <w:r>
        <w:rPr>
          <w:rFonts w:ascii="Courier New" w:cs="Courier New" w:eastAsia="Courier New" w:hAnsi="Courier New"/>
          <w:sz w:val="16"/>
          <w:szCs w:val="16"/>
          <w:color w:val="auto"/>
        </w:rPr>
        <w:t>Net income for the third quarter was $1,774,000, or $.15 per share, compared to $1,291,000, or $.11 per share, in the same quarter last year.</w:t>
      </w:r>
    </w:p>
    <w:p>
      <w:pPr>
        <w:spacing w:after="0" w:line="189"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Net income for the nine months ended March 31, 1995, was $5,611,000, or $.47 per share compared to $4,401,000, or $.37 per share, in the same period last year.</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w:t>
      </w:r>
    </w:p>
    <w:p>
      <w:pPr>
        <w:spacing w:after="0" w:line="188" w:lineRule="exact"/>
        <w:rPr>
          <w:sz w:val="20"/>
          <w:szCs w:val="20"/>
          <w:color w:val="auto"/>
        </w:rPr>
      </w:pPr>
    </w:p>
    <w:p>
      <w:pPr>
        <w:ind w:right="2679" w:firstLine="191"/>
        <w:spacing w:after="0" w:line="262" w:lineRule="auto"/>
        <w:rPr>
          <w:sz w:val="20"/>
          <w:szCs w:val="20"/>
          <w:color w:val="auto"/>
        </w:rPr>
      </w:pPr>
      <w:r>
        <w:rPr>
          <w:rFonts w:ascii="Courier New" w:cs="Courier New" w:eastAsia="Courier New" w:hAnsi="Courier New"/>
          <w:sz w:val="15"/>
          <w:szCs w:val="15"/>
          <w:color w:val="auto"/>
        </w:rPr>
        <w:t>The Company's cash and short-term investments increased to $14,325,000, at March 31, 1995, from $11,671,000, at June 30, 1994. The increase is primarily attributable to two factors, the first being customer payments made in response to the annual billing of support fees received in the first quarter. (This also caused the decrease in accounts receivable reflected on JHA's balance sheet at</w:t>
      </w:r>
    </w:p>
    <w:p>
      <w:pPr>
        <w:spacing w:after="0" w:line="170"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March 31, 1995.)</w:t>
      </w:r>
      <w:r>
        <w:rPr>
          <w:sz w:val="20"/>
          <w:szCs w:val="20"/>
          <w:color w:val="auto"/>
        </w:rPr>
        <w:tab/>
      </w:r>
      <w:r>
        <w:rPr>
          <w:rFonts w:ascii="Courier New" w:cs="Courier New" w:eastAsia="Courier New" w:hAnsi="Courier New"/>
          <w:sz w:val="15"/>
          <w:szCs w:val="15"/>
          <w:color w:val="auto"/>
        </w:rPr>
        <w:t>The second is the Company's continued profitability.</w:t>
      </w:r>
    </w:p>
    <w:p>
      <w:pPr>
        <w:spacing w:after="0" w:line="188" w:lineRule="exact"/>
        <w:rPr>
          <w:sz w:val="20"/>
          <w:szCs w:val="20"/>
          <w:color w:val="auto"/>
        </w:rPr>
      </w:pPr>
    </w:p>
    <w:p>
      <w:pPr>
        <w:ind w:right="2979" w:firstLine="191"/>
        <w:spacing w:after="0"/>
        <w:rPr>
          <w:sz w:val="20"/>
          <w:szCs w:val="20"/>
          <w:color w:val="auto"/>
        </w:rPr>
      </w:pPr>
      <w:r>
        <w:rPr>
          <w:rFonts w:ascii="Courier New" w:cs="Courier New" w:eastAsia="Courier New" w:hAnsi="Courier New"/>
          <w:sz w:val="16"/>
          <w:szCs w:val="16"/>
          <w:color w:val="auto"/>
        </w:rPr>
        <w:t>JHA has available credit lines totaling $2,215,000, although the Company expects their use to be minimal during FY '95. The Company currently has no short-term or long-term debt obligations.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Requirements and Resources</w:t>
      </w:r>
    </w:p>
    <w:p>
      <w:pPr>
        <w:spacing w:after="0" w:line="188" w:lineRule="exact"/>
        <w:rPr>
          <w:sz w:val="20"/>
          <w:szCs w:val="20"/>
          <w:color w:val="auto"/>
        </w:rPr>
      </w:pPr>
    </w:p>
    <w:p>
      <w:pPr>
        <w:ind w:right="2599" w:firstLine="191"/>
        <w:spacing w:after="0" w:line="241" w:lineRule="auto"/>
        <w:rPr>
          <w:sz w:val="20"/>
          <w:szCs w:val="20"/>
          <w:color w:val="auto"/>
        </w:rPr>
      </w:pPr>
      <w:r>
        <w:rPr>
          <w:rFonts w:ascii="Courier New" w:cs="Courier New" w:eastAsia="Courier New" w:hAnsi="Courier New"/>
          <w:sz w:val="16"/>
          <w:szCs w:val="16"/>
          <w:color w:val="auto"/>
        </w:rPr>
        <w:t>JHA generally uses existing resources and funds generated from operations to meet its capital requirements. Capital expenditures totalling $323,000 for the third quarter ended March 31, 1995, were made for additional equipment and a new building for CommLink. These were funded from cash generated by operations.</w:t>
      </w:r>
    </w:p>
    <w:p>
      <w:pPr>
        <w:spacing w:after="0" w:line="6"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The consolidated capital expenditures of JHA total $1,893,000 for the nine month period, ending March 31, 1995.</w:t>
      </w:r>
    </w:p>
    <w:p>
      <w:pPr>
        <w:spacing w:after="0" w:line="189" w:lineRule="exact"/>
        <w:rPr>
          <w:sz w:val="20"/>
          <w:szCs w:val="20"/>
          <w:color w:val="auto"/>
        </w:rPr>
      </w:pPr>
    </w:p>
    <w:p>
      <w:pPr>
        <w:ind w:right="2599" w:firstLine="191"/>
        <w:spacing w:after="0" w:line="242" w:lineRule="auto"/>
        <w:rPr>
          <w:sz w:val="20"/>
          <w:szCs w:val="20"/>
          <w:color w:val="auto"/>
        </w:rPr>
      </w:pPr>
      <w:r>
        <w:rPr>
          <w:rFonts w:ascii="Courier New" w:cs="Courier New" w:eastAsia="Courier New" w:hAnsi="Courier New"/>
          <w:sz w:val="16"/>
          <w:szCs w:val="16"/>
          <w:color w:val="auto"/>
        </w:rPr>
        <w:t>The Company paid a $.0575 per share cash dividend on March 15, 1995 to stockholders of record on February 23, 1995 which was funded from working capital. In addition, the Company's Board of Directors, subsequent to March 31, 1995, declared a quarterly cash dividend of $.0575 per share on its common stock payable on May 26, 1995, to stockholders of record on May 12, 1995. This will be funded out of working capital.</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CONCLUSION</w:t>
      </w:r>
    </w:p>
    <w:p>
      <w:pPr>
        <w:spacing w:after="0" w:line="188" w:lineRule="exact"/>
        <w:rPr>
          <w:sz w:val="20"/>
          <w:szCs w:val="20"/>
          <w:color w:val="auto"/>
        </w:rPr>
      </w:pPr>
    </w:p>
    <w:p>
      <w:pPr>
        <w:ind w:right="2599" w:firstLine="191"/>
        <w:spacing w:after="0" w:line="241" w:lineRule="auto"/>
        <w:rPr>
          <w:sz w:val="20"/>
          <w:szCs w:val="20"/>
          <w:color w:val="auto"/>
        </w:rPr>
      </w:pPr>
      <w:r>
        <w:rPr>
          <w:rFonts w:ascii="Courier New" w:cs="Courier New" w:eastAsia="Courier New" w:hAnsi="Courier New"/>
          <w:sz w:val="16"/>
          <w:szCs w:val="16"/>
          <w:color w:val="auto"/>
        </w:rPr>
        <w:t>JHA's results of operations and its financial position continued to be quite favorable during the quarter and nine months ended March 31, 1995. This reflects the continuing attitude of cooperation and commitment by each employee, management's ongoing cost control efforts and commitment to deliver top quality products and services to the markets served.</w:t>
      </w:r>
    </w:p>
    <w:p>
      <w:pPr>
        <w:spacing w:after="0" w:line="37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PART II. OTHER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36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372"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Quarterly Report on Form 10-Q to be signed on behalf by the undersigned thereunto duly authorized.</w:t>
      </w:r>
    </w:p>
    <w:p>
      <w:pPr>
        <w:spacing w:after="0" w:line="18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JACK HENRY &amp; ASSOCIATES, INC.</w:t>
      </w:r>
    </w:p>
    <w:p>
      <w:pPr>
        <w:sectPr>
          <w:pgSz w:w="11900" w:h="16838" w:orient="portrait"/>
          <w:cols w:equalWidth="0" w:num="1">
            <w:col w:w="10219"/>
          </w:cols>
          <w:pgMar w:left="240" w:top="50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12, 1995</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E. Henry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E. Henry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380" w:space="720"/>
            <w:col w:w="6119"/>
          </w:cols>
          <w:pgMar w:left="240" w:top="506"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12, 1995</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Terry W. Thompson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Terry W. Thompson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2">
            <w:col w:w="3380" w:space="720"/>
            <w:col w:w="6119"/>
          </w:cols>
          <w:pgMar w:left="240" w:top="506" w:right="1440" w:bottom="1440" w:gutter="0" w:footer="0" w:header="0"/>
          <w:type w:val="continuous"/>
        </w:sectPr>
      </w:pPr>
    </w:p>
    <w:bookmarkStart w:id="6" w:name="page7"/>
    <w:bookmarkEnd w:id="6"/>
    <w:p>
      <w:pPr>
        <w:ind w:left="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THIS SCHEDULE CONTAINS SUMMAY FINANCIAL INFORMATION EXTRACTED FROM JACK HENRY &amp; ASSOCIATES, INC. 3RD QUARTER 10-Q FOR 1995 AND IS QUALIFIED IN ITS ENTIRETY BY REFERENCE TO SUCH 10-Q.</w:t>
      </w:r>
    </w:p>
    <w:p>
      <w:pPr>
        <w:spacing w:after="0" w:line="18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3-MOS</w:t>
      </w:r>
    </w:p>
    <w:p>
      <w:pPr>
        <w:spacing w:after="0" w:line="2"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JUN-30-1995</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MAR-31-1995</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3,151</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11,174</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5,682</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22,309</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12,866</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4,591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37,747</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9,467</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117</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27,446</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37,747</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10,405</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10,405</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4,933</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2,835</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(213)</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2,850</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1,076</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1,774</w:t>
      </w: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1,774</w:t>
      </w:r>
    </w:p>
    <w:p>
      <w:pPr>
        <w:spacing w:after="0" w:line="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.15</w:t>
      </w:r>
    </w:p>
    <w:p>
      <w:pPr>
        <w:spacing w:after="0" w:line="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.15</w:t>
      </w:r>
    </w:p>
    <w:sectPr>
      <w:pgSz w:w="11900" w:h="16838" w:orient="portrait"/>
      <w:cols w:equalWidth="0" w:num="1">
        <w:col w:w="10199"/>
      </w:cols>
      <w:pgMar w:left="26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2019-12-13T15:14:19Z</dcterms:created>
  <dcterms:modified xsi:type="dcterms:W3CDTF">2019-12-13T15:14:19Z</dcterms:modified>
</cp:coreProperties>
</file>