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Arial" w:cs="Arial" w:eastAsia="Arial" w:hAnsi="Arial"/>
          <w:sz w:val="20"/>
          <w:szCs w:val="20"/>
          <w:b w:val="1"/>
          <w:bCs w:val="1"/>
          <w:color w:val="auto"/>
        </w:rPr>
        <w:t>UNITED STATES</w:t>
      </w:r>
    </w:p>
    <w:p>
      <w:pPr>
        <w:spacing w:after="0" w:line="33" w:lineRule="exact"/>
        <w:rPr>
          <w:sz w:val="24"/>
          <w:szCs w:val="24"/>
          <w:color w:val="auto"/>
        </w:rPr>
      </w:pPr>
    </w:p>
    <w:p>
      <w:pPr>
        <w:ind w:left="3520"/>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72" w:lineRule="exact"/>
        <w:rPr>
          <w:sz w:val="24"/>
          <w:szCs w:val="24"/>
          <w:color w:val="auto"/>
        </w:rPr>
      </w:pPr>
    </w:p>
    <w:p>
      <w:pPr>
        <w:ind w:left="920" w:hanging="590"/>
        <w:spacing w:after="0"/>
        <w:tabs>
          <w:tab w:leader="none" w:pos="92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QUARTERLY REPORT PURSUANT TO SECTION 13 OR 15(d) OF THE SECURITIES EXCHANGE ACT OF 1934</w:t>
      </w:r>
    </w:p>
    <w:p>
      <w:pPr>
        <w:spacing w:after="0" w:line="70" w:lineRule="exact"/>
        <w:rPr>
          <w:sz w:val="24"/>
          <w:szCs w:val="24"/>
          <w:color w:val="auto"/>
        </w:rPr>
      </w:pPr>
    </w:p>
    <w:p>
      <w:pPr>
        <w:spacing w:after="0"/>
        <w:rPr>
          <w:sz w:val="20"/>
          <w:szCs w:val="20"/>
          <w:color w:val="auto"/>
        </w:rPr>
      </w:pPr>
      <w:r>
        <w:rPr>
          <w:rFonts w:ascii="Arial" w:cs="Arial" w:eastAsia="Arial" w:hAnsi="Arial"/>
          <w:sz w:val="18"/>
          <w:szCs w:val="18"/>
          <w:color w:val="auto"/>
        </w:rPr>
        <w:t>For the quarterly period ended March 31, 2025</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OR</w:t>
      </w:r>
    </w:p>
    <w:p>
      <w:pPr>
        <w:spacing w:after="0" w:line="63" w:lineRule="exact"/>
        <w:rPr>
          <w:sz w:val="24"/>
          <w:szCs w:val="24"/>
          <w:color w:val="auto"/>
        </w:rPr>
      </w:pPr>
    </w:p>
    <w:p>
      <w:pPr>
        <w:ind w:left="900" w:right="1180" w:hanging="591"/>
        <w:spacing w:after="0" w:line="279" w:lineRule="auto"/>
        <w:tabs>
          <w:tab w:leader="none" w:pos="90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________________</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0-14112</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JACK HENRY &amp; ASSOCIATES, INC.</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 w:lineRule="exact"/>
        <w:rPr>
          <w:sz w:val="24"/>
          <w:szCs w:val="24"/>
          <w:color w:val="auto"/>
        </w:rPr>
      </w:pPr>
    </w:p>
    <w:tbl>
      <w:tblPr>
        <w:tblLayout w:type="fixed"/>
        <w:tblInd w:w="100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3440" w:type="dxa"/>
            <w:vAlign w:val="bottom"/>
            <w:gridSpan w:val="2"/>
          </w:tcPr>
          <w:p>
            <w:pPr>
              <w:jc w:val="center"/>
              <w:ind w:right="2680"/>
              <w:spacing w:after="0"/>
              <w:rPr>
                <w:sz w:val="20"/>
                <w:szCs w:val="20"/>
                <w:color w:val="auto"/>
              </w:rPr>
            </w:pPr>
            <w:r>
              <w:rPr>
                <w:rFonts w:ascii="Arial" w:cs="Arial" w:eastAsia="Arial" w:hAnsi="Arial"/>
                <w:sz w:val="18"/>
                <w:szCs w:val="18"/>
                <w:color w:val="auto"/>
                <w:w w:val="99"/>
              </w:rPr>
              <w:t>Delaware</w:t>
            </w:r>
          </w:p>
        </w:tc>
        <w:tc>
          <w:tcPr>
            <w:tcW w:w="4080" w:type="dxa"/>
            <w:vAlign w:val="bottom"/>
            <w:gridSpan w:val="3"/>
          </w:tcPr>
          <w:p>
            <w:pPr>
              <w:jc w:val="right"/>
              <w:ind w:right="920"/>
              <w:spacing w:after="0"/>
              <w:rPr>
                <w:sz w:val="20"/>
                <w:szCs w:val="20"/>
                <w:color w:val="auto"/>
              </w:rPr>
            </w:pPr>
            <w:r>
              <w:rPr>
                <w:rFonts w:ascii="Arial" w:cs="Arial" w:eastAsia="Arial" w:hAnsi="Arial"/>
                <w:sz w:val="18"/>
                <w:szCs w:val="18"/>
                <w:color w:val="auto"/>
              </w:rPr>
              <w:t>43-1128385</w:t>
            </w:r>
          </w:p>
        </w:tc>
      </w:tr>
      <w:tr>
        <w:trPr>
          <w:trHeight w:val="20"/>
        </w:trPr>
        <w:tc>
          <w:tcPr>
            <w:tcW w:w="1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4"/>
        </w:trPr>
        <w:tc>
          <w:tcPr>
            <w:tcW w:w="4800" w:type="dxa"/>
            <w:vAlign w:val="bottom"/>
            <w:gridSpan w:val="3"/>
          </w:tcPr>
          <w:p>
            <w:pPr>
              <w:jc w:val="center"/>
              <w:ind w:right="1300"/>
              <w:spacing w:after="0"/>
              <w:rPr>
                <w:sz w:val="20"/>
                <w:szCs w:val="20"/>
                <w:color w:val="auto"/>
              </w:rPr>
            </w:pPr>
            <w:r>
              <w:rPr>
                <w:rFonts w:ascii="Arial" w:cs="Arial" w:eastAsia="Arial" w:hAnsi="Arial"/>
                <w:sz w:val="18"/>
                <w:szCs w:val="18"/>
                <w:color w:val="auto"/>
                <w:w w:val="99"/>
              </w:rPr>
              <w:t>(State or Other Jurisdiction of Incorporation)</w:t>
            </w:r>
          </w:p>
        </w:tc>
        <w:tc>
          <w:tcPr>
            <w:tcW w:w="4080" w:type="dxa"/>
            <w:vAlign w:val="bottom"/>
            <w:gridSpan w:val="3"/>
          </w:tcPr>
          <w:p>
            <w:pPr>
              <w:jc w:val="center"/>
              <w:ind w:left="1210"/>
              <w:spacing w:after="0"/>
              <w:rPr>
                <w:sz w:val="20"/>
                <w:szCs w:val="20"/>
                <w:color w:val="auto"/>
              </w:rPr>
            </w:pPr>
            <w:r>
              <w:rPr>
                <w:rFonts w:ascii="Arial" w:cs="Arial" w:eastAsia="Arial" w:hAnsi="Arial"/>
                <w:sz w:val="18"/>
                <w:szCs w:val="18"/>
                <w:color w:val="auto"/>
              </w:rPr>
              <w:t>(I.R.S. Employer Identification No.)</w:t>
            </w:r>
          </w:p>
        </w:tc>
      </w:tr>
    </w:tbl>
    <w:p>
      <w:pPr>
        <w:spacing w:after="0" w:line="67" w:lineRule="exact"/>
        <w:rPr>
          <w:sz w:val="24"/>
          <w:szCs w:val="24"/>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663 Highway 60, P.O. Box 807, Monett, MO 65708</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(Zip Code)</w:t>
      </w:r>
    </w:p>
    <w:p>
      <w:pPr>
        <w:jc w:val="center"/>
        <w:spacing w:after="0"/>
        <w:rPr>
          <w:sz w:val="20"/>
          <w:szCs w:val="20"/>
          <w:color w:val="auto"/>
        </w:rPr>
      </w:pPr>
      <w:r>
        <w:rPr>
          <w:rFonts w:ascii="Arial" w:cs="Arial" w:eastAsia="Arial" w:hAnsi="Arial"/>
          <w:sz w:val="20"/>
          <w:szCs w:val="20"/>
          <w:b w:val="1"/>
          <w:bCs w:val="1"/>
          <w:u w:val="single" w:color="auto"/>
          <w:color w:val="auto"/>
        </w:rPr>
        <w:t>417-235-6652</w:t>
      </w:r>
    </w:p>
    <w:p>
      <w:pPr>
        <w:spacing w:after="0" w:line="19" w:lineRule="exact"/>
        <w:rPr>
          <w:sz w:val="24"/>
          <w:szCs w:val="24"/>
          <w:color w:val="auto"/>
        </w:rPr>
      </w:pPr>
    </w:p>
    <w:p>
      <w:pPr>
        <w:ind w:left="3720"/>
        <w:spacing w:after="0"/>
        <w:rPr>
          <w:sz w:val="20"/>
          <w:szCs w:val="20"/>
          <w:color w:val="auto"/>
        </w:rPr>
      </w:pPr>
      <w:r>
        <w:rPr>
          <w:rFonts w:ascii="Arial" w:cs="Arial" w:eastAsia="Arial" w:hAnsi="Arial"/>
          <w:sz w:val="16"/>
          <w:szCs w:val="16"/>
          <w:color w:val="auto"/>
        </w:rPr>
        <w:t>(Registrant’s telephone number, including area code)</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7" w:lineRule="exact"/>
        <w:rPr>
          <w:sz w:val="24"/>
          <w:szCs w:val="24"/>
          <w:color w:val="auto"/>
        </w:rPr>
      </w:pPr>
    </w:p>
    <w:tbl>
      <w:tblPr>
        <w:tblLayout w:type="fixed"/>
        <w:tblInd w:w="92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Title of each class</w:t>
            </w:r>
          </w:p>
        </w:tc>
        <w:tc>
          <w:tcPr>
            <w:tcW w:w="1180" w:type="dxa"/>
            <w:vAlign w:val="bottom"/>
          </w:tcPr>
          <w:p>
            <w:pPr>
              <w:spacing w:after="0"/>
              <w:rPr>
                <w:sz w:val="17"/>
                <w:szCs w:val="17"/>
                <w:color w:val="auto"/>
              </w:rPr>
            </w:pPr>
          </w:p>
        </w:tc>
        <w:tc>
          <w:tcPr>
            <w:tcW w:w="2800" w:type="dxa"/>
            <w:vAlign w:val="bottom"/>
            <w:gridSpan w:val="3"/>
          </w:tcPr>
          <w:p>
            <w:pPr>
              <w:jc w:val="center"/>
              <w:ind w:right="360"/>
              <w:spacing w:after="0"/>
              <w:rPr>
                <w:sz w:val="20"/>
                <w:szCs w:val="20"/>
                <w:color w:val="auto"/>
              </w:rPr>
            </w:pPr>
            <w:r>
              <w:rPr>
                <w:rFonts w:ascii="Arial" w:cs="Arial" w:eastAsia="Arial" w:hAnsi="Arial"/>
                <w:sz w:val="18"/>
                <w:szCs w:val="18"/>
                <w:color w:val="auto"/>
                <w:w w:val="98"/>
              </w:rPr>
              <w:t>Trading Symbol</w:t>
            </w:r>
          </w:p>
        </w:tc>
        <w:tc>
          <w:tcPr>
            <w:tcW w:w="3560" w:type="dxa"/>
            <w:vAlign w:val="bottom"/>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0"/>
        </w:trPr>
        <w:tc>
          <w:tcPr>
            <w:tcW w:w="6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r>
      <w:tr>
        <w:trPr>
          <w:trHeight w:val="254"/>
        </w:trPr>
        <w:tc>
          <w:tcPr>
            <w:tcW w:w="3220" w:type="dxa"/>
            <w:vAlign w:val="bottom"/>
            <w:gridSpan w:val="3"/>
          </w:tcPr>
          <w:p>
            <w:pPr>
              <w:jc w:val="center"/>
              <w:ind w:right="580"/>
              <w:spacing w:after="0"/>
              <w:rPr>
                <w:sz w:val="20"/>
                <w:szCs w:val="20"/>
                <w:color w:val="auto"/>
              </w:rPr>
            </w:pPr>
            <w:r>
              <w:rPr>
                <w:rFonts w:ascii="Arial" w:cs="Arial" w:eastAsia="Arial" w:hAnsi="Arial"/>
                <w:sz w:val="18"/>
                <w:szCs w:val="18"/>
                <w:color w:val="auto"/>
                <w:w w:val="99"/>
              </w:rPr>
              <w:t>Common Stock ($0.01 par value)</w:t>
            </w:r>
          </w:p>
        </w:tc>
        <w:tc>
          <w:tcPr>
            <w:tcW w:w="600" w:type="dxa"/>
            <w:vAlign w:val="bottom"/>
          </w:tcPr>
          <w:p>
            <w:pPr>
              <w:spacing w:after="0"/>
              <w:rPr>
                <w:sz w:val="22"/>
                <w:szCs w:val="22"/>
                <w:color w:val="auto"/>
              </w:rPr>
            </w:pPr>
          </w:p>
        </w:tc>
        <w:tc>
          <w:tcPr>
            <w:tcW w:w="2200" w:type="dxa"/>
            <w:vAlign w:val="bottom"/>
            <w:gridSpan w:val="2"/>
          </w:tcPr>
          <w:p>
            <w:pPr>
              <w:jc w:val="center"/>
              <w:ind w:right="940"/>
              <w:spacing w:after="0"/>
              <w:rPr>
                <w:sz w:val="20"/>
                <w:szCs w:val="20"/>
                <w:color w:val="auto"/>
              </w:rPr>
            </w:pPr>
            <w:r>
              <w:rPr>
                <w:rFonts w:ascii="Arial" w:cs="Arial" w:eastAsia="Arial" w:hAnsi="Arial"/>
                <w:sz w:val="18"/>
                <w:szCs w:val="18"/>
                <w:color w:val="auto"/>
                <w:w w:val="99"/>
              </w:rPr>
              <w:t>JKHY</w:t>
            </w:r>
          </w:p>
        </w:tc>
        <w:tc>
          <w:tcPr>
            <w:tcW w:w="356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315"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8"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8"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3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880" w:type="dxa"/>
            <w:vAlign w:val="bottom"/>
          </w:tcPr>
          <w:p>
            <w:pPr>
              <w:ind w:left="9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59"/>
        </w:trPr>
        <w:tc>
          <w:tcPr>
            <w:tcW w:w="3060" w:type="dxa"/>
            <w:vAlign w:val="bottom"/>
          </w:tcPr>
          <w:p>
            <w:pPr>
              <w:spacing w:after="0"/>
              <w:rPr>
                <w:sz w:val="20"/>
                <w:szCs w:val="20"/>
                <w:color w:val="auto"/>
              </w:rPr>
            </w:pPr>
            <w:r>
              <w:rPr>
                <w:rFonts w:ascii="Arial" w:cs="Arial" w:eastAsia="Arial" w:hAnsi="Arial"/>
                <w:sz w:val="18"/>
                <w:szCs w:val="18"/>
                <w:color w:val="auto"/>
              </w:rPr>
              <w:t>Non-accelerated filer</w:t>
            </w:r>
          </w:p>
        </w:tc>
        <w:tc>
          <w:tcPr>
            <w:tcW w:w="4880" w:type="dxa"/>
            <w:vAlign w:val="bottom"/>
          </w:tcPr>
          <w:p>
            <w:pPr>
              <w:ind w:left="9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30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8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1640" w:type="dxa"/>
            <w:vAlign w:val="bottom"/>
          </w:tcPr>
          <w:p>
            <w:pPr>
              <w:spacing w:after="0"/>
              <w:rPr>
                <w:sz w:val="24"/>
                <w:szCs w:val="24"/>
                <w:color w:val="auto"/>
              </w:rPr>
            </w:pPr>
          </w:p>
        </w:tc>
      </w:tr>
    </w:tbl>
    <w:p>
      <w:pPr>
        <w:spacing w:after="0" w:line="156" w:lineRule="exact"/>
        <w:rPr>
          <w:sz w:val="24"/>
          <w:szCs w:val="24"/>
          <w:color w:val="auto"/>
        </w:rPr>
      </w:pPr>
    </w:p>
    <w:p>
      <w:pPr>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color w:val="auto"/>
        </w:rPr>
        <w:t>As of April 25, 2025, the Registrant had 72,815,986 shares of Common Stock outstanding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940" w:type="dxa"/>
            <w:vAlign w:val="bottom"/>
          </w:tcPr>
          <w:p>
            <w:pPr>
              <w:spacing w:after="0"/>
              <w:rPr>
                <w:sz w:val="20"/>
                <w:szCs w:val="20"/>
                <w:color w:val="auto"/>
              </w:rPr>
            </w:pPr>
          </w:p>
        </w:tc>
        <w:tc>
          <w:tcPr>
            <w:tcW w:w="8380" w:type="dxa"/>
            <w:vAlign w:val="bottom"/>
          </w:tcPr>
          <w:p>
            <w:pPr>
              <w:spacing w:after="0"/>
              <w:rPr>
                <w:sz w:val="20"/>
                <w:szCs w:val="20"/>
                <w:color w:val="auto"/>
              </w:rPr>
            </w:pPr>
          </w:p>
        </w:tc>
        <w:tc>
          <w:tcPr>
            <w:tcW w:w="1860" w:type="dxa"/>
            <w:vAlign w:val="bottom"/>
            <w:tcBorders>
              <w:bottom w:val="single" w:sz="8" w:color="auto"/>
            </w:tcBorders>
            <w:gridSpan w:val="4"/>
          </w:tcPr>
          <w:p>
            <w:pPr>
              <w:ind w:left="540"/>
              <w:spacing w:after="0"/>
              <w:rPr>
                <w:sz w:val="20"/>
                <w:szCs w:val="20"/>
                <w:color w:val="auto"/>
              </w:rPr>
            </w:pPr>
            <w:r>
              <w:rPr>
                <w:rFonts w:ascii="Arial" w:cs="Arial" w:eastAsia="Arial" w:hAnsi="Arial"/>
                <w:sz w:val="18"/>
                <w:szCs w:val="18"/>
                <w:color w:val="auto"/>
                <w:w w:val="99"/>
              </w:rPr>
              <w:t>Page Reference</w:t>
            </w:r>
          </w:p>
        </w:tc>
        <w:tc>
          <w:tcPr>
            <w:tcW w:w="0" w:type="dxa"/>
            <w:vAlign w:val="bottom"/>
          </w:tcPr>
          <w:p>
            <w:pPr>
              <w:spacing w:after="0"/>
              <w:rPr>
                <w:sz w:val="1"/>
                <w:szCs w:val="1"/>
                <w:color w:val="auto"/>
              </w:rPr>
            </w:pPr>
          </w:p>
        </w:tc>
      </w:tr>
      <w:tr>
        <w:trPr>
          <w:trHeight w:val="370"/>
        </w:trPr>
        <w:tc>
          <w:tcPr>
            <w:tcW w:w="9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8380" w:type="dxa"/>
            <w:vAlign w:val="bottom"/>
          </w:tcPr>
          <w:p>
            <w:pPr>
              <w:ind w:left="320"/>
              <w:spacing w:after="0"/>
              <w:rPr>
                <w:sz w:val="20"/>
                <w:szCs w:val="20"/>
                <w:color w:val="auto"/>
              </w:rPr>
            </w:pPr>
            <w:r>
              <w:rPr>
                <w:rFonts w:ascii="Arial" w:cs="Arial" w:eastAsia="Arial" w:hAnsi="Arial"/>
                <w:sz w:val="18"/>
                <w:szCs w:val="18"/>
                <w:color w:val="0000FF"/>
              </w:rPr>
              <w:t>FINANCIAL INFORMATION</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Balance Sheets as of March 31, 2025, and June 30, 2024 (Unaudited)</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Statements of Income for the Three and Nine Months Ended March 31,</w:t>
            </w:r>
          </w:p>
        </w:tc>
        <w:tc>
          <w:tcPr>
            <w:tcW w:w="1740" w:type="dxa"/>
            <w:vAlign w:val="bottom"/>
            <w:gridSpan w:val="2"/>
            <w:vMerge w:val="restart"/>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0000FF"/>
                <w:w w:val="79"/>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940" w:type="dxa"/>
            <w:vAlign w:val="bottom"/>
          </w:tcPr>
          <w:p>
            <w:pPr>
              <w:spacing w:after="0"/>
              <w:rPr>
                <w:sz w:val="17"/>
                <w:szCs w:val="17"/>
                <w:color w:val="auto"/>
              </w:rPr>
            </w:pPr>
          </w:p>
        </w:tc>
        <w:tc>
          <w:tcPr>
            <w:tcW w:w="8380" w:type="dxa"/>
            <w:vAlign w:val="bottom"/>
          </w:tcPr>
          <w:p>
            <w:pPr>
              <w:ind w:left="320"/>
              <w:spacing w:after="0" w:line="202" w:lineRule="exact"/>
              <w:rPr>
                <w:sz w:val="20"/>
                <w:szCs w:val="20"/>
                <w:color w:val="auto"/>
              </w:rPr>
            </w:pPr>
            <w:r>
              <w:rPr>
                <w:rFonts w:ascii="Arial" w:cs="Arial" w:eastAsia="Arial" w:hAnsi="Arial"/>
                <w:sz w:val="18"/>
                <w:szCs w:val="18"/>
                <w:color w:val="0000FF"/>
              </w:rPr>
              <w:t>2025 and 2024 (Unaudited)</w:t>
            </w:r>
          </w:p>
        </w:tc>
        <w:tc>
          <w:tcPr>
            <w:tcW w:w="1740" w:type="dxa"/>
            <w:vAlign w:val="bottom"/>
            <w:gridSpan w:val="2"/>
            <w:vMerge w:val="continue"/>
          </w:tcPr>
          <w:p>
            <w:pPr>
              <w:spacing w:after="0"/>
              <w:rPr>
                <w:sz w:val="17"/>
                <w:szCs w:val="17"/>
                <w:color w:val="auto"/>
              </w:rPr>
            </w:pPr>
          </w:p>
        </w:tc>
        <w:tc>
          <w:tcPr>
            <w:tcW w:w="100" w:type="dxa"/>
            <w:vAlign w:val="bottom"/>
            <w:tcBorders>
              <w:bottom w:val="single" w:sz="8" w:color="0000FF"/>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Statements of Changes in Stockholders' Equity for the Three and Nine</w:t>
            </w:r>
          </w:p>
        </w:tc>
        <w:tc>
          <w:tcPr>
            <w:tcW w:w="1740" w:type="dxa"/>
            <w:vAlign w:val="bottom"/>
            <w:gridSpan w:val="2"/>
            <w:vMerge w:val="restart"/>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0000FF"/>
                <w:w w:val="79"/>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940" w:type="dxa"/>
            <w:vAlign w:val="bottom"/>
          </w:tcPr>
          <w:p>
            <w:pPr>
              <w:spacing w:after="0"/>
              <w:rPr>
                <w:sz w:val="17"/>
                <w:szCs w:val="17"/>
                <w:color w:val="auto"/>
              </w:rPr>
            </w:pPr>
          </w:p>
        </w:tc>
        <w:tc>
          <w:tcPr>
            <w:tcW w:w="8380" w:type="dxa"/>
            <w:vAlign w:val="bottom"/>
          </w:tcPr>
          <w:p>
            <w:pPr>
              <w:ind w:left="320"/>
              <w:spacing w:after="0" w:line="202" w:lineRule="exact"/>
              <w:rPr>
                <w:sz w:val="20"/>
                <w:szCs w:val="20"/>
                <w:color w:val="auto"/>
              </w:rPr>
            </w:pPr>
            <w:r>
              <w:rPr>
                <w:rFonts w:ascii="Arial" w:cs="Arial" w:eastAsia="Arial" w:hAnsi="Arial"/>
                <w:sz w:val="18"/>
                <w:szCs w:val="18"/>
                <w:color w:val="0000FF"/>
              </w:rPr>
              <w:t>Months Ended March 31, 2025 and 2024 (Unaudited)</w:t>
            </w:r>
          </w:p>
        </w:tc>
        <w:tc>
          <w:tcPr>
            <w:tcW w:w="1740" w:type="dxa"/>
            <w:vAlign w:val="bottom"/>
            <w:gridSpan w:val="2"/>
            <w:vMerge w:val="continue"/>
          </w:tcPr>
          <w:p>
            <w:pPr>
              <w:spacing w:after="0"/>
              <w:rPr>
                <w:sz w:val="17"/>
                <w:szCs w:val="17"/>
                <w:color w:val="auto"/>
              </w:rPr>
            </w:pPr>
          </w:p>
        </w:tc>
        <w:tc>
          <w:tcPr>
            <w:tcW w:w="100" w:type="dxa"/>
            <w:vAlign w:val="bottom"/>
            <w:tcBorders>
              <w:bottom w:val="single" w:sz="8" w:color="0000FF"/>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Statements of Cash Flows for the Nine Months Ended March 31, 2025 and</w:t>
            </w:r>
          </w:p>
        </w:tc>
        <w:tc>
          <w:tcPr>
            <w:tcW w:w="1740" w:type="dxa"/>
            <w:vAlign w:val="bottom"/>
            <w:gridSpan w:val="2"/>
            <w:vMerge w:val="restart"/>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0000FF"/>
                <w:w w:val="79"/>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940" w:type="dxa"/>
            <w:vAlign w:val="bottom"/>
          </w:tcPr>
          <w:p>
            <w:pPr>
              <w:spacing w:after="0"/>
              <w:rPr>
                <w:sz w:val="17"/>
                <w:szCs w:val="17"/>
                <w:color w:val="auto"/>
              </w:rPr>
            </w:pPr>
          </w:p>
        </w:tc>
        <w:tc>
          <w:tcPr>
            <w:tcW w:w="8380" w:type="dxa"/>
            <w:vAlign w:val="bottom"/>
          </w:tcPr>
          <w:p>
            <w:pPr>
              <w:ind w:left="320"/>
              <w:spacing w:after="0" w:line="202" w:lineRule="exact"/>
              <w:rPr>
                <w:sz w:val="20"/>
                <w:szCs w:val="20"/>
                <w:color w:val="auto"/>
              </w:rPr>
            </w:pPr>
            <w:r>
              <w:rPr>
                <w:rFonts w:ascii="Arial" w:cs="Arial" w:eastAsia="Arial" w:hAnsi="Arial"/>
                <w:sz w:val="18"/>
                <w:szCs w:val="18"/>
                <w:color w:val="0000FF"/>
              </w:rPr>
              <w:t>2024 (Unaudited)</w:t>
            </w:r>
          </w:p>
        </w:tc>
        <w:tc>
          <w:tcPr>
            <w:tcW w:w="1740" w:type="dxa"/>
            <w:vAlign w:val="bottom"/>
            <w:gridSpan w:val="2"/>
            <w:vMerge w:val="continue"/>
          </w:tcPr>
          <w:p>
            <w:pPr>
              <w:spacing w:after="0"/>
              <w:rPr>
                <w:sz w:val="17"/>
                <w:szCs w:val="17"/>
                <w:color w:val="auto"/>
              </w:rPr>
            </w:pPr>
          </w:p>
        </w:tc>
        <w:tc>
          <w:tcPr>
            <w:tcW w:w="100" w:type="dxa"/>
            <w:vAlign w:val="bottom"/>
            <w:tcBorders>
              <w:bottom w:val="single" w:sz="8" w:color="0000FF"/>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Notes to Condensed Consolidated Financial Statements (Unaudited)</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8380" w:type="dxa"/>
            <w:vAlign w:val="bottom"/>
          </w:tcPr>
          <w:p>
            <w:pPr>
              <w:ind w:left="320"/>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8380" w:type="dxa"/>
            <w:vAlign w:val="bottom"/>
          </w:tcPr>
          <w:p>
            <w:pPr>
              <w:ind w:left="320"/>
              <w:spacing w:after="0"/>
              <w:rPr>
                <w:sz w:val="20"/>
                <w:szCs w:val="20"/>
                <w:color w:val="auto"/>
              </w:rPr>
            </w:pPr>
            <w:r>
              <w:rPr>
                <w:rFonts w:ascii="Arial" w:cs="Arial" w:eastAsia="Arial" w:hAnsi="Arial"/>
                <w:sz w:val="18"/>
                <w:szCs w:val="18"/>
                <w:color w:val="0000FF"/>
              </w:rPr>
              <w:t>Quantitative and Qualitative Disclosures about Market Risk</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8380" w:type="dxa"/>
            <w:vAlign w:val="bottom"/>
          </w:tcPr>
          <w:p>
            <w:pPr>
              <w:ind w:left="320"/>
              <w:spacing w:after="0"/>
              <w:rPr>
                <w:sz w:val="20"/>
                <w:szCs w:val="20"/>
                <w:color w:val="auto"/>
              </w:rPr>
            </w:pPr>
            <w:r>
              <w:rPr>
                <w:rFonts w:ascii="Arial" w:cs="Arial" w:eastAsia="Arial" w:hAnsi="Arial"/>
                <w:sz w:val="18"/>
                <w:szCs w:val="18"/>
                <w:color w:val="0000FF"/>
              </w:rPr>
              <w:t>Controls and Procedures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8380" w:type="dxa"/>
            <w:vAlign w:val="bottom"/>
          </w:tcPr>
          <w:p>
            <w:pPr>
              <w:ind w:left="320"/>
              <w:spacing w:after="0"/>
              <w:rPr>
                <w:sz w:val="20"/>
                <w:szCs w:val="20"/>
                <w:color w:val="auto"/>
              </w:rPr>
            </w:pPr>
            <w:r>
              <w:rPr>
                <w:rFonts w:ascii="Arial" w:cs="Arial" w:eastAsia="Arial" w:hAnsi="Arial"/>
                <w:sz w:val="18"/>
                <w:szCs w:val="18"/>
                <w:color w:val="0000FF"/>
              </w:rPr>
              <w:t>OTHER INFORMATION</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8380" w:type="dxa"/>
            <w:vAlign w:val="bottom"/>
          </w:tcPr>
          <w:p>
            <w:pPr>
              <w:ind w:left="320"/>
              <w:spacing w:after="0"/>
              <w:rPr>
                <w:sz w:val="20"/>
                <w:szCs w:val="20"/>
                <w:color w:val="auto"/>
              </w:rPr>
            </w:pPr>
            <w:r>
              <w:rPr>
                <w:rFonts w:ascii="Arial" w:cs="Arial" w:eastAsia="Arial" w:hAnsi="Arial"/>
                <w:sz w:val="18"/>
                <w:szCs w:val="18"/>
                <w:color w:val="0000FF"/>
              </w:rPr>
              <w:t>Legal Proceedings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8380" w:type="dxa"/>
            <w:vAlign w:val="bottom"/>
          </w:tcPr>
          <w:p>
            <w:pPr>
              <w:ind w:left="320"/>
              <w:spacing w:after="0"/>
              <w:rPr>
                <w:sz w:val="20"/>
                <w:szCs w:val="20"/>
                <w:color w:val="auto"/>
              </w:rPr>
            </w:pPr>
            <w:r>
              <w:rPr>
                <w:rFonts w:ascii="Arial" w:cs="Arial" w:eastAsia="Arial" w:hAnsi="Arial"/>
                <w:sz w:val="18"/>
                <w:szCs w:val="18"/>
                <w:color w:val="0000FF"/>
              </w:rPr>
              <w:t>Unregistered Sales of Equity Securities and Use of Proceeds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ITEM 5.</w:t>
            </w:r>
          </w:p>
        </w:tc>
        <w:tc>
          <w:tcPr>
            <w:tcW w:w="8380" w:type="dxa"/>
            <w:vAlign w:val="bottom"/>
          </w:tcPr>
          <w:p>
            <w:pPr>
              <w:ind w:left="320"/>
              <w:spacing w:after="0"/>
              <w:rPr>
                <w:sz w:val="20"/>
                <w:szCs w:val="20"/>
                <w:color w:val="auto"/>
              </w:rPr>
            </w:pPr>
            <w:r>
              <w:rPr>
                <w:rFonts w:ascii="Arial" w:cs="Arial" w:eastAsia="Arial" w:hAnsi="Arial"/>
                <w:sz w:val="18"/>
                <w:szCs w:val="18"/>
                <w:color w:val="0000FF"/>
              </w:rPr>
              <w:t>Other Information</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6.</w:t>
            </w:r>
          </w:p>
        </w:tc>
        <w:tc>
          <w:tcPr>
            <w:tcW w:w="8380" w:type="dxa"/>
            <w:vAlign w:val="bottom"/>
          </w:tcPr>
          <w:p>
            <w:pPr>
              <w:ind w:left="320"/>
              <w:spacing w:after="0"/>
              <w:rPr>
                <w:sz w:val="20"/>
                <w:szCs w:val="20"/>
                <w:color w:val="auto"/>
              </w:rPr>
            </w:pPr>
            <w:r>
              <w:rPr>
                <w:rFonts w:ascii="Arial" w:cs="Arial" w:eastAsia="Arial" w:hAnsi="Arial"/>
                <w:sz w:val="18"/>
                <w:szCs w:val="18"/>
                <w:color w:val="0000FF"/>
              </w:rPr>
              <w:t>Exhibits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Signatures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this report, all references to “Jack Henry,” the “Company,” “we,” “us,” and “our,” refer to Jack Henry &amp; Associates, Inc., and its wholly owned subsidiaries.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 “Exchange Act”). Forward-looking statements may appear throughout this report, including without limitation, in Management's Discussion and Analysis of Financial Condition and Results of Operations. Forward-looking statements generally are identified by the words “believe,” “project,” “expect,” “seek,” “anticipate,” “estimate,” “future,” “intend,” “plan,” “strategy,” “predict,” “likely,” “should,” “will,” “would,” “could,” “can,” “may,” and similar expressions. Forward-looking statements are based only on management’s current beliefs, expectations and assumptions regarding the future of the Company, future plans and strategies, projections, anticipated events and trends, the economy and other future conditions. Because forward-looking statements relate to the future, they are subject to inherent risks and uncertainties that could cause actual results to differ materially from those expressed or implied by such statements. Such risks and uncertainties include, but are not limited to, those discussed in this Quarterly Report on Form 10-Q, those discussed in our Annual Report on Form 10-K for the fiscal year ended June 30, 2024, in particular, those included in Item 1A, “Risk Factors” of such report, and those discussed in other documents we file with the Securities and Exchange Commission (“SEC”). Any forward-looking statement made in this report speaks only as of the date of this report, and the Company expressly disclaims any obligation to publicly update or revise any forward-looking statement, whether because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PART I. FINANCIAL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I. FINANCIAL STATEMENTS</w:t>
      </w:r>
    </w:p>
    <w:p>
      <w:pPr>
        <w:sectPr>
          <w:pgSz w:w="11900" w:h="16838" w:orient="portrait"/>
          <w:cols w:equalWidth="0" w:num="1">
            <w:col w:w="10139"/>
          </w:cols>
          <w:pgMar w:left="320" w:top="890" w:right="1440" w:bottom="10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90" w:right="1440" w:bottom="1010" w:gutter="0" w:footer="0" w:header="0"/>
          <w:type w:val="continuous"/>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gridSpan w:val="2"/>
          </w:tcPr>
          <w:p>
            <w:pPr>
              <w:jc w:val="center"/>
              <w:ind w:left="3050"/>
              <w:spacing w:after="0"/>
              <w:rPr>
                <w:sz w:val="20"/>
                <w:szCs w:val="20"/>
                <w:color w:val="auto"/>
              </w:rPr>
            </w:pPr>
            <w:r>
              <w:rPr>
                <w:rFonts w:ascii="Arial" w:cs="Arial" w:eastAsia="Arial" w:hAnsi="Arial"/>
                <w:sz w:val="18"/>
                <w:szCs w:val="18"/>
                <w:b w:val="1"/>
                <w:bCs w:val="1"/>
                <w:color w:val="auto"/>
                <w:w w:val="99"/>
              </w:rPr>
              <w:t>JACK HENRY &amp; ASSOCIATES, INC. AND SUBSIDIARIES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80" w:type="dxa"/>
            <w:vAlign w:val="bottom"/>
            <w:gridSpan w:val="4"/>
          </w:tcPr>
          <w:p>
            <w:pPr>
              <w:jc w:val="center"/>
              <w:ind w:left="1590"/>
              <w:spacing w:after="0"/>
              <w:rPr>
                <w:sz w:val="20"/>
                <w:szCs w:val="20"/>
                <w:color w:val="auto"/>
              </w:rPr>
            </w:pPr>
            <w:r>
              <w:rPr>
                <w:rFonts w:ascii="Arial" w:cs="Arial" w:eastAsia="Arial" w:hAnsi="Arial"/>
                <w:sz w:val="18"/>
                <w:szCs w:val="18"/>
                <w:b w:val="1"/>
                <w:bCs w:val="1"/>
                <w:color w:val="auto"/>
                <w:w w:val="99"/>
              </w:rPr>
              <w:t>CONDENSED CONSOLIDATED BALANCE SHEETS (Unaudited)</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820" w:type="dxa"/>
            <w:vAlign w:val="bottom"/>
          </w:tcPr>
          <w:p>
            <w:pPr>
              <w:jc w:val="center"/>
              <w:ind w:left="3330"/>
              <w:spacing w:after="0"/>
              <w:rPr>
                <w:sz w:val="20"/>
                <w:szCs w:val="20"/>
                <w:color w:val="auto"/>
              </w:rPr>
            </w:pPr>
            <w:r>
              <w:rPr>
                <w:rFonts w:ascii="Arial" w:cs="Arial" w:eastAsia="Arial" w:hAnsi="Arial"/>
                <w:sz w:val="18"/>
                <w:szCs w:val="18"/>
                <w:color w:val="auto"/>
              </w:rPr>
              <w:t>(In Thousands, Except Share and Per Share Data)</w:t>
            </w:r>
          </w:p>
        </w:tc>
        <w:tc>
          <w:tcPr>
            <w:tcW w:w="300" w:type="dxa"/>
            <w:vAlign w:val="bottom"/>
          </w:tcPr>
          <w:p>
            <w:pPr>
              <w:spacing w:after="0"/>
              <w:rPr>
                <w:sz w:val="20"/>
                <w:szCs w:val="20"/>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March 31,</w:t>
            </w:r>
          </w:p>
        </w:tc>
        <w:tc>
          <w:tcPr>
            <w:tcW w:w="300" w:type="dxa"/>
            <w:vAlign w:val="bottom"/>
          </w:tcPr>
          <w:p>
            <w:pPr>
              <w:spacing w:after="0"/>
              <w:rPr>
                <w:sz w:val="20"/>
                <w:szCs w:val="20"/>
                <w:color w:val="auto"/>
              </w:rPr>
            </w:pPr>
          </w:p>
        </w:tc>
        <w:tc>
          <w:tcPr>
            <w:tcW w:w="1360" w:type="dxa"/>
            <w:vAlign w:val="bottom"/>
            <w:vMerge w:val="restart"/>
          </w:tcPr>
          <w:p>
            <w:pPr>
              <w:jc w:val="right"/>
              <w:ind w:right="39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172"/>
        </w:trPr>
        <w:tc>
          <w:tcPr>
            <w:tcW w:w="7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8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75"/>
        </w:trPr>
        <w:tc>
          <w:tcPr>
            <w:tcW w:w="7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39,870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38,284</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Receivables, net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282,162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333,033</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receivable</w:t>
            </w: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6,149</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Prepaid expenses and other</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187,961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168,768</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costs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83,243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85,784</w:t>
            </w:r>
          </w:p>
        </w:tc>
        <w:tc>
          <w:tcPr>
            <w:tcW w:w="0" w:type="dxa"/>
            <w:vAlign w:val="bottom"/>
          </w:tcPr>
          <w:p>
            <w:pPr>
              <w:spacing w:after="0"/>
              <w:rPr>
                <w:sz w:val="1"/>
                <w:szCs w:val="1"/>
                <w:color w:val="auto"/>
              </w:rPr>
            </w:pPr>
          </w:p>
        </w:tc>
      </w:tr>
      <w:tr>
        <w:trPr>
          <w:trHeight w:val="223"/>
        </w:trPr>
        <w:tc>
          <w:tcPr>
            <w:tcW w:w="7820" w:type="dxa"/>
            <w:vAlign w:val="bottom"/>
          </w:tcPr>
          <w:p>
            <w:pPr>
              <w:ind w:left="560"/>
              <w:spacing w:after="0"/>
              <w:rPr>
                <w:sz w:val="20"/>
                <w:szCs w:val="20"/>
                <w:color w:val="auto"/>
              </w:rPr>
            </w:pPr>
            <w:r>
              <w:rPr>
                <w:rFonts w:ascii="Arial" w:cs="Arial" w:eastAsia="Arial" w:hAnsi="Arial"/>
                <w:sz w:val="18"/>
                <w:szCs w:val="18"/>
                <w:b w:val="1"/>
                <w:bCs w:val="1"/>
                <w:color w:val="auto"/>
              </w:rPr>
              <w:t>Total current assets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593,236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632,018</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221,540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215,069</w:t>
            </w: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OTHER ASSETS:</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Non-current deferred costs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199,018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183,307</w:t>
            </w: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Computer software, net of amortization</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613,850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592,761</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 assets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429,247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417,621</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Customer relationships, net of amortization</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50,519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56,757</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intangible assets, net of amortization</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22,151</w:t>
            </w: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804,797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804,797</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2,117,242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2,077,394</w:t>
            </w:r>
          </w:p>
        </w:tc>
        <w:tc>
          <w:tcPr>
            <w:tcW w:w="0" w:type="dxa"/>
            <w:vAlign w:val="bottom"/>
          </w:tcPr>
          <w:p>
            <w:pPr>
              <w:spacing w:after="0"/>
              <w:rPr>
                <w:sz w:val="1"/>
                <w:szCs w:val="1"/>
                <w:color w:val="auto"/>
              </w:rPr>
            </w:pPr>
          </w:p>
        </w:tc>
      </w:tr>
      <w:tr>
        <w:trPr>
          <w:trHeight w:val="223"/>
        </w:trPr>
        <w:tc>
          <w:tcPr>
            <w:tcW w:w="7820" w:type="dxa"/>
            <w:vAlign w:val="bottom"/>
          </w:tcPr>
          <w:p>
            <w:pPr>
              <w:ind w:left="56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2,932,018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2,924,481</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25,314</w:t>
            </w: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184,331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200,770</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income taxes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Current maturities of long-term debt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90,000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144,235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317,730</w:t>
            </w:r>
          </w:p>
        </w:tc>
        <w:tc>
          <w:tcPr>
            <w:tcW w:w="0" w:type="dxa"/>
            <w:vAlign w:val="bottom"/>
          </w:tcPr>
          <w:p>
            <w:pPr>
              <w:spacing w:after="0"/>
              <w:rPr>
                <w:sz w:val="1"/>
                <w:szCs w:val="1"/>
                <w:color w:val="auto"/>
              </w:rPr>
            </w:pPr>
          </w:p>
        </w:tc>
      </w:tr>
      <w:tr>
        <w:trPr>
          <w:trHeight w:val="223"/>
        </w:trPr>
        <w:tc>
          <w:tcPr>
            <w:tcW w:w="7820" w:type="dxa"/>
            <w:vAlign w:val="bottom"/>
          </w:tcPr>
          <w:p>
            <w:pPr>
              <w:ind w:left="560"/>
              <w:spacing w:after="0"/>
              <w:rPr>
                <w:sz w:val="20"/>
                <w:szCs w:val="20"/>
                <w:color w:val="auto"/>
              </w:rPr>
            </w:pPr>
            <w:r>
              <w:rPr>
                <w:rFonts w:ascii="Arial" w:cs="Arial" w:eastAsia="Arial" w:hAnsi="Arial"/>
                <w:sz w:val="18"/>
                <w:szCs w:val="18"/>
                <w:b w:val="1"/>
                <w:bCs w:val="1"/>
                <w:color w:val="auto"/>
              </w:rPr>
              <w:t>Total current liabilities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435,624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633,814</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Non-current deferred revenues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77,593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71,202</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 liability</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230,757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243,522</w:t>
            </w: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Debt, net of current maturities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80,000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71,613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73,579</w:t>
            </w: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Total long-term liabilities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459,963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448,303</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895,587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1,082,117</w:t>
            </w:r>
          </w:p>
        </w:tc>
        <w:tc>
          <w:tcPr>
            <w:tcW w:w="0" w:type="dxa"/>
            <w:vAlign w:val="bottom"/>
          </w:tcPr>
          <w:p>
            <w:pPr>
              <w:spacing w:after="0"/>
              <w:rPr>
                <w:sz w:val="1"/>
                <w:szCs w:val="1"/>
                <w:color w:val="auto"/>
              </w:rPr>
            </w:pP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 $1 par value; 500,000 shares authorized, none issued</w:t>
            </w: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820" w:type="dxa"/>
            <w:vAlign w:val="bottom"/>
          </w:tcPr>
          <w:p>
            <w:pPr>
              <w:ind w:left="140"/>
              <w:spacing w:after="0" w:line="176" w:lineRule="exact"/>
              <w:rPr>
                <w:sz w:val="20"/>
                <w:szCs w:val="20"/>
                <w:color w:val="auto"/>
              </w:rPr>
            </w:pPr>
            <w:r>
              <w:rPr>
                <w:rFonts w:ascii="Arial" w:cs="Arial" w:eastAsia="Arial" w:hAnsi="Arial"/>
                <w:sz w:val="18"/>
                <w:szCs w:val="18"/>
                <w:color w:val="auto"/>
              </w:rPr>
              <w:t>Common stock - $0.01 par value; 250,000,000 shares authorized;</w:t>
            </w: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820" w:type="dxa"/>
            <w:vAlign w:val="bottom"/>
          </w:tcPr>
          <w:p>
            <w:pPr>
              <w:ind w:left="400"/>
              <w:spacing w:after="0" w:line="183" w:lineRule="exact"/>
              <w:rPr>
                <w:sz w:val="20"/>
                <w:szCs w:val="20"/>
                <w:color w:val="auto"/>
              </w:rPr>
            </w:pPr>
            <w:r>
              <w:rPr>
                <w:rFonts w:ascii="Arial" w:cs="Arial" w:eastAsia="Arial" w:hAnsi="Arial"/>
                <w:sz w:val="18"/>
                <w:szCs w:val="18"/>
                <w:color w:val="auto"/>
              </w:rPr>
              <w:t>104,394,809 shares issued at March 31, 2025;</w:t>
            </w:r>
          </w:p>
        </w:tc>
        <w:tc>
          <w:tcPr>
            <w:tcW w:w="3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1,044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35"/>
        </w:trPr>
        <w:tc>
          <w:tcPr>
            <w:tcW w:w="7820" w:type="dxa"/>
            <w:vAlign w:val="bottom"/>
          </w:tcPr>
          <w:p>
            <w:pPr>
              <w:ind w:left="400"/>
              <w:spacing w:after="0"/>
              <w:rPr>
                <w:sz w:val="20"/>
                <w:szCs w:val="20"/>
                <w:color w:val="auto"/>
              </w:rPr>
            </w:pPr>
            <w:r>
              <w:rPr>
                <w:rFonts w:ascii="Arial" w:cs="Arial" w:eastAsia="Arial" w:hAnsi="Arial"/>
                <w:sz w:val="18"/>
                <w:szCs w:val="18"/>
                <w:color w:val="auto"/>
              </w:rPr>
              <w:t>104,245,089 shares issued at June 30, 2024</w:t>
            </w:r>
          </w:p>
        </w:tc>
        <w:tc>
          <w:tcPr>
            <w:tcW w:w="30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643,242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619,805</w:t>
            </w: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3,287,370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3,081,690</w:t>
            </w:r>
          </w:p>
        </w:tc>
        <w:tc>
          <w:tcPr>
            <w:tcW w:w="0" w:type="dxa"/>
            <w:vAlign w:val="bottom"/>
          </w:tcPr>
          <w:p>
            <w:pPr>
              <w:spacing w:after="0"/>
              <w:rPr>
                <w:sz w:val="1"/>
                <w:szCs w:val="1"/>
                <w:color w:val="auto"/>
              </w:rPr>
            </w:pPr>
          </w:p>
        </w:tc>
      </w:tr>
      <w:tr>
        <w:trPr>
          <w:trHeight w:val="175"/>
        </w:trPr>
        <w:tc>
          <w:tcPr>
            <w:tcW w:w="78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Less treasury stock at cost</w:t>
            </w: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820" w:type="dxa"/>
            <w:vAlign w:val="bottom"/>
            <w:shd w:val="clear" w:color="auto" w:fill="CCEEFF"/>
          </w:tcPr>
          <w:p>
            <w:pPr>
              <w:ind w:left="400"/>
              <w:spacing w:after="0" w:line="183" w:lineRule="exact"/>
              <w:rPr>
                <w:sz w:val="20"/>
                <w:szCs w:val="20"/>
                <w:color w:val="auto"/>
              </w:rPr>
            </w:pPr>
            <w:r>
              <w:rPr>
                <w:rFonts w:ascii="Arial" w:cs="Arial" w:eastAsia="Arial" w:hAnsi="Arial"/>
                <w:sz w:val="18"/>
                <w:szCs w:val="18"/>
                <w:color w:val="auto"/>
              </w:rPr>
              <w:t>31,579,598 shares at March 31, 2025;</w:t>
            </w:r>
          </w:p>
        </w:tc>
        <w:tc>
          <w:tcPr>
            <w:tcW w:w="3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(1,895,225)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(1,860,173)</w:t>
            </w:r>
          </w:p>
        </w:tc>
        <w:tc>
          <w:tcPr>
            <w:tcW w:w="0" w:type="dxa"/>
            <w:vAlign w:val="bottom"/>
          </w:tcPr>
          <w:p>
            <w:pPr>
              <w:spacing w:after="0"/>
              <w:rPr>
                <w:sz w:val="1"/>
                <w:szCs w:val="1"/>
                <w:color w:val="auto"/>
              </w:rPr>
            </w:pPr>
          </w:p>
        </w:tc>
      </w:tr>
      <w:tr>
        <w:trPr>
          <w:trHeight w:val="235"/>
        </w:trPr>
        <w:tc>
          <w:tcPr>
            <w:tcW w:w="7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31,372,959 shares at June 30, 2024</w:t>
            </w:r>
          </w:p>
        </w:tc>
        <w:tc>
          <w:tcPr>
            <w:tcW w:w="3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Total stockholders' equity</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2,036,431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1,842,364</w:t>
            </w:r>
          </w:p>
        </w:tc>
        <w:tc>
          <w:tcPr>
            <w:tcW w:w="0" w:type="dxa"/>
            <w:vAlign w:val="bottom"/>
          </w:tcPr>
          <w:p>
            <w:pPr>
              <w:spacing w:after="0"/>
              <w:rPr>
                <w:sz w:val="1"/>
                <w:szCs w:val="1"/>
                <w:color w:val="auto"/>
              </w:rPr>
            </w:pPr>
          </w:p>
        </w:tc>
      </w:tr>
      <w:tr>
        <w:trPr>
          <w:trHeight w:val="248"/>
        </w:trPr>
        <w:tc>
          <w:tcPr>
            <w:tcW w:w="78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Total liabilities and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2,932,018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2,924,481</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40" w:type="dxa"/>
            <w:vAlign w:val="bottom"/>
            <w:gridSpan w:val="8"/>
          </w:tcPr>
          <w:p>
            <w:pPr>
              <w:jc w:val="center"/>
              <w:ind w:left="3030"/>
              <w:spacing w:after="0"/>
              <w:rPr>
                <w:sz w:val="20"/>
                <w:szCs w:val="20"/>
                <w:color w:val="auto"/>
              </w:rPr>
            </w:pPr>
            <w:r>
              <w:rPr>
                <w:rFonts w:ascii="Arial" w:cs="Arial" w:eastAsia="Arial" w:hAnsi="Arial"/>
                <w:sz w:val="18"/>
                <w:szCs w:val="18"/>
                <w:b w:val="1"/>
                <w:bCs w:val="1"/>
                <w:color w:val="auto"/>
                <w:w w:val="99"/>
              </w:rPr>
              <w:t>JACK HENRY &amp; ASSOCIATES, INC. AND SUBSIDIARIES</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9540" w:type="dxa"/>
            <w:vAlign w:val="bottom"/>
            <w:gridSpan w:val="11"/>
          </w:tcPr>
          <w:p>
            <w:pPr>
              <w:jc w:val="center"/>
              <w:ind w:left="1410"/>
              <w:spacing w:after="0"/>
              <w:rPr>
                <w:sz w:val="20"/>
                <w:szCs w:val="20"/>
                <w:color w:val="auto"/>
              </w:rPr>
            </w:pPr>
            <w:r>
              <w:rPr>
                <w:rFonts w:ascii="Arial" w:cs="Arial" w:eastAsia="Arial" w:hAnsi="Arial"/>
                <w:sz w:val="18"/>
                <w:szCs w:val="18"/>
                <w:b w:val="1"/>
                <w:bCs w:val="1"/>
                <w:color w:val="auto"/>
                <w:w w:val="99"/>
              </w:rPr>
              <w:t>CONDENSED CONSOLIDATED STATEMENTS OF INCOME (Unaudited)</w:t>
            </w: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3780" w:type="dxa"/>
            <w:vAlign w:val="bottom"/>
          </w:tcPr>
          <w:p>
            <w:pPr>
              <w:spacing w:after="0"/>
              <w:rPr>
                <w:sz w:val="19"/>
                <w:szCs w:val="19"/>
                <w:color w:val="auto"/>
              </w:rPr>
            </w:pPr>
          </w:p>
        </w:tc>
        <w:tc>
          <w:tcPr>
            <w:tcW w:w="4160" w:type="dxa"/>
            <w:vAlign w:val="bottom"/>
            <w:gridSpan w:val="7"/>
          </w:tcPr>
          <w:p>
            <w:pPr>
              <w:jc w:val="center"/>
              <w:ind w:right="680"/>
              <w:spacing w:after="0"/>
              <w:rPr>
                <w:sz w:val="20"/>
                <w:szCs w:val="20"/>
                <w:color w:val="auto"/>
              </w:rPr>
            </w:pPr>
            <w:r>
              <w:rPr>
                <w:rFonts w:ascii="Arial" w:cs="Arial" w:eastAsia="Arial" w:hAnsi="Arial"/>
                <w:sz w:val="18"/>
                <w:szCs w:val="18"/>
                <w:color w:val="auto"/>
              </w:rPr>
              <w:t>(In Thousands, Except Per Share Data)</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3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140" w:type="dxa"/>
            <w:vAlign w:val="bottom"/>
            <w:gridSpan w:val="5"/>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9"/>
                <w:szCs w:val="19"/>
                <w:color w:val="auto"/>
              </w:rPr>
            </w:pPr>
          </w:p>
        </w:tc>
        <w:tc>
          <w:tcPr>
            <w:tcW w:w="278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Nine Months Ended</w:t>
            </w:r>
          </w:p>
        </w:tc>
      </w:tr>
      <w:tr>
        <w:trPr>
          <w:trHeight w:val="235"/>
        </w:trPr>
        <w:tc>
          <w:tcPr>
            <w:tcW w:w="3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r>
      <w:tr>
        <w:trPr>
          <w:trHeight w:val="223"/>
        </w:trPr>
        <w:tc>
          <w:tcPr>
            <w:tcW w:w="3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2024</w:t>
            </w:r>
          </w:p>
        </w:tc>
      </w:tr>
      <w:tr>
        <w:trPr>
          <w:trHeight w:val="250"/>
        </w:trPr>
        <w:tc>
          <w:tcPr>
            <w:tcW w:w="3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0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585,087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1,759,916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1,655,631</w:t>
            </w:r>
          </w:p>
        </w:tc>
      </w:tr>
      <w:tr>
        <w:trPr>
          <w:trHeight w:val="270"/>
        </w:trPr>
        <w:tc>
          <w:tcPr>
            <w:tcW w:w="37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3780" w:type="dxa"/>
            <w:vAlign w:val="bottom"/>
          </w:tcPr>
          <w:p>
            <w:pPr>
              <w:ind w:left="140"/>
              <w:spacing w:after="0"/>
              <w:rPr>
                <w:sz w:val="20"/>
                <w:szCs w:val="20"/>
                <w:color w:val="auto"/>
              </w:rPr>
            </w:pPr>
            <w:r>
              <w:rPr>
                <w:rFonts w:ascii="Arial" w:cs="Arial" w:eastAsia="Arial" w:hAnsi="Arial"/>
                <w:sz w:val="18"/>
                <w:szCs w:val="18"/>
                <w:color w:val="auto"/>
              </w:rPr>
              <w:t>Cost of Revenue</w:t>
            </w: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340,586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328,224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1,016,868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972,205</w:t>
            </w:r>
          </w:p>
        </w:tc>
      </w:tr>
      <w:tr>
        <w:trPr>
          <w:trHeight w:val="229"/>
        </w:trPr>
        <w:tc>
          <w:tcPr>
            <w:tcW w:w="3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39,411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120,192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108,363</w:t>
            </w:r>
          </w:p>
        </w:tc>
      </w:tr>
      <w:tr>
        <w:trPr>
          <w:trHeight w:val="229"/>
        </w:trPr>
        <w:tc>
          <w:tcPr>
            <w:tcW w:w="3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Selling, General, and Administrative</w:t>
            </w:r>
          </w:p>
        </w:tc>
        <w:tc>
          <w:tcPr>
            <w:tcW w:w="6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66,350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62,246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209,839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211,298</w:t>
            </w:r>
          </w:p>
        </w:tc>
      </w:tr>
      <w:tr>
        <w:trPr>
          <w:trHeight w:val="223"/>
        </w:trPr>
        <w:tc>
          <w:tcPr>
            <w:tcW w:w="378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Expenses</w:t>
            </w:r>
          </w:p>
        </w:tc>
        <w:tc>
          <w:tcPr>
            <w:tcW w:w="6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446,347</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426,463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1,346,899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1,291,866</w:t>
            </w:r>
          </w:p>
        </w:tc>
      </w:tr>
      <w:tr>
        <w:trPr>
          <w:trHeight w:val="250"/>
        </w:trPr>
        <w:tc>
          <w:tcPr>
            <w:tcW w:w="3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138,740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413,017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363,765</w:t>
            </w:r>
          </w:p>
        </w:tc>
      </w:tr>
      <w:tr>
        <w:trPr>
          <w:trHeight w:val="270"/>
        </w:trPr>
        <w:tc>
          <w:tcPr>
            <w:tcW w:w="37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INCOME (EXPENSE)</w:t>
            </w: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378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5,899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6,499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21,406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16,365</w:t>
            </w:r>
          </w:p>
        </w:tc>
      </w:tr>
      <w:tr>
        <w:trPr>
          <w:trHeight w:val="230"/>
        </w:trPr>
        <w:tc>
          <w:tcPr>
            <w:tcW w:w="3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6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(2,731)</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(8,336)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(12,495)</w:t>
            </w:r>
          </w:p>
        </w:tc>
      </w:tr>
      <w:tr>
        <w:trPr>
          <w:trHeight w:val="223"/>
        </w:trPr>
        <w:tc>
          <w:tcPr>
            <w:tcW w:w="378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Total Interest Income (Expense)</w:t>
            </w:r>
          </w:p>
        </w:tc>
        <w:tc>
          <w:tcPr>
            <w:tcW w:w="6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3,168</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13,070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3,870</w:t>
            </w:r>
          </w:p>
        </w:tc>
      </w:tr>
      <w:tr>
        <w:trPr>
          <w:trHeight w:val="250"/>
        </w:trPr>
        <w:tc>
          <w:tcPr>
            <w:tcW w:w="37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141,908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114,165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426,087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367,635</w:t>
            </w:r>
          </w:p>
        </w:tc>
      </w:tr>
      <w:tr>
        <w:trPr>
          <w:trHeight w:val="270"/>
        </w:trPr>
        <w:tc>
          <w:tcPr>
            <w:tcW w:w="37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30,800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97,943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86,892</w:t>
            </w:r>
          </w:p>
        </w:tc>
      </w:tr>
      <w:tr>
        <w:trPr>
          <w:trHeight w:val="270"/>
        </w:trPr>
        <w:tc>
          <w:tcPr>
            <w:tcW w:w="37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6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111,108</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87,099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328,144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280,743</w:t>
            </w: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37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102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1.53</w:t>
            </w:r>
          </w:p>
        </w:tc>
        <w:tc>
          <w:tcPr>
            <w:tcW w:w="12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4.50</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3.85</w:t>
            </w: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72,851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72,872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72,893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72,860</w:t>
            </w:r>
          </w:p>
        </w:tc>
      </w:tr>
      <w:tr>
        <w:trPr>
          <w:trHeight w:val="270"/>
        </w:trPr>
        <w:tc>
          <w:tcPr>
            <w:tcW w:w="37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10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47"/>
        </w:trPr>
        <w:tc>
          <w:tcPr>
            <w:tcW w:w="3780" w:type="dxa"/>
            <w:vAlign w:val="bottom"/>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73,013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73,031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73,058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73,010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040"/>
          </w:cols>
          <w:pgMar w:left="320" w:top="125" w:right="5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5" w:right="5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0" w:type="dxa"/>
            <w:vAlign w:val="bottom"/>
            <w:gridSpan w:val="7"/>
          </w:tcPr>
          <w:p>
            <w:pPr>
              <w:ind w:left="3240"/>
              <w:spacing w:after="0"/>
              <w:rPr>
                <w:sz w:val="20"/>
                <w:szCs w:val="20"/>
                <w:color w:val="auto"/>
              </w:rPr>
            </w:pPr>
            <w:r>
              <w:rPr>
                <w:rFonts w:ascii="Arial" w:cs="Arial" w:eastAsia="Arial" w:hAnsi="Arial"/>
                <w:sz w:val="18"/>
                <w:szCs w:val="18"/>
                <w:b w:val="1"/>
                <w:bCs w:val="1"/>
                <w:color w:val="auto"/>
              </w:rPr>
              <w:t>JACK HENRY &amp; ASSOCIATES, INC. AND SUBSIDIARIES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10080" w:type="dxa"/>
            <w:vAlign w:val="bottom"/>
            <w:gridSpan w:val="11"/>
          </w:tcPr>
          <w:p>
            <w:pPr>
              <w:jc w:val="right"/>
              <w:ind w:right="10"/>
              <w:spacing w:after="0"/>
              <w:rPr>
                <w:sz w:val="20"/>
                <w:szCs w:val="20"/>
                <w:color w:val="auto"/>
              </w:rPr>
            </w:pPr>
            <w:r>
              <w:rPr>
                <w:rFonts w:ascii="Arial" w:cs="Arial" w:eastAsia="Arial" w:hAnsi="Arial"/>
                <w:sz w:val="18"/>
                <w:szCs w:val="18"/>
                <w:b w:val="1"/>
                <w:bCs w:val="1"/>
                <w:color w:val="auto"/>
              </w:rPr>
              <w:t>CONDENSED CONSOLIDATED STATEMENTS OF CHANGES IN STOCKHOLDERS' EQUITY (Unaudited)</w:t>
            </w:r>
          </w:p>
        </w:tc>
        <w:tc>
          <w:tcPr>
            <w:tcW w:w="1160" w:type="dxa"/>
            <w:vAlign w:val="bottom"/>
          </w:tcPr>
          <w:p>
            <w:pPr>
              <w:spacing w:after="0"/>
              <w:rPr>
                <w:sz w:val="19"/>
                <w:szCs w:val="19"/>
                <w:color w:val="auto"/>
              </w:rPr>
            </w:pPr>
          </w:p>
        </w:tc>
      </w:tr>
      <w:tr>
        <w:trPr>
          <w:trHeight w:val="229"/>
        </w:trPr>
        <w:tc>
          <w:tcPr>
            <w:tcW w:w="8400" w:type="dxa"/>
            <w:vAlign w:val="bottom"/>
            <w:gridSpan w:val="7"/>
          </w:tcPr>
          <w:p>
            <w:pPr>
              <w:ind w:left="3600"/>
              <w:spacing w:after="0"/>
              <w:rPr>
                <w:sz w:val="20"/>
                <w:szCs w:val="20"/>
                <w:color w:val="auto"/>
              </w:rPr>
            </w:pPr>
            <w:r>
              <w:rPr>
                <w:rFonts w:ascii="Arial" w:cs="Arial" w:eastAsia="Arial" w:hAnsi="Arial"/>
                <w:sz w:val="18"/>
                <w:szCs w:val="18"/>
                <w:color w:val="auto"/>
              </w:rPr>
              <w:t>(In Thousands, Except Share and Per Share Data)</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5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19"/>
                <w:szCs w:val="19"/>
                <w:color w:val="auto"/>
              </w:rPr>
            </w:pPr>
          </w:p>
        </w:tc>
        <w:tc>
          <w:tcPr>
            <w:tcW w:w="26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Nine Months Ended</w:t>
            </w:r>
          </w:p>
        </w:tc>
      </w:tr>
      <w:tr>
        <w:trPr>
          <w:trHeight w:val="235"/>
        </w:trPr>
        <w:tc>
          <w:tcPr>
            <w:tcW w:w="5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8"/>
              </w:rPr>
              <w:t>March 31,</w:t>
            </w:r>
          </w:p>
        </w:tc>
        <w:tc>
          <w:tcPr>
            <w:tcW w:w="200" w:type="dxa"/>
            <w:vAlign w:val="bottom"/>
          </w:tcPr>
          <w:p>
            <w:pPr>
              <w:spacing w:after="0"/>
              <w:rPr>
                <w:sz w:val="20"/>
                <w:szCs w:val="20"/>
                <w:color w:val="auto"/>
              </w:rPr>
            </w:pPr>
          </w:p>
        </w:tc>
        <w:tc>
          <w:tcPr>
            <w:tcW w:w="2640" w:type="dxa"/>
            <w:vAlign w:val="bottom"/>
            <w:gridSpan w:val="4"/>
          </w:tcPr>
          <w:p>
            <w:pPr>
              <w:jc w:val="right"/>
              <w:ind w:right="910"/>
              <w:spacing w:after="0"/>
              <w:rPr>
                <w:sz w:val="20"/>
                <w:szCs w:val="20"/>
                <w:color w:val="auto"/>
              </w:rPr>
            </w:pPr>
            <w:r>
              <w:rPr>
                <w:rFonts w:ascii="Arial" w:cs="Arial" w:eastAsia="Arial" w:hAnsi="Arial"/>
                <w:sz w:val="18"/>
                <w:szCs w:val="18"/>
                <w:b w:val="1"/>
                <w:bCs w:val="1"/>
                <w:color w:val="auto"/>
              </w:rPr>
              <w:t>March 31,</w:t>
            </w:r>
          </w:p>
        </w:tc>
      </w:tr>
      <w:tr>
        <w:trPr>
          <w:trHeight w:val="223"/>
        </w:trPr>
        <w:tc>
          <w:tcPr>
            <w:tcW w:w="54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2024</w:t>
            </w: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PREFERRED SHARES:</w:t>
            </w: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SHARES: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5440" w:type="dxa"/>
            <w:vAlign w:val="bottom"/>
          </w:tcPr>
          <w:p>
            <w:pPr>
              <w:ind w:left="220"/>
              <w:spacing w:after="0"/>
              <w:rPr>
                <w:sz w:val="20"/>
                <w:szCs w:val="20"/>
                <w:color w:val="auto"/>
              </w:rPr>
            </w:pPr>
            <w:r>
              <w:rPr>
                <w:rFonts w:ascii="Arial" w:cs="Arial" w:eastAsia="Arial" w:hAnsi="Arial"/>
                <w:sz w:val="18"/>
                <w:szCs w:val="18"/>
                <w:color w:val="auto"/>
              </w:rPr>
              <w:t>Shares, beginning of period</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104,370,424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104,181,060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104,245,089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104,088,784</w:t>
            </w:r>
          </w:p>
        </w:tc>
      </w:tr>
      <w:tr>
        <w:trPr>
          <w:trHeight w:val="230"/>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equity-based payment arrangements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90,267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65,042</w:t>
            </w:r>
          </w:p>
        </w:tc>
      </w:tr>
      <w:tr>
        <w:trPr>
          <w:trHeight w:val="229"/>
        </w:trPr>
        <w:tc>
          <w:tcPr>
            <w:tcW w:w="5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23,333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24,290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59,453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68,906</w:t>
            </w:r>
          </w:p>
        </w:tc>
      </w:tr>
      <w:tr>
        <w:trPr>
          <w:trHeight w:val="248"/>
        </w:trPr>
        <w:tc>
          <w:tcPr>
            <w:tcW w:w="54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Shares, end of period</w:t>
            </w: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104,394,809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104,222,732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104,394,809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104,222,732</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 - PAR VALUE $0.01 PER SHARE: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544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1,044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1,042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1,041</w:t>
            </w:r>
          </w:p>
        </w:tc>
      </w:tr>
      <w:tr>
        <w:trPr>
          <w:trHeight w:val="229"/>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equity-based payment arrangements</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5440" w:type="dxa"/>
            <w:vAlign w:val="bottom"/>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Balance, end of period</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r>
      <w:tr>
        <w:trPr>
          <w:trHeight w:val="250"/>
        </w:trPr>
        <w:tc>
          <w:tcPr>
            <w:tcW w:w="5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ADDITIONAL PAID-IN CAPITAL:</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544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633,211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601,790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619,805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583,836</w:t>
            </w:r>
          </w:p>
        </w:tc>
      </w:tr>
      <w:tr>
        <w:trPr>
          <w:trHeight w:val="229"/>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equity-based payment arrangements</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tcPr>
          <w:p>
            <w:pPr>
              <w:ind w:left="220"/>
              <w:spacing w:after="0"/>
              <w:rPr>
                <w:sz w:val="20"/>
                <w:szCs w:val="20"/>
                <w:color w:val="auto"/>
              </w:rPr>
            </w:pPr>
            <w:r>
              <w:rPr>
                <w:rFonts w:ascii="Arial" w:cs="Arial" w:eastAsia="Arial" w:hAnsi="Arial"/>
                <w:sz w:val="18"/>
                <w:szCs w:val="18"/>
                <w:color w:val="auto"/>
              </w:rPr>
              <w:t>Tax withholding related to share-based compensation</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(7,660)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(5,343)</w:t>
            </w:r>
          </w:p>
        </w:tc>
      </w:tr>
      <w:tr>
        <w:trPr>
          <w:trHeight w:val="230"/>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9,408</w:t>
            </w:r>
          </w:p>
        </w:tc>
      </w:tr>
      <w:tr>
        <w:trPr>
          <w:trHeight w:val="229"/>
        </w:trPr>
        <w:tc>
          <w:tcPr>
            <w:tcW w:w="5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6,873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22,412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22,404</w:t>
            </w:r>
          </w:p>
        </w:tc>
      </w:tr>
      <w:tr>
        <w:trPr>
          <w:trHeight w:val="223"/>
        </w:trPr>
        <w:tc>
          <w:tcPr>
            <w:tcW w:w="54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Balance, end of period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643,242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610,305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643,242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610,305</w:t>
            </w:r>
          </w:p>
        </w:tc>
      </w:tr>
      <w:tr>
        <w:trPr>
          <w:trHeight w:val="250"/>
        </w:trPr>
        <w:tc>
          <w:tcPr>
            <w:tcW w:w="5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RETAINED EARNINGS: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544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3,218,533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2,973,673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3,081,690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2,855,751</w:t>
            </w:r>
          </w:p>
        </w:tc>
      </w:tr>
      <w:tr>
        <w:trPr>
          <w:trHeight w:val="230"/>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111,108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328,144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280,743</w:t>
            </w:r>
          </w:p>
        </w:tc>
      </w:tr>
      <w:tr>
        <w:trPr>
          <w:trHeight w:val="230"/>
        </w:trPr>
        <w:tc>
          <w:tcPr>
            <w:tcW w:w="5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Dividends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(42,271)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(40,070)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(122,464)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(115,792)</w:t>
            </w:r>
          </w:p>
        </w:tc>
      </w:tr>
      <w:tr>
        <w:trPr>
          <w:trHeight w:val="223"/>
        </w:trPr>
        <w:tc>
          <w:tcPr>
            <w:tcW w:w="54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Balance, end of period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3,287,370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3,020,702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3,287,370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3,020,702</w:t>
            </w:r>
          </w:p>
        </w:tc>
      </w:tr>
      <w:tr>
        <w:trPr>
          <w:trHeight w:val="250"/>
        </w:trPr>
        <w:tc>
          <w:tcPr>
            <w:tcW w:w="5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TREASURY STOCK:</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544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(1,877,223)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(1,852,118)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(1,860,173)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(1,832,118)</w:t>
            </w:r>
          </w:p>
        </w:tc>
      </w:tr>
      <w:tr>
        <w:trPr>
          <w:trHeight w:val="230"/>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treasury shares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23"/>
        </w:trPr>
        <w:tc>
          <w:tcPr>
            <w:tcW w:w="54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Balance, end of period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(1,895,225)</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(1,852,118)</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(1,895,225)</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(1,852,118)</w:t>
            </w:r>
          </w:p>
        </w:tc>
      </w:tr>
      <w:tr>
        <w:trPr>
          <w:trHeight w:val="250"/>
        </w:trPr>
        <w:tc>
          <w:tcPr>
            <w:tcW w:w="54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2,036,431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1,779,931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2,036,431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1,779,931</w:t>
            </w: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5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47"/>
        </w:trPr>
        <w:tc>
          <w:tcPr>
            <w:tcW w:w="5440" w:type="dxa"/>
            <w:vAlign w:val="bottom"/>
          </w:tcPr>
          <w:p>
            <w:pPr>
              <w:ind w:left="20"/>
              <w:spacing w:after="0"/>
              <w:rPr>
                <w:sz w:val="20"/>
                <w:szCs w:val="20"/>
                <w:color w:val="auto"/>
              </w:rPr>
            </w:pPr>
            <w:r>
              <w:rPr>
                <w:rFonts w:ascii="Arial" w:cs="Arial" w:eastAsia="Arial" w:hAnsi="Arial"/>
                <w:sz w:val="18"/>
                <w:szCs w:val="18"/>
                <w:color w:val="auto"/>
              </w:rPr>
              <w:t>Dividends declared per share</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0.58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1.68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20" w:type="dxa"/>
            <w:vAlign w:val="bottom"/>
            <w:gridSpan w:val="2"/>
          </w:tcPr>
          <w:p>
            <w:pPr>
              <w:jc w:val="center"/>
              <w:ind w:left="2950"/>
              <w:spacing w:after="0"/>
              <w:rPr>
                <w:sz w:val="20"/>
                <w:szCs w:val="20"/>
                <w:color w:val="auto"/>
              </w:rPr>
            </w:pPr>
            <w:r>
              <w:rPr>
                <w:rFonts w:ascii="Arial" w:cs="Arial" w:eastAsia="Arial" w:hAnsi="Arial"/>
                <w:sz w:val="18"/>
                <w:szCs w:val="18"/>
                <w:b w:val="1"/>
                <w:bCs w:val="1"/>
                <w:color w:val="auto"/>
                <w:w w:val="99"/>
              </w:rPr>
              <w:t>JACK HENRY &amp; ASSOCIATES, INC. AND SUBSIDIARIES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80" w:type="dxa"/>
            <w:vAlign w:val="bottom"/>
            <w:gridSpan w:val="4"/>
          </w:tcPr>
          <w:p>
            <w:pPr>
              <w:jc w:val="center"/>
              <w:ind w:left="1570"/>
              <w:spacing w:after="0"/>
              <w:rPr>
                <w:sz w:val="20"/>
                <w:szCs w:val="20"/>
                <w:color w:val="auto"/>
              </w:rPr>
            </w:pPr>
            <w:r>
              <w:rPr>
                <w:rFonts w:ascii="Arial" w:cs="Arial" w:eastAsia="Arial" w:hAnsi="Arial"/>
                <w:sz w:val="18"/>
                <w:szCs w:val="18"/>
                <w:b w:val="1"/>
                <w:bCs w:val="1"/>
                <w:color w:val="auto"/>
                <w:w w:val="99"/>
              </w:rPr>
              <w:t>CONDENSED CONSOLIDATED STATEMENTS OF CASH FLOWS (Unaudited)</w:t>
            </w: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820" w:type="dxa"/>
            <w:vAlign w:val="bottom"/>
          </w:tcPr>
          <w:p>
            <w:pPr>
              <w:jc w:val="center"/>
              <w:ind w:left="3330"/>
              <w:spacing w:after="0"/>
              <w:rPr>
                <w:sz w:val="20"/>
                <w:szCs w:val="20"/>
                <w:color w:val="auto"/>
              </w:rPr>
            </w:pPr>
            <w:r>
              <w:rPr>
                <w:rFonts w:ascii="Arial" w:cs="Arial" w:eastAsia="Arial" w:hAnsi="Arial"/>
                <w:sz w:val="18"/>
                <w:szCs w:val="18"/>
                <w:color w:val="auto"/>
                <w:w w:val="99"/>
              </w:rPr>
              <w:t>(In Thousands)</w:t>
            </w:r>
          </w:p>
        </w:tc>
        <w:tc>
          <w:tcPr>
            <w:tcW w:w="400" w:type="dxa"/>
            <w:vAlign w:val="bottom"/>
          </w:tcPr>
          <w:p>
            <w:pPr>
              <w:spacing w:after="0"/>
              <w:rPr>
                <w:sz w:val="20"/>
                <w:szCs w:val="20"/>
                <w:color w:val="auto"/>
              </w:rPr>
            </w:pPr>
          </w:p>
        </w:tc>
        <w:tc>
          <w:tcPr>
            <w:tcW w:w="3020" w:type="dxa"/>
            <w:vAlign w:val="bottom"/>
            <w:gridSpan w:val="4"/>
            <w:vMerge w:val="restart"/>
          </w:tcPr>
          <w:p>
            <w:pPr>
              <w:jc w:val="right"/>
              <w:ind w:right="7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0"/>
        </w:trPr>
        <w:tc>
          <w:tcPr>
            <w:tcW w:w="7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2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8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18"/>
        </w:trPr>
        <w:tc>
          <w:tcPr>
            <w:tcW w:w="782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328,144</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280,743</w:t>
            </w:r>
          </w:p>
        </w:tc>
        <w:tc>
          <w:tcPr>
            <w:tcW w:w="0" w:type="dxa"/>
            <w:vAlign w:val="bottom"/>
          </w:tcPr>
          <w:p>
            <w:pPr>
              <w:spacing w:after="0"/>
              <w:rPr>
                <w:sz w:val="1"/>
                <w:szCs w:val="1"/>
                <w:color w:val="auto"/>
              </w:rPr>
            </w:pPr>
          </w:p>
        </w:tc>
      </w:tr>
      <w:tr>
        <w:trPr>
          <w:trHeight w:val="175"/>
        </w:trPr>
        <w:tc>
          <w:tcPr>
            <w:tcW w:w="7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Adjustments to reconcile net income from operations</w:t>
            </w: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 net cash from operating activities:</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33,125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34,943</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120,136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114,270</w:t>
            </w: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Change in deferred income taxes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(12,765)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(15,325)</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 for stock-based compensation</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22,412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22,404</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(Gain)/loss on disposal of assets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Change in receivables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50,871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97,835</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prepaid expenses, deferred costs and other</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(42,989)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(60,520)</w:t>
            </w: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Change in accounts payable</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(9,541)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accrued expenses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(23,436)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20,265</w:t>
            </w: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Change in income taxes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15,540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30,938</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deferred revenues</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(167,104)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(185,784)</w:t>
            </w:r>
          </w:p>
        </w:tc>
        <w:tc>
          <w:tcPr>
            <w:tcW w:w="0" w:type="dxa"/>
            <w:vAlign w:val="bottom"/>
          </w:tcPr>
          <w:p>
            <w:pPr>
              <w:spacing w:after="0"/>
              <w:rPr>
                <w:sz w:val="1"/>
                <w:szCs w:val="1"/>
                <w:color w:val="auto"/>
              </w:rPr>
            </w:pPr>
          </w:p>
        </w:tc>
      </w:tr>
      <w:tr>
        <w:trPr>
          <w:trHeight w:val="223"/>
        </w:trPr>
        <w:tc>
          <w:tcPr>
            <w:tcW w:w="7820" w:type="dxa"/>
            <w:vAlign w:val="bottom"/>
          </w:tcPr>
          <w:p>
            <w:pPr>
              <w:ind w:left="480"/>
              <w:spacing w:after="0"/>
              <w:rPr>
                <w:sz w:val="20"/>
                <w:szCs w:val="20"/>
                <w:color w:val="auto"/>
              </w:rPr>
            </w:pPr>
            <w:r>
              <w:rPr>
                <w:rFonts w:ascii="Arial" w:cs="Arial" w:eastAsia="Arial" w:hAnsi="Arial"/>
                <w:sz w:val="18"/>
                <w:szCs w:val="18"/>
                <w:b w:val="1"/>
                <w:bCs w:val="1"/>
                <w:color w:val="auto"/>
              </w:rPr>
              <w:t>Net cash from operating activities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314,392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336,242</w:t>
            </w:r>
          </w:p>
        </w:tc>
        <w:tc>
          <w:tcPr>
            <w:tcW w:w="0" w:type="dxa"/>
            <w:vAlign w:val="bottom"/>
          </w:tcPr>
          <w:p>
            <w:pPr>
              <w:spacing w:after="0"/>
              <w:rPr>
                <w:sz w:val="1"/>
                <w:szCs w:val="1"/>
                <w:color w:val="auto"/>
              </w:rPr>
            </w:pPr>
          </w:p>
        </w:tc>
      </w:tr>
      <w:tr>
        <w:trPr>
          <w:trHeight w:val="270"/>
        </w:trPr>
        <w:tc>
          <w:tcPr>
            <w:tcW w:w="78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(41,186)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(34,347)</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Proceeds from dispositions</w:t>
            </w:r>
          </w:p>
        </w:tc>
        <w:tc>
          <w:tcPr>
            <w:tcW w:w="4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Purchased software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(3,833)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Computer software developed</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(130,298)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(125,351)</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investments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Purchase of investments</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from investing activities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(176,317)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(164,505)</w:t>
            </w:r>
          </w:p>
        </w:tc>
        <w:tc>
          <w:tcPr>
            <w:tcW w:w="0" w:type="dxa"/>
            <w:vAlign w:val="bottom"/>
          </w:tcPr>
          <w:p>
            <w:pPr>
              <w:spacing w:after="0"/>
              <w:rPr>
                <w:sz w:val="1"/>
                <w:szCs w:val="1"/>
                <w:color w:val="auto"/>
              </w:rPr>
            </w:pPr>
          </w:p>
        </w:tc>
      </w:tr>
      <w:tr>
        <w:trPr>
          <w:trHeight w:val="270"/>
        </w:trPr>
        <w:tc>
          <w:tcPr>
            <w:tcW w:w="7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Borrowings on credit facilities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255,000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335,000</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Repayments on credit facilities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(360,000)</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Purchase of treasury stock</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(35,052)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paid</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(122,464)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(115,792)</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Proceeds from issuance of common stock upon exercise of stock options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withholding payments related to share-based compensation</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(7,661)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w:t>
            </w: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Proceeds from sale of common stock</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8,686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9,409</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from financing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(136,489)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(156,726)</w:t>
            </w:r>
          </w:p>
        </w:tc>
        <w:tc>
          <w:tcPr>
            <w:tcW w:w="0" w:type="dxa"/>
            <w:vAlign w:val="bottom"/>
          </w:tcPr>
          <w:p>
            <w:pPr>
              <w:spacing w:after="0"/>
              <w:rPr>
                <w:sz w:val="1"/>
                <w:szCs w:val="1"/>
                <w:color w:val="auto"/>
              </w:rPr>
            </w:pP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1,586</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15,011</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38,284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12,243</w:t>
            </w:r>
          </w:p>
        </w:tc>
        <w:tc>
          <w:tcPr>
            <w:tcW w:w="0" w:type="dxa"/>
            <w:vAlign w:val="bottom"/>
          </w:tcPr>
          <w:p>
            <w:pPr>
              <w:spacing w:after="0"/>
              <w:rPr>
                <w:sz w:val="1"/>
                <w:szCs w:val="1"/>
                <w:color w:val="auto"/>
              </w:rPr>
            </w:pP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END OF PERIOD</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39,870</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27,254</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ind w:left="340" w:right="2160"/>
        <w:spacing w:after="0" w:line="268" w:lineRule="auto"/>
        <w:rPr>
          <w:sz w:val="20"/>
          <w:szCs w:val="20"/>
          <w:color w:val="auto"/>
        </w:rPr>
      </w:pPr>
      <w:r>
        <w:rPr>
          <w:rFonts w:ascii="Arial" w:cs="Arial" w:eastAsia="Arial" w:hAnsi="Arial"/>
          <w:sz w:val="18"/>
          <w:szCs w:val="18"/>
          <w:b w:val="1"/>
          <w:bCs w:val="1"/>
          <w:color w:val="auto"/>
        </w:rPr>
        <w:t xml:space="preserve">JACK HENRY &amp; ASSOCIATES, INC. AND SUBSIDIARIES NOTES TO CONDENSED CONSOLIDATED FINANCIAL STATEMENTS (Unaudited) </w:t>
      </w:r>
      <w:r>
        <w:rPr>
          <w:rFonts w:ascii="Arial" w:cs="Arial" w:eastAsia="Arial" w:hAnsi="Arial"/>
          <w:sz w:val="18"/>
          <w:szCs w:val="18"/>
          <w:color w:val="auto"/>
        </w:rPr>
        <w:t>(In Thousands, Except Per Share Amounts)</w:t>
      </w:r>
    </w:p>
    <w:p>
      <w:pPr>
        <w:spacing w:after="0" w:line="198" w:lineRule="exact"/>
        <w:rPr>
          <w:sz w:val="20"/>
          <w:szCs w:val="20"/>
          <w:color w:val="auto"/>
        </w:rPr>
      </w:pPr>
    </w:p>
    <w:p>
      <w:pPr>
        <w:ind w:right="3060"/>
        <w:spacing w:after="0" w:line="352" w:lineRule="auto"/>
        <w:rPr>
          <w:sz w:val="20"/>
          <w:szCs w:val="20"/>
          <w:color w:val="auto"/>
        </w:rPr>
      </w:pPr>
      <w:r>
        <w:rPr>
          <w:rFonts w:ascii="Arial" w:cs="Arial" w:eastAsia="Arial" w:hAnsi="Arial"/>
          <w:sz w:val="18"/>
          <w:szCs w:val="18"/>
          <w:color w:val="auto"/>
        </w:rPr>
        <w:t xml:space="preserve">NOTE 1. NATURE OF OPERATIONS AND SUMMARY OF SIGNIFICANT ACCOUNTING POLICIES </w:t>
      </w:r>
      <w:r>
        <w:rPr>
          <w:rFonts w:ascii="Arial" w:cs="Arial" w:eastAsia="Arial" w:hAnsi="Arial"/>
          <w:sz w:val="18"/>
          <w:szCs w:val="18"/>
          <w:b w:val="1"/>
          <w:bCs w:val="1"/>
          <w:color w:val="auto"/>
        </w:rPr>
        <w:t>Description of the Company</w:t>
      </w:r>
    </w:p>
    <w:p>
      <w:pPr>
        <w:jc w:val="both"/>
        <w:spacing w:after="0" w:line="262" w:lineRule="auto"/>
        <w:rPr>
          <w:sz w:val="20"/>
          <w:szCs w:val="20"/>
          <w:color w:val="auto"/>
        </w:rPr>
      </w:pPr>
      <w:r>
        <w:rPr>
          <w:rFonts w:ascii="Arial" w:cs="Arial" w:eastAsia="Arial" w:hAnsi="Arial"/>
          <w:sz w:val="18"/>
          <w:szCs w:val="18"/>
          <w:color w:val="auto"/>
        </w:rPr>
        <w:t>Jack Henry &amp; Associates, Inc. and subsidiaries (“Jack Henry,” or the “Company”) is a well-rounded financial technology company. Jack Henry was founded in 1976 as a provider of core information processing solutions for banks. Today, the Company’s extensive array of products and services includes processing transactions, automating business processes, and managing information for approximately 7,500 financial institutions and diverse corporate entities.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10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condensed consolidated financial statements include the accounts of Jack Henry and all of its subsidiaries, which are wholly owned, and all intercompany accounts and transactions have been eliminated.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for the three and nine months ended March 31, 2025 and 2024, equals the Company’s net income.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monitors trade and other receivable balances and contract assets and estimates the allowance for lifetime expected credit losses. Estimates of expected credit losses are based on historical collection experience and other factors, including those related to current market conditions and events.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allowance for credit losses activity for the three and nine months ended March 31,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60" w:type="dxa"/>
            <w:vAlign w:val="bottom"/>
          </w:tcPr>
          <w:p>
            <w:pPr>
              <w:spacing w:after="0"/>
              <w:rPr>
                <w:sz w:val="20"/>
                <w:szCs w:val="20"/>
                <w:color w:val="auto"/>
              </w:rPr>
            </w:pPr>
          </w:p>
        </w:tc>
        <w:tc>
          <w:tcPr>
            <w:tcW w:w="3340" w:type="dxa"/>
            <w:vAlign w:val="bottom"/>
            <w:gridSpan w:val="9"/>
          </w:tcPr>
          <w:p>
            <w:pPr>
              <w:ind w:left="360"/>
              <w:spacing w:after="0"/>
              <w:rPr>
                <w:sz w:val="20"/>
                <w:szCs w:val="20"/>
                <w:color w:val="auto"/>
              </w:rPr>
            </w:pPr>
            <w:r>
              <w:rPr>
                <w:rFonts w:ascii="Arial" w:cs="Arial" w:eastAsia="Arial" w:hAnsi="Arial"/>
                <w:sz w:val="18"/>
                <w:szCs w:val="18"/>
                <w:color w:val="auto"/>
              </w:rPr>
              <w:t>Three Months Ended March 31,</w:t>
            </w:r>
          </w:p>
        </w:tc>
        <w:tc>
          <w:tcPr>
            <w:tcW w:w="260" w:type="dxa"/>
            <w:vAlign w:val="bottom"/>
          </w:tcPr>
          <w:p>
            <w:pPr>
              <w:spacing w:after="0"/>
              <w:rPr>
                <w:sz w:val="20"/>
                <w:szCs w:val="20"/>
                <w:color w:val="auto"/>
              </w:rPr>
            </w:pPr>
          </w:p>
        </w:tc>
        <w:tc>
          <w:tcPr>
            <w:tcW w:w="2980" w:type="dxa"/>
            <w:vAlign w:val="bottom"/>
            <w:gridSpan w:val="8"/>
          </w:tcPr>
          <w:p>
            <w:pPr>
              <w:jc w:val="right"/>
              <w:ind w:right="400"/>
              <w:spacing w:after="0"/>
              <w:rPr>
                <w:sz w:val="20"/>
                <w:szCs w:val="20"/>
                <w:color w:val="auto"/>
              </w:rPr>
            </w:pPr>
            <w:r>
              <w:rPr>
                <w:rFonts w:ascii="Arial" w:cs="Arial" w:eastAsia="Arial" w:hAnsi="Arial"/>
                <w:sz w:val="18"/>
                <w:szCs w:val="18"/>
                <w:color w:val="auto"/>
              </w:rPr>
              <w:t>Nine Months Ended March 31,</w:t>
            </w:r>
          </w:p>
        </w:tc>
      </w:tr>
      <w:tr>
        <w:trPr>
          <w:trHeight w:val="183"/>
        </w:trPr>
        <w:tc>
          <w:tcPr>
            <w:tcW w:w="4660" w:type="dxa"/>
            <w:vAlign w:val="bottom"/>
          </w:tcPr>
          <w:p>
            <w:pPr>
              <w:spacing w:after="0"/>
              <w:rPr>
                <w:sz w:val="15"/>
                <w:szCs w:val="15"/>
                <w:color w:val="auto"/>
              </w:rPr>
            </w:pPr>
          </w:p>
        </w:tc>
        <w:tc>
          <w:tcPr>
            <w:tcW w:w="1020" w:type="dxa"/>
            <w:vAlign w:val="bottom"/>
            <w:tcBorders>
              <w:top w:val="single" w:sz="8" w:color="auto"/>
            </w:tcBorders>
            <w:gridSpan w:val="3"/>
          </w:tcPr>
          <w:p>
            <w:pPr>
              <w:jc w:val="right"/>
              <w:ind w:right="40"/>
              <w:spacing w:after="0" w:line="182" w:lineRule="exact"/>
              <w:rPr>
                <w:sz w:val="20"/>
                <w:szCs w:val="20"/>
                <w:color w:val="auto"/>
              </w:rPr>
            </w:pPr>
            <w:r>
              <w:rPr>
                <w:rFonts w:ascii="Arial" w:cs="Arial" w:eastAsia="Arial" w:hAnsi="Arial"/>
                <w:sz w:val="18"/>
                <w:szCs w:val="18"/>
                <w:b w:val="1"/>
                <w:bCs w:val="1"/>
                <w:color w:val="auto"/>
              </w:rPr>
              <w:t>2025</w:t>
            </w:r>
          </w:p>
        </w:tc>
        <w:tc>
          <w:tcPr>
            <w:tcW w:w="5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2"/>
          </w:tcPr>
          <w:p>
            <w:pPr>
              <w:jc w:val="right"/>
              <w:ind w:right="580"/>
              <w:spacing w:after="0" w:line="182" w:lineRule="exact"/>
              <w:rPr>
                <w:sz w:val="20"/>
                <w:szCs w:val="20"/>
                <w:color w:val="auto"/>
              </w:rPr>
            </w:pPr>
            <w:r>
              <w:rPr>
                <w:rFonts w:ascii="Arial" w:cs="Arial" w:eastAsia="Arial" w:hAnsi="Arial"/>
                <w:sz w:val="18"/>
                <w:szCs w:val="18"/>
                <w:color w:val="auto"/>
                <w:w w:val="94"/>
              </w:rPr>
              <w:t>2024</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3"/>
          </w:tcPr>
          <w:p>
            <w:pPr>
              <w:jc w:val="right"/>
              <w:ind w:right="600"/>
              <w:spacing w:after="0" w:line="182" w:lineRule="exact"/>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3"/>
          </w:tcPr>
          <w:p>
            <w:pPr>
              <w:jc w:val="right"/>
              <w:ind w:right="580"/>
              <w:spacing w:after="0" w:line="182" w:lineRule="exact"/>
              <w:rPr>
                <w:sz w:val="20"/>
                <w:szCs w:val="20"/>
                <w:color w:val="auto"/>
              </w:rPr>
            </w:pPr>
            <w:r>
              <w:rPr>
                <w:rFonts w:ascii="Arial" w:cs="Arial" w:eastAsia="Arial" w:hAnsi="Arial"/>
                <w:sz w:val="18"/>
                <w:szCs w:val="18"/>
                <w:color w:val="auto"/>
              </w:rPr>
              <w:t>2024</w:t>
            </w:r>
          </w:p>
        </w:tc>
      </w:tr>
      <w:tr>
        <w:trPr>
          <w:trHeight w:val="20"/>
        </w:trPr>
        <w:tc>
          <w:tcPr>
            <w:tcW w:w="4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credit losses - beginning balance</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6,872</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7,477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7,955</w:t>
            </w:r>
          </w:p>
        </w:tc>
      </w:tr>
      <w:tr>
        <w:trPr>
          <w:trHeight w:val="229"/>
        </w:trPr>
        <w:tc>
          <w:tcPr>
            <w:tcW w:w="4660" w:type="dxa"/>
            <w:vAlign w:val="bottom"/>
          </w:tcPr>
          <w:p>
            <w:pPr>
              <w:ind w:left="240"/>
              <w:spacing w:after="0"/>
              <w:rPr>
                <w:sz w:val="20"/>
                <w:szCs w:val="20"/>
                <w:color w:val="auto"/>
              </w:rPr>
            </w:pPr>
            <w:r>
              <w:rPr>
                <w:rFonts w:ascii="Arial" w:cs="Arial" w:eastAsia="Arial" w:hAnsi="Arial"/>
                <w:sz w:val="18"/>
                <w:szCs w:val="18"/>
                <w:color w:val="auto"/>
              </w:rPr>
              <w:t>Current provision for expected credit losses</w:t>
            </w: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680</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1,640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1,440</w:t>
            </w:r>
          </w:p>
        </w:tc>
      </w:tr>
      <w:tr>
        <w:trPr>
          <w:trHeight w:val="230"/>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Write-offs charged against allowance</w:t>
            </w:r>
          </w:p>
        </w:tc>
        <w:tc>
          <w:tcPr>
            <w:tcW w:w="5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(1,425)</w:t>
            </w:r>
          </w:p>
        </w:tc>
      </w:tr>
      <w:tr>
        <w:trPr>
          <w:trHeight w:val="230"/>
        </w:trPr>
        <w:tc>
          <w:tcPr>
            <w:tcW w:w="4660" w:type="dxa"/>
            <w:vAlign w:val="bottom"/>
          </w:tcPr>
          <w:p>
            <w:pPr>
              <w:ind w:left="240"/>
              <w:spacing w:after="0"/>
              <w:rPr>
                <w:sz w:val="20"/>
                <w:szCs w:val="20"/>
                <w:color w:val="auto"/>
              </w:rPr>
            </w:pPr>
            <w:r>
              <w:rPr>
                <w:rFonts w:ascii="Arial" w:cs="Arial" w:eastAsia="Arial" w:hAnsi="Arial"/>
                <w:sz w:val="18"/>
                <w:szCs w:val="18"/>
                <w:color w:val="auto"/>
              </w:rPr>
              <w:t>Other</w:t>
            </w: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(280)</w:t>
            </w:r>
          </w:p>
        </w:tc>
      </w:tr>
      <w:tr>
        <w:trPr>
          <w:trHeight w:val="248"/>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Allowance for credit losses - ending balance</w:t>
            </w:r>
          </w:p>
        </w:tc>
        <w:tc>
          <w:tcPr>
            <w:tcW w:w="58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6,560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7,690</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Property and equipment is recorded at cost and depreciated using the straight-line method over the estimated useful lives of the assets. Accumulated depreciation at March 31, 2025, totaled $505,652 and at June 30, 2024, totaled $486,168.</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Intangible assets consist of goodwill, customer relationships, computer software, and trade names acquired in business acquisitions in addition to internally developed computer software. The amounts are amortized, with the exception of those intangible assets with an indefinite life (such as goodwill), over an estimated economic benefit period, generally 3 to 20 years. Accumulated amortization of intangible assets totaled $1,393,673 and $1,279,499 at March 31, 2025, and June 30, 2024, respectively.</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Investment</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2025, and June 30, 2024, the Company had $25,750 in non-current investments. These investments were recorded at cost and are included within other non-current assets on the Company's balance sheets. There have been no events or changes in circumstances that would indicate an impairment and no price changes resulting from observing a similar or identical investment. An impairment and/or an observable price change would be an adjustment to recorded cost. Fair value will not be estimated unless there are identified events or changes in circumstances that may have a significant adverse effect on the fair value of the investment.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Board of Directors has authorized the Company to repurchase shares of its common stock. Under this authorization, the Company may finance its share repurchases with available cash reserves or borrowings on its existing line of credit. The share repurchase program does not include specific price targets or timetables and may be suspended at any time. At March 31, 2025, there were 31,580 shares in treasury stock and the Company had the remaining authority to repurchase up to 3,411 additional shares. The total cost of treasury shares at March 31, 2025, was $ 1,895,225. During the first nine months of fiscal 2025, the Company repurchased 207 shares. At June 30, 2024, there were 31,373 shares in treasury stock and the Company had the remaining authority to repurchase up to 3,618 additional shares. The total cost of treasury shares at June 30, 2024, was $1,860,173 and the Company repurchased 129 shares during the first nine months of fiscal 2024.</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Deferred tax liabilities and assets are recognized for the tax effects of differences between the financial statement and tax basis of assets and liabilities. A valuation allowance would be established to reduce deferred tax assets if it is more likely than not that a deferred tax asset will not be realized.</w:t>
      </w:r>
    </w:p>
    <w:p>
      <w:pPr>
        <w:spacing w:after="0" w:line="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the tax benefit from an uncertain tax position only if it is more likely than not that the tax position will be sustained on examination by the taxing authorities, based upon the technical merits of the position. The tax benefit recognized in the financial statements from such a position is measured based on the largest benefit that has a greater than 50% likelihood of being realized upon ultimate settlement. Also, interest and penalties expenses are recognized on the full amount of unrecognized benefits for uncertain tax positions. The Company's policy is to include interest and penalties related to unrecognized tax benefits in income tax expense.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Financial Statements</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the instructions to Form 10-Q of the Securities and Exchange Commission (“SEC”) and in accordance with accounting principles generally accepted in the United States of America (“U.S. GAAP”) applicable to interim condensed consolidated financial statements, and do not include all of the information and footnotes required by accounting principles generally accepted in the United States of America for complete consolidated financial statements. The condensed consolidated financial statements should be read in conjunction with the Company’s audited consolidated financial statements and accompanying notes, which are included in its Annual Report on Form 10-K (“Form 10-K”) for the fiscal year ended June 30, 2024.</w:t>
      </w:r>
    </w:p>
    <w:p>
      <w:pPr>
        <w:spacing w:after="0" w:line="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the management of the Company, the accompanying unaudited condensed consolidated financial statements reflect all adjustments necessary (consisting of normal recurring adjustments) to state fairly in all material respects the financial position of the Company as of March 31, 2025, the results of its operations for the three and nine months ended March 31, 2025 and 2024, changes in stockholders' equity for the three and nine months ended March 31, 2025 and 2024, and its cash flows for the nine months ended March 31, 2025 and 2024. The condensed consolidated balance sheet at June 30, 2024, was derived from audited annual financial statements, but does not contain all of the footnote disclosures from the annual financial statements.</w:t>
      </w:r>
    </w:p>
    <w:p>
      <w:pPr>
        <w:spacing w:after="0" w:line="6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results of operations for the three and nine months ended March 31, 2025, are not necessarily indicative of the results to be expected for the entire fiscal year.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accounting policies followed by the Company are set forth in Note 1 to the Company's consolidated financial statements included in its Form 10-K for the fiscal year ended June 30, 2024. For the three and nine months ended March 31, 2025, there have been no new or material changes to the significant accounting policies discussed in the Company’s Form 10-K for the fiscal year ended June 30, 2024, that are of significance, or potential significance, to the Company.</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NOTE 2.</w:t>
      </w:r>
      <w:r>
        <w:rPr>
          <w:sz w:val="20"/>
          <w:szCs w:val="20"/>
          <w:color w:val="auto"/>
        </w:rPr>
        <w:tab/>
      </w:r>
      <w:r>
        <w:rPr>
          <w:rFonts w:ascii="Arial" w:cs="Arial" w:eastAsia="Arial" w:hAnsi="Arial"/>
          <w:sz w:val="17"/>
          <w:szCs w:val="17"/>
          <w:color w:val="auto"/>
        </w:rPr>
        <w:t>RECENT ACCOUNTING PRONOUNCEMENTS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 Yet Adopted</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2023, the FASB issued ASU No. 2023-07, Segment Reporting (Topic 280): Improvements to Reportable Segment Disclosures, which improves the disclosures about a public entity's reportable segments through enhanced disclosures about significant segment expenses that are regularly provided to the chief operating decision maker. The ASU is effective for fiscal years beginning after December 15, 2023, and interim periods within fiscal years beginning after December 15, 2024, and should be applied retrospectively to all prior periods presented in the financial statements. The Company will adopt this ASU for fiscal year ending June 30, 2025.</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2023, the FASB issued ASU No. 2023-09, Income Taxes (Topic 740): Improvements to Income Tax Disclosures, which enhances the transparency and decision usefulness of income tax disclosures. The ASU requires additional disclosure related to rate reconciliation, income taxes paid, and other disclosures to improve the effectiveness of income tax disclosures. The ASU is effective for annual periods beginning after December 15, 2024, and applied on a prospective basis. Early adoption and retrospective application is permitted. The Company is currently evaluating the impact of this ASU on its consolidated financial statements and related disclosures.</w:t>
      </w:r>
    </w:p>
    <w:p>
      <w:pPr>
        <w:spacing w:after="0" w:line="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November 2024, the FASB issued ASU No. 2024-03, Income Statement—Reporting Comprehensive Income—Expense Disaggregation Disclosures (Subtopic 220-40): Disaggregation of Income Statement Expenses, which requires more detailed disclosures of certain categories of expenses such as employee compensation, depreciation, and intangible asset amortization that are components of existing expense captions presented on the face of the consolidated statements of income. The ASU is effective for annual reporting periods beginning after December 15, 2026, and interim reporting periods within annual reporting periods beginning after December 15, 2027. Early adoption is permitted. The Company is currently evaluating the impact of this ASU on its consolidated financial statements and related disclosures.</w:t>
      </w:r>
    </w:p>
    <w:p>
      <w:pPr>
        <w:spacing w:after="0" w:line="12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3.</w:t>
        <w:tab/>
        <w:t>REVENUE AND DEFERRED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 generates revenue from data processing and hosting, transaction processing, software licensing and related services, professional services, and hardware sales.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0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tables below present the Company's revenue disaggregated by type of revenue. Refer to Note 10, Reportable Segment Information, for disaggregated revenue by type and reportable segment. The majority of the Company’s revenue is earned domestically, with revenue from</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r>
              <w:rPr>
                <w:rFonts w:ascii="Arial" w:cs="Arial" w:eastAsia="Arial" w:hAnsi="Arial"/>
                <w:sz w:val="18"/>
                <w:szCs w:val="18"/>
                <w:color w:val="auto"/>
              </w:rPr>
              <w:t>clients</w:t>
            </w:r>
          </w:p>
        </w:tc>
        <w:tc>
          <w:tcPr>
            <w:tcW w:w="1000" w:type="dxa"/>
            <w:vAlign w:val="bottom"/>
          </w:tcPr>
          <w:p>
            <w:pPr>
              <w:ind w:left="80"/>
              <w:spacing w:after="0"/>
              <w:rPr>
                <w:sz w:val="20"/>
                <w:szCs w:val="20"/>
                <w:color w:val="auto"/>
              </w:rPr>
            </w:pPr>
            <w:r>
              <w:rPr>
                <w:rFonts w:ascii="Arial" w:cs="Arial" w:eastAsia="Arial" w:hAnsi="Arial"/>
                <w:sz w:val="18"/>
                <w:szCs w:val="18"/>
                <w:color w:val="auto"/>
              </w:rPr>
              <w:t>outside</w:t>
            </w:r>
          </w:p>
        </w:tc>
        <w:tc>
          <w:tcPr>
            <w:tcW w:w="700" w:type="dxa"/>
            <w:vAlign w:val="bottom"/>
          </w:tcPr>
          <w:p>
            <w:pPr>
              <w:ind w:left="180"/>
              <w:spacing w:after="0"/>
              <w:rPr>
                <w:sz w:val="20"/>
                <w:szCs w:val="20"/>
                <w:color w:val="auto"/>
              </w:rPr>
            </w:pPr>
            <w:r>
              <w:rPr>
                <w:rFonts w:ascii="Arial" w:cs="Arial" w:eastAsia="Arial" w:hAnsi="Arial"/>
                <w:sz w:val="18"/>
                <w:szCs w:val="18"/>
                <w:color w:val="auto"/>
              </w:rPr>
              <w:t>the</w:t>
            </w:r>
          </w:p>
        </w:tc>
        <w:tc>
          <w:tcPr>
            <w:tcW w:w="880" w:type="dxa"/>
            <w:vAlign w:val="bottom"/>
          </w:tcPr>
          <w:p>
            <w:pPr>
              <w:ind w:left="260"/>
              <w:spacing w:after="0"/>
              <w:rPr>
                <w:sz w:val="20"/>
                <w:szCs w:val="20"/>
                <w:color w:val="auto"/>
              </w:rPr>
            </w:pPr>
            <w:r>
              <w:rPr>
                <w:rFonts w:ascii="Arial" w:cs="Arial" w:eastAsia="Arial" w:hAnsi="Arial"/>
                <w:sz w:val="18"/>
                <w:szCs w:val="18"/>
                <w:color w:val="auto"/>
              </w:rPr>
              <w:t>United</w:t>
            </w:r>
          </w:p>
        </w:tc>
        <w:tc>
          <w:tcPr>
            <w:tcW w:w="1180" w:type="dxa"/>
            <w:vAlign w:val="bottom"/>
            <w:gridSpan w:val="3"/>
          </w:tcPr>
          <w:p>
            <w:pPr>
              <w:ind w:left="440"/>
              <w:spacing w:after="0"/>
              <w:rPr>
                <w:sz w:val="20"/>
                <w:szCs w:val="20"/>
                <w:color w:val="auto"/>
              </w:rPr>
            </w:pPr>
            <w:r>
              <w:rPr>
                <w:rFonts w:ascii="Arial" w:cs="Arial" w:eastAsia="Arial" w:hAnsi="Arial"/>
                <w:sz w:val="18"/>
                <w:szCs w:val="18"/>
                <w:color w:val="auto"/>
              </w:rPr>
              <w:t>States</w:t>
            </w:r>
          </w:p>
        </w:tc>
        <w:tc>
          <w:tcPr>
            <w:tcW w:w="1340" w:type="dxa"/>
            <w:vAlign w:val="bottom"/>
            <w:gridSpan w:val="3"/>
          </w:tcPr>
          <w:p>
            <w:pPr>
              <w:ind w:left="300"/>
              <w:spacing w:after="0"/>
              <w:rPr>
                <w:sz w:val="20"/>
                <w:szCs w:val="20"/>
                <w:color w:val="auto"/>
              </w:rPr>
            </w:pPr>
            <w:r>
              <w:rPr>
                <w:rFonts w:ascii="Arial" w:cs="Arial" w:eastAsia="Arial" w:hAnsi="Arial"/>
                <w:sz w:val="18"/>
                <w:szCs w:val="18"/>
                <w:color w:val="auto"/>
              </w:rPr>
              <w:t>comprising</w:t>
            </w:r>
          </w:p>
        </w:tc>
        <w:tc>
          <w:tcPr>
            <w:tcW w:w="160" w:type="dxa"/>
            <w:vAlign w:val="bottom"/>
          </w:tcPr>
          <w:p>
            <w:pPr>
              <w:spacing w:after="0"/>
              <w:rPr>
                <w:sz w:val="20"/>
                <w:szCs w:val="20"/>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less</w:t>
            </w:r>
          </w:p>
        </w:tc>
        <w:tc>
          <w:tcPr>
            <w:tcW w:w="600" w:type="dxa"/>
            <w:vAlign w:val="bottom"/>
            <w:gridSpan w:val="3"/>
          </w:tcPr>
          <w:p>
            <w:pPr>
              <w:jc w:val="center"/>
              <w:ind w:right="119"/>
              <w:spacing w:after="0"/>
              <w:rPr>
                <w:sz w:val="20"/>
                <w:szCs w:val="20"/>
                <w:color w:val="auto"/>
              </w:rPr>
            </w:pPr>
            <w:r>
              <w:rPr>
                <w:rFonts w:ascii="Arial" w:cs="Arial" w:eastAsia="Arial" w:hAnsi="Arial"/>
                <w:sz w:val="18"/>
                <w:szCs w:val="18"/>
                <w:color w:val="auto"/>
              </w:rPr>
              <w:t>than</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of</w:t>
            </w:r>
          </w:p>
        </w:tc>
        <w:tc>
          <w:tcPr>
            <w:tcW w:w="180" w:type="dxa"/>
            <w:vAlign w:val="bottom"/>
          </w:tcPr>
          <w:p>
            <w:pPr>
              <w:spacing w:after="0"/>
              <w:rPr>
                <w:sz w:val="20"/>
                <w:szCs w:val="20"/>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9"/>
              </w:rPr>
              <w:t>revenue.</w:t>
            </w:r>
          </w:p>
        </w:tc>
      </w:tr>
      <w:tr>
        <w:trPr>
          <w:trHeight w:val="235"/>
        </w:trPr>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720" w:type="dxa"/>
            <w:vAlign w:val="bottom"/>
            <w:tcBorders>
              <w:bottom w:val="single" w:sz="8" w:color="auto"/>
            </w:tcBorders>
            <w:gridSpan w:val="9"/>
          </w:tcPr>
          <w:p>
            <w:pPr>
              <w:jc w:val="right"/>
              <w:ind w:right="580"/>
              <w:spacing w:after="0"/>
              <w:rPr>
                <w:sz w:val="20"/>
                <w:szCs w:val="20"/>
                <w:color w:val="auto"/>
              </w:rPr>
            </w:pPr>
            <w:r>
              <w:rPr>
                <w:rFonts w:ascii="Arial" w:cs="Arial" w:eastAsia="Arial" w:hAnsi="Arial"/>
                <w:sz w:val="18"/>
                <w:szCs w:val="18"/>
                <w:color w:val="auto"/>
              </w:rPr>
              <w:t>Three Months Ended March 31,</w:t>
            </w:r>
          </w:p>
        </w:tc>
        <w:tc>
          <w:tcPr>
            <w:tcW w:w="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10"/>
          </w:tcPr>
          <w:p>
            <w:pPr>
              <w:jc w:val="right"/>
              <w:ind w:right="590"/>
              <w:spacing w:after="0"/>
              <w:rPr>
                <w:sz w:val="20"/>
                <w:szCs w:val="20"/>
                <w:color w:val="auto"/>
              </w:rPr>
            </w:pPr>
            <w:r>
              <w:rPr>
                <w:rFonts w:ascii="Arial" w:cs="Arial" w:eastAsia="Arial" w:hAnsi="Arial"/>
                <w:sz w:val="18"/>
                <w:szCs w:val="18"/>
                <w:color w:val="auto"/>
              </w:rPr>
              <w:t>Nine Months Ended March 31,</w:t>
            </w:r>
          </w:p>
        </w:tc>
      </w:tr>
      <w:tr>
        <w:trPr>
          <w:trHeight w:val="182"/>
        </w:trPr>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80" w:type="dxa"/>
            <w:vAlign w:val="bottom"/>
            <w:gridSpan w:val="3"/>
          </w:tcPr>
          <w:p>
            <w:pPr>
              <w:jc w:val="right"/>
              <w:ind w:right="40"/>
              <w:spacing w:after="0" w:line="182" w:lineRule="exact"/>
              <w:rPr>
                <w:sz w:val="20"/>
                <w:szCs w:val="20"/>
                <w:color w:val="auto"/>
              </w:rPr>
            </w:pPr>
            <w:r>
              <w:rPr>
                <w:rFonts w:ascii="Arial" w:cs="Arial" w:eastAsia="Arial" w:hAnsi="Arial"/>
                <w:sz w:val="18"/>
                <w:szCs w:val="18"/>
                <w:b w:val="1"/>
                <w:bCs w:val="1"/>
                <w:color w:val="auto"/>
              </w:rPr>
              <w:t>2025</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gridSpan w:val="3"/>
          </w:tcPr>
          <w:p>
            <w:pPr>
              <w:jc w:val="right"/>
              <w:ind w:right="640"/>
              <w:spacing w:after="0" w:line="182" w:lineRule="exact"/>
              <w:rPr>
                <w:sz w:val="20"/>
                <w:szCs w:val="20"/>
                <w:color w:val="auto"/>
              </w:rPr>
            </w:pPr>
            <w:r>
              <w:rPr>
                <w:rFonts w:ascii="Arial" w:cs="Arial" w:eastAsia="Arial" w:hAnsi="Arial"/>
                <w:sz w:val="18"/>
                <w:szCs w:val="18"/>
                <w:color w:val="auto"/>
              </w:rPr>
              <w:t>2024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0" w:type="dxa"/>
            <w:vAlign w:val="bottom"/>
            <w:gridSpan w:val="4"/>
          </w:tcPr>
          <w:p>
            <w:pPr>
              <w:jc w:val="right"/>
              <w:ind w:right="630"/>
              <w:spacing w:after="0" w:line="182" w:lineRule="exact"/>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gridSpan w:val="3"/>
          </w:tcPr>
          <w:p>
            <w:pPr>
              <w:jc w:val="right"/>
              <w:ind w:right="630"/>
              <w:spacing w:after="0" w:line="182" w:lineRule="exact"/>
              <w:rPr>
                <w:sz w:val="20"/>
                <w:szCs w:val="20"/>
                <w:color w:val="auto"/>
              </w:rPr>
            </w:pPr>
            <w:r>
              <w:rPr>
                <w:rFonts w:ascii="Arial" w:cs="Arial" w:eastAsia="Arial" w:hAnsi="Arial"/>
                <w:sz w:val="18"/>
                <w:szCs w:val="18"/>
                <w:color w:val="auto"/>
              </w:rPr>
              <w:t>2024</w:t>
            </w:r>
          </w:p>
        </w:tc>
      </w:tr>
      <w:tr>
        <w:trPr>
          <w:trHeight w:val="21"/>
        </w:trPr>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6"/>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Private and Public Cloud</w:t>
            </w: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4"/>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193,244</w:t>
            </w:r>
          </w:p>
        </w:tc>
        <w:tc>
          <w:tcPr>
            <w:tcW w:w="640" w:type="dxa"/>
            <w:vAlign w:val="bottom"/>
            <w:gridSpan w:val="2"/>
            <w:shd w:val="clear" w:color="auto" w:fill="CCEEFF"/>
          </w:tcPr>
          <w:p>
            <w:pPr>
              <w:jc w:val="center"/>
              <w:ind w:right="219"/>
              <w:spacing w:after="0"/>
              <w:rPr>
                <w:sz w:val="20"/>
                <w:szCs w:val="20"/>
                <w:color w:val="auto"/>
              </w:rPr>
            </w:pPr>
            <w:r>
              <w:rPr>
                <w:rFonts w:ascii="Arial" w:cs="Arial" w:eastAsia="Arial" w:hAnsi="Arial"/>
                <w:sz w:val="16"/>
                <w:szCs w:val="16"/>
                <w:color w:val="auto"/>
              </w:rPr>
              <w:t>$</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174,122</w:t>
            </w:r>
          </w:p>
        </w:tc>
        <w:tc>
          <w:tcPr>
            <w:tcW w:w="600" w:type="dxa"/>
            <w:vAlign w:val="bottom"/>
            <w:gridSpan w:val="3"/>
            <w:shd w:val="clear" w:color="auto" w:fill="CCEEFF"/>
          </w:tcPr>
          <w:p>
            <w:pPr>
              <w:jc w:val="center"/>
              <w:ind w:right="79"/>
              <w:spacing w:after="0"/>
              <w:rPr>
                <w:sz w:val="20"/>
                <w:szCs w:val="20"/>
                <w:color w:val="auto"/>
              </w:rPr>
            </w:pPr>
            <w:r>
              <w:rPr>
                <w:rFonts w:ascii="Arial" w:cs="Arial" w:eastAsia="Arial" w:hAnsi="Arial"/>
                <w:sz w:val="16"/>
                <w:szCs w:val="16"/>
                <w:color w:val="auto"/>
                <w:w w:val="89"/>
              </w:rPr>
              <w: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562,643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506,344</w:t>
            </w:r>
          </w:p>
        </w:tc>
      </w:tr>
      <w:tr>
        <w:trPr>
          <w:trHeight w:val="215"/>
        </w:trPr>
        <w:tc>
          <w:tcPr>
            <w:tcW w:w="2680" w:type="dxa"/>
            <w:vAlign w:val="bottom"/>
            <w:gridSpan w:val="3"/>
          </w:tcPr>
          <w:p>
            <w:pPr>
              <w:ind w:left="20"/>
              <w:spacing w:after="0"/>
              <w:rPr>
                <w:sz w:val="20"/>
                <w:szCs w:val="20"/>
                <w:color w:val="auto"/>
              </w:rPr>
            </w:pPr>
            <w:r>
              <w:rPr>
                <w:rFonts w:ascii="Arial" w:cs="Arial" w:eastAsia="Arial" w:hAnsi="Arial"/>
                <w:sz w:val="16"/>
                <w:szCs w:val="16"/>
                <w:color w:val="auto"/>
              </w:rPr>
              <w:t>Product Delivery and Services</w:t>
            </w: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58,287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6"/>
                <w:szCs w:val="16"/>
                <w:color w:val="auto"/>
              </w:rPr>
              <w:t>51,638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172,228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6"/>
                <w:szCs w:val="16"/>
                <w:color w:val="auto"/>
              </w:rPr>
              <w:t>175,490</w:t>
            </w:r>
          </w:p>
        </w:tc>
      </w:tr>
      <w:tr>
        <w:trPr>
          <w:trHeight w:val="217"/>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On-Premise Support</w:t>
            </w: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79,261</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79,257</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275,627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277,380</w:t>
            </w:r>
          </w:p>
        </w:tc>
      </w:tr>
      <w:tr>
        <w:trPr>
          <w:trHeight w:val="210"/>
        </w:trPr>
        <w:tc>
          <w:tcPr>
            <w:tcW w:w="1980" w:type="dxa"/>
            <w:vAlign w:val="bottom"/>
            <w:gridSpan w:val="2"/>
          </w:tcPr>
          <w:p>
            <w:pPr>
              <w:ind w:left="20"/>
              <w:spacing w:after="0"/>
              <w:rPr>
                <w:sz w:val="20"/>
                <w:szCs w:val="20"/>
                <w:color w:val="auto"/>
              </w:rPr>
            </w:pPr>
            <w:r>
              <w:rPr>
                <w:rFonts w:ascii="Arial" w:cs="Arial" w:eastAsia="Arial" w:hAnsi="Arial"/>
                <w:sz w:val="16"/>
                <w:szCs w:val="16"/>
                <w:b w:val="1"/>
                <w:bCs w:val="1"/>
                <w:color w:val="auto"/>
              </w:rPr>
              <w:t>Services and Support</w:t>
            </w: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330,792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6"/>
                <w:szCs w:val="16"/>
                <w:color w:val="auto"/>
              </w:rPr>
              <w:t>305,017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b w:val="1"/>
                <w:bCs w:val="1"/>
                <w:color w:val="auto"/>
              </w:rPr>
              <w:t>1,010,498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6"/>
                <w:szCs w:val="16"/>
                <w:color w:val="auto"/>
              </w:rPr>
              <w:t>959,214</w:t>
            </w:r>
          </w:p>
        </w:tc>
      </w:tr>
      <w:tr>
        <w:trPr>
          <w:trHeight w:val="216"/>
        </w:trPr>
        <w:tc>
          <w:tcPr>
            <w:tcW w:w="9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980" w:type="dxa"/>
            <w:vAlign w:val="bottom"/>
          </w:tcPr>
          <w:p>
            <w:pPr>
              <w:ind w:left="20"/>
              <w:spacing w:after="0"/>
              <w:rPr>
                <w:sz w:val="20"/>
                <w:szCs w:val="20"/>
                <w:color w:val="auto"/>
              </w:rPr>
            </w:pPr>
            <w:r>
              <w:rPr>
                <w:rFonts w:ascii="Arial" w:cs="Arial" w:eastAsia="Arial" w:hAnsi="Arial"/>
                <w:sz w:val="16"/>
                <w:szCs w:val="16"/>
                <w:b w:val="1"/>
                <w:bCs w:val="1"/>
                <w:color w:val="auto"/>
              </w:rPr>
              <w:t>Processing</w:t>
            </w: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254,295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6"/>
                <w:szCs w:val="16"/>
                <w:color w:val="auto"/>
              </w:rPr>
              <w:t>233,545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b w:val="1"/>
                <w:bCs w:val="1"/>
                <w:color w:val="auto"/>
              </w:rPr>
              <w:t>749,418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6"/>
                <w:szCs w:val="16"/>
                <w:color w:val="auto"/>
              </w:rPr>
              <w:t>696,417</w:t>
            </w:r>
          </w:p>
        </w:tc>
      </w:tr>
      <w:tr>
        <w:trPr>
          <w:trHeight w:val="216"/>
        </w:trPr>
        <w:tc>
          <w:tcPr>
            <w:tcW w:w="1980" w:type="dxa"/>
            <w:vAlign w:val="bottom"/>
            <w:gridSpan w:val="2"/>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r>
      <w:tr>
        <w:trPr>
          <w:trHeight w:val="209"/>
        </w:trPr>
        <w:tc>
          <w:tcPr>
            <w:tcW w:w="198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Revenue</w:t>
            </w: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w w:val="89"/>
              </w:rPr>
              <w:t>$</w:t>
            </w:r>
          </w:p>
        </w:tc>
        <w:tc>
          <w:tcPr>
            <w:tcW w:w="4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585,087</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center"/>
              <w:ind w:right="3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538,562</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w w:val="89"/>
              </w:rPr>
              <w:t>$</w:t>
            </w:r>
          </w:p>
        </w:tc>
        <w:tc>
          <w:tcPr>
            <w:tcW w:w="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1,759,916</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1,655,631</w:t>
            </w:r>
          </w:p>
        </w:tc>
      </w:tr>
      <w:tr>
        <w:trPr>
          <w:trHeight w:val="21"/>
        </w:trPr>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844"/>
        </w:trPr>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gridSpan w:val="2"/>
          </w:tcPr>
          <w:p>
            <w:pPr>
              <w:jc w:val="center"/>
              <w:ind w:right="179"/>
              <w:spacing w:after="0"/>
              <w:rPr>
                <w:sz w:val="20"/>
                <w:szCs w:val="20"/>
                <w:color w:val="auto"/>
              </w:rPr>
            </w:pPr>
            <w:r>
              <w:rPr>
                <w:rFonts w:ascii="Times New Roman" w:cs="Times New Roman" w:eastAsia="Times New Roman" w:hAnsi="Times New Roman"/>
                <w:sz w:val="18"/>
                <w:szCs w:val="18"/>
                <w:color w:val="auto"/>
                <w:w w:val="99"/>
              </w:rPr>
              <w:t>10</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15"/>
        </w:trPr>
        <w:tc>
          <w:tcPr>
            <w:tcW w:w="9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80" w:type="dxa"/>
            <w:vAlign w:val="bottom"/>
          </w:tcPr>
          <w:p>
            <w:pPr>
              <w:spacing w:after="0"/>
              <w:rPr>
                <w:sz w:val="20"/>
                <w:szCs w:val="20"/>
                <w:color w:val="auto"/>
              </w:rPr>
            </w:pPr>
            <w:r>
              <w:rPr>
                <w:rFonts w:ascii="Arial" w:cs="Arial" w:eastAsia="Arial" w:hAnsi="Arial"/>
                <w:sz w:val="18"/>
                <w:szCs w:val="18"/>
                <w:b w:val="1"/>
                <w:bCs w:val="1"/>
                <w:i w:val="1"/>
                <w:iCs w:val="1"/>
                <w:color w:val="auto"/>
              </w:rPr>
              <w:t>Contract Balances</w:t>
            </w: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89"/>
        </w:trPr>
        <w:tc>
          <w:tcPr>
            <w:tcW w:w="9540" w:type="dxa"/>
            <w:vAlign w:val="bottom"/>
            <w:gridSpan w:val="4"/>
          </w:tcPr>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from contracts with clients.</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93"/>
        </w:trPr>
        <w:tc>
          <w:tcPr>
            <w:tcW w:w="7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300" w:type="dxa"/>
            <w:vAlign w:val="bottom"/>
          </w:tcPr>
          <w:p>
            <w:pPr>
              <w:spacing w:after="0"/>
              <w:rPr>
                <w:sz w:val="24"/>
                <w:szCs w:val="24"/>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June 30,</w:t>
            </w:r>
          </w:p>
        </w:tc>
      </w:tr>
      <w:tr>
        <w:trPr>
          <w:trHeight w:val="243"/>
        </w:trPr>
        <w:tc>
          <w:tcPr>
            <w:tcW w:w="77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2024</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net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282,162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333,033</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Contract Assets - Current</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32,690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33,610</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 - Non-current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120,927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103,295</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Contract Liabilities (Deferred Revenue) - Current</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144,235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317,730</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 (Deferred Revenue) - Non-current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77,593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71,202</w:t>
            </w:r>
          </w:p>
        </w:tc>
      </w:tr>
    </w:tbl>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Contract assets primarily result from revenue being recognized when or as control of a solution or service is transferred to the client, except where invoicing is contingent upon the completion of other performance obligations or payment terms differ from the provisioning of services. The current portion of contract assets is reported within prepaid expenses and other in the condensed consolidated balance sheets, and the non-current portion is included in other non-current assets. Contract liabilities (deferred revenue) primarily relate to consideration received from clients in advance of delivery of the related goods and services to the client. Contract balances are reported in a net contract asset or liability position on a contract-by-contract basis at the end of each reporting period.</w:t>
      </w:r>
    </w:p>
    <w:p>
      <w:pPr>
        <w:spacing w:after="0" w:line="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analyzes contract language to identify if a significant financing component does exist and would adjust the transaction price for any material effects of the time value of money if the timing of payments provides either party to the contract with a significant benefit of financing the transaction.</w:t>
      </w:r>
    </w:p>
    <w:p>
      <w:pPr>
        <w:spacing w:after="0" w:line="4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three months ended March 31, 2025, and 2024, the Company recognized revenue of $81,810 and $83,083, respectively, that was included in the corresponding deferred revenue balance at the beginning of the periods. For the nine months ended March 31, 2025, and 2024, the Company recognized revenue of $207,657 and $226,419</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respectively, that was included in the corresponding deferred revenue balance at the beginning of the periods.</w:t>
      </w:r>
    </w:p>
    <w:p>
      <w:pPr>
        <w:spacing w:after="0" w:line="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Amounts recognized that relate to performance obligations satisfied (or partially satisfied) in prior periods were immaterial for each period presented. These adjustments are primarily the result of transaction price re-allocations due to changes in estimates of variable consideration.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Remaining Performance Obligations</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March 31, 2025, estimated revenue expected to be recognized in the future related to performance obligations that are unsatisfied (or partially unsatisfied) at the end of the reporting period totaled $7,412,480. The Company expects to recognize approximately 23% over the next 12 months, 19% in 13-24 months, and the balance thereafter.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1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incurs incremental costs to obtain a contract as well as costs to fulfill contracts with clients that are expected to be recovered. These costs consist primarily of sales commissions, which are incurred only if a contract is obtained, and client conversion or implementation-related costs. Capitalized costs are amortized based on the transfer of goods or services to which the asset relates, in line with the percentage of revenue recognized for each performance obligation to which the costs are allocated.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Capitalized costs totaled $525,273 and $503,152, at March 31, 2025, and June 30, 2024, respectively.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2025, and 2024, amortization of deferred contract costs totaled $46,188 and $41,107, respectively.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March 31, 2025, and 2024, amortization of deferred contract costs totaled $144,734 and $133,195, respectively.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impairment losses in relation to capitalized costs for the periods presented.</w:t>
      </w:r>
    </w:p>
    <w:p>
      <w:pPr>
        <w:spacing w:after="0" w:line="32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4.</w:t>
      </w:r>
      <w:r>
        <w:rPr>
          <w:sz w:val="20"/>
          <w:szCs w:val="20"/>
          <w:color w:val="auto"/>
        </w:rPr>
        <w:tab/>
      </w:r>
      <w:r>
        <w:rPr>
          <w:rFonts w:ascii="Arial" w:cs="Arial" w:eastAsia="Arial" w:hAnsi="Arial"/>
          <w:sz w:val="17"/>
          <w:szCs w:val="17"/>
          <w:color w:val="auto"/>
        </w:rPr>
        <w:t>FAIR VALUE OF FINANCIAL INSTRUMENTS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cash equivalents, certificates of deposit, amounts receivable or payable, and short-term borrowings, fair values approximate carrying value, based on the short-term nature of the assets and liabilities.</w:t>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estimates of the fair value for financial assets and financial liabilities are based on the framework established in the fair value accounting guidance. The framework is based on the inputs used in valuation, gives the highest priority to quoted prices in active markets, and requires that observable inputs be used in the valuations when available. The three levels of the hierarchy are as follows: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1: inputs to the valuation are quoted prices in an active market for identical assets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2: inputs to the valuation include quoted prices for similar assets in active markets that are observable either directly or indirectly</w:t>
      </w:r>
    </w:p>
    <w:p>
      <w:pPr>
        <w:spacing w:after="0" w:line="104"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color w:val="auto"/>
        </w:rPr>
        <w:t>Level 3: valuation is based on significant inputs that are unobservable in the market and the Company's own estimates of assumptions that we believe market participants would use in pricing the asset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Fair value of financial assets included in current assets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20" w:type="dxa"/>
            <w:vAlign w:val="bottom"/>
          </w:tcPr>
          <w:p>
            <w:pPr>
              <w:spacing w:after="0"/>
              <w:rPr>
                <w:sz w:val="20"/>
                <w:szCs w:val="20"/>
                <w:color w:val="auto"/>
              </w:rPr>
            </w:pPr>
          </w:p>
        </w:tc>
        <w:tc>
          <w:tcPr>
            <w:tcW w:w="4440" w:type="dxa"/>
            <w:vAlign w:val="bottom"/>
            <w:tcBorders>
              <w:bottom w:val="single" w:sz="8" w:color="auto"/>
            </w:tcBorders>
            <w:gridSpan w:val="7"/>
          </w:tcPr>
          <w:p>
            <w:pPr>
              <w:jc w:val="center"/>
              <w:ind w:left="270"/>
              <w:spacing w:after="0"/>
              <w:rPr>
                <w:sz w:val="20"/>
                <w:szCs w:val="20"/>
                <w:color w:val="auto"/>
              </w:rPr>
            </w:pPr>
            <w:r>
              <w:rPr>
                <w:rFonts w:ascii="Arial" w:cs="Arial" w:eastAsia="Arial" w:hAnsi="Arial"/>
                <w:sz w:val="18"/>
                <w:szCs w:val="18"/>
                <w:b w:val="1"/>
                <w:bCs w:val="1"/>
                <w:color w:val="auto"/>
                <w:w w:val="99"/>
              </w:rPr>
              <w:t>Estimated Fair Value Measurements</w:t>
            </w:r>
          </w:p>
        </w:tc>
        <w:tc>
          <w:tcPr>
            <w:tcW w:w="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Total Fair</w:t>
            </w:r>
          </w:p>
        </w:tc>
      </w:tr>
      <w:tr>
        <w:trPr>
          <w:trHeight w:val="223"/>
        </w:trPr>
        <w:tc>
          <w:tcPr>
            <w:tcW w:w="472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Level 1</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Level 2</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Level 3</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color w:val="auto"/>
              </w:rPr>
              <w:t>Value</w:t>
            </w: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March 31, 2025</w:t>
            </w:r>
          </w:p>
        </w:tc>
        <w:tc>
          <w:tcPr>
            <w:tcW w:w="11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r>
      <w:tr>
        <w:trPr>
          <w:trHeight w:val="229"/>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Assets:</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4720" w:type="dxa"/>
            <w:vAlign w:val="bottom"/>
          </w:tcPr>
          <w:p>
            <w:pPr>
              <w:ind w:left="440"/>
              <w:spacing w:after="0"/>
              <w:rPr>
                <w:sz w:val="20"/>
                <w:szCs w:val="20"/>
                <w:color w:val="auto"/>
              </w:rPr>
            </w:pPr>
            <w:r>
              <w:rPr>
                <w:rFonts w:ascii="Arial" w:cs="Arial" w:eastAsia="Arial" w:hAnsi="Arial"/>
                <w:sz w:val="18"/>
                <w:szCs w:val="18"/>
                <w:color w:val="auto"/>
              </w:rPr>
              <w:t>Certificates of Deposit</w:t>
            </w: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4,561</w:t>
            </w:r>
          </w:p>
        </w:tc>
        <w:tc>
          <w:tcPr>
            <w:tcW w:w="100" w:type="dxa"/>
            <w:vAlign w:val="bottom"/>
          </w:tcPr>
          <w:p>
            <w:pPr>
              <w:spacing w:after="0"/>
              <w:rPr>
                <w:sz w:val="19"/>
                <w:szCs w:val="19"/>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4,561</w:t>
            </w:r>
          </w:p>
        </w:tc>
      </w:tr>
      <w:tr>
        <w:trPr>
          <w:trHeight w:val="229"/>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Liabilities:</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4720" w:type="dxa"/>
            <w:vAlign w:val="bottom"/>
          </w:tcPr>
          <w:p>
            <w:pPr>
              <w:ind w:left="440"/>
              <w:spacing w:after="0"/>
              <w:rPr>
                <w:sz w:val="20"/>
                <w:szCs w:val="20"/>
                <w:color w:val="auto"/>
              </w:rPr>
            </w:pPr>
            <w:r>
              <w:rPr>
                <w:rFonts w:ascii="Arial" w:cs="Arial" w:eastAsia="Arial" w:hAnsi="Arial"/>
                <w:sz w:val="18"/>
                <w:szCs w:val="18"/>
                <w:color w:val="auto"/>
              </w:rPr>
              <w:t>Credit facilities</w:t>
            </w: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170,000</w:t>
            </w:r>
          </w:p>
        </w:tc>
        <w:tc>
          <w:tcPr>
            <w:tcW w:w="100" w:type="dxa"/>
            <w:vAlign w:val="bottom"/>
          </w:tcPr>
          <w:p>
            <w:pPr>
              <w:spacing w:after="0"/>
              <w:rPr>
                <w:sz w:val="19"/>
                <w:szCs w:val="19"/>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170,000</w:t>
            </w: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2024</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720" w:type="dxa"/>
            <w:vAlign w:val="bottom"/>
          </w:tcPr>
          <w:p>
            <w:pPr>
              <w:ind w:left="180"/>
              <w:spacing w:after="0"/>
              <w:rPr>
                <w:sz w:val="20"/>
                <w:szCs w:val="20"/>
                <w:color w:val="auto"/>
              </w:rPr>
            </w:pPr>
            <w:r>
              <w:rPr>
                <w:rFonts w:ascii="Arial" w:cs="Arial" w:eastAsia="Arial" w:hAnsi="Arial"/>
                <w:sz w:val="18"/>
                <w:szCs w:val="18"/>
                <w:color w:val="auto"/>
              </w:rPr>
              <w:t>Financial Assets:</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Certificates of Deposit</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w:t>
            </w:r>
          </w:p>
        </w:tc>
      </w:tr>
      <w:tr>
        <w:trPr>
          <w:trHeight w:val="229"/>
        </w:trPr>
        <w:tc>
          <w:tcPr>
            <w:tcW w:w="4720" w:type="dxa"/>
            <w:vAlign w:val="bottom"/>
          </w:tcPr>
          <w:p>
            <w:pPr>
              <w:ind w:left="180"/>
              <w:spacing w:after="0"/>
              <w:rPr>
                <w:sz w:val="20"/>
                <w:szCs w:val="20"/>
                <w:color w:val="auto"/>
              </w:rPr>
            </w:pPr>
            <w:r>
              <w:rPr>
                <w:rFonts w:ascii="Arial" w:cs="Arial" w:eastAsia="Arial" w:hAnsi="Arial"/>
                <w:sz w:val="18"/>
                <w:szCs w:val="18"/>
                <w:color w:val="auto"/>
              </w:rPr>
              <w:t>Financial Liabilities:</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Credit facilities</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r>
    </w:tbl>
    <w:p>
      <w:pPr>
        <w:spacing w:after="0" w:line="22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5.</w:t>
      </w:r>
      <w:r>
        <w:rPr>
          <w:sz w:val="20"/>
          <w:szCs w:val="20"/>
          <w:color w:val="auto"/>
        </w:rPr>
        <w:tab/>
      </w:r>
      <w:r>
        <w:rPr>
          <w:rFonts w:ascii="Arial" w:cs="Arial" w:eastAsia="Arial" w:hAnsi="Arial"/>
          <w:sz w:val="17"/>
          <w:szCs w:val="17"/>
          <w:color w:val="auto"/>
        </w:rPr>
        <w:t>LEASES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determines if an arrangement is a lease, or contains a lease, at inception. The lease term begins on the commencement date, which is the date the Company takes possession of the property and may include options to extend or terminate the lease when it is reasonably certain that the option will be exercised. Right-of-use (“ROU”) assets represent the Company’s right to use an underlying asset for the lease term and lease liabilities represent the Company’s obligation to make lease payments arising from the lease. Lease agreements with lease and non-lease components are accounted for as a single lease component for all asset classes, which are comprised of real estate leases and equipment leases. ROU assets and lease liabilities are recognized at the commencement date based on the present value of lease payments over the lease term. Since the Company’s leases do not typically provide an implicit rate, the Company uses its incremental borrowing rate based upon the information available at commencement date. The determination of the incremental borrowing rate requires judgment and is determined by using the Company’s current unsecured borrowing rate, adjusted for various factors such as collateralization and term to align with the terms of the lease.</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leases certain office space, data centers, and equipment with remaining terms of 5 months to 9 years. Certain leases contain renewal options for varying periods, which are at the Company’s sole discretion. For leases where the Company is reasonably certain to exercise a renewal option, such option periods have been included in the determination of the Company’s ROU assets and lease liabilities. Certain leases require the Company to pay taxes, insurance, maintenance, and other operating expenses associated with the leased asset. Such amounts are not included in the measurement of the lease liability to the extent they are variable in nature. Variable lease costs are recognized as a variable lease expense when incurred.</w:t>
      </w:r>
    </w:p>
    <w:p>
      <w:pPr>
        <w:spacing w:after="0" w:line="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March 31, 2025, and June 30, 2024, the Company had operating lease assets of $47,085 and $ 53,981, respectively. At March 31, 2025, total operating lease liabilities of $53,445 were comprised of current operating lease liabilities of $9,427 and noncurrent operating lease liabilities of $44,018. At June 30, 2024, total operating lease liabilities of $59,604 were comprised of current operating lease liabilities of $8,454 and noncurrent operating lease liabilities of $51,150.</w:t>
      </w:r>
    </w:p>
    <w:p>
      <w:pPr>
        <w:spacing w:after="0" w:line="5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lease assets are included within other non-current assets, and operating lease liabilities are included within accrued expenses (current portion) and other long-term liabilities (noncurrent portion) in the Company’s condensed consolidated balance sheets. Operating lease assets were recorded net of accumulated amortization of $38,886 and $34,306 as of March 31, 2025, and June 30, 2024, respectively.</w:t>
      </w:r>
    </w:p>
    <w:p>
      <w:pPr>
        <w:spacing w:after="0" w:line="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Operating lease costs for the three months ended March 31, 2025, and 2024, were $2,857 and $3,190, respectively. Total operating lease costs for the respective quarters included variable lease costs of $692 and $1,101, respectively. Operating lease costs for the nine months ended March 31, 2025, and 2024, were $8,649 and $7,888, respectively. Total operating lease costs for the respective fiscal year-to-date periods included variable lease costs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of $2,175 and $3,354, respectively. Operating lease expense is included within cost of services, research and development, and selling, general and administrative expense, dependent upon the nature and use of the ROU asset, in the Company’s condensed consolidated statements of income.</w:t>
      </w:r>
    </w:p>
    <w:p>
      <w:pPr>
        <w:spacing w:after="0" w:line="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nine months ended March 31, 2025, and 2024, the Company had operating cash flows for payments on operating leases of $7,909 and $6,855, and ROU assets obtained in exchange for operating lease liabilities of $7 and $19,222, respectively.</w:t>
      </w:r>
    </w:p>
    <w:p>
      <w:pPr>
        <w:spacing w:after="0" w:line="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March 31, 2025, and June 30, 2024, the weighted-average remaining lease term for the Company's operating leases was 70 months and 78 months, and the weighted-average discount rate was 2.71% and 2.70%, respectively.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 of Lease Liabilities under ASC 842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rental payments on operating leases with initial non-cancellable lease terms in excess of one year were due as follows 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31, 2025:</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620" w:type="dxa"/>
            <w:vAlign w:val="bottom"/>
            <w:gridSpan w:val="2"/>
          </w:tcPr>
          <w:p>
            <w:pPr>
              <w:ind w:left="800"/>
              <w:spacing w:after="0"/>
              <w:rPr>
                <w:sz w:val="20"/>
                <w:szCs w:val="20"/>
                <w:color w:val="auto"/>
              </w:rPr>
            </w:pPr>
            <w:r>
              <w:rPr>
                <w:rFonts w:ascii="Arial" w:cs="Arial" w:eastAsia="Arial" w:hAnsi="Arial"/>
                <w:sz w:val="18"/>
                <w:szCs w:val="18"/>
                <w:color w:val="auto"/>
              </w:rPr>
              <w:t>Due Dates (fiscal year)</w:t>
            </w:r>
          </w:p>
        </w:tc>
        <w:tc>
          <w:tcPr>
            <w:tcW w:w="260" w:type="dxa"/>
            <w:vAlign w:val="bottom"/>
          </w:tcPr>
          <w:p>
            <w:pPr>
              <w:spacing w:after="0"/>
              <w:rPr>
                <w:sz w:val="20"/>
                <w:szCs w:val="20"/>
                <w:color w:val="auto"/>
              </w:rPr>
            </w:pPr>
          </w:p>
        </w:tc>
        <w:tc>
          <w:tcPr>
            <w:tcW w:w="3240" w:type="dxa"/>
            <w:vAlign w:val="bottom"/>
          </w:tcPr>
          <w:p>
            <w:pPr>
              <w:jc w:val="right"/>
              <w:ind w:right="290"/>
              <w:spacing w:after="0"/>
              <w:rPr>
                <w:sz w:val="20"/>
                <w:szCs w:val="20"/>
                <w:color w:val="auto"/>
              </w:rPr>
            </w:pPr>
            <w:r>
              <w:rPr>
                <w:rFonts w:ascii="Arial" w:cs="Arial" w:eastAsia="Arial" w:hAnsi="Arial"/>
                <w:sz w:val="18"/>
                <w:szCs w:val="18"/>
                <w:color w:val="auto"/>
              </w:rPr>
              <w:t>Future Minimum Rental Payments</w:t>
            </w:r>
          </w:p>
        </w:tc>
      </w:tr>
      <w:tr>
        <w:trPr>
          <w:trHeight w:val="250"/>
        </w:trPr>
        <w:tc>
          <w:tcPr>
            <w:tcW w:w="34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3240" w:type="dxa"/>
            <w:vAlign w:val="bottom"/>
            <w:tcBorders>
              <w:top w:val="single" w:sz="8" w:color="auto"/>
            </w:tcBorders>
          </w:tcPr>
          <w:p>
            <w:pPr>
              <w:spacing w:after="0"/>
              <w:rPr>
                <w:sz w:val="21"/>
                <w:szCs w:val="21"/>
                <w:color w:val="auto"/>
              </w:rPr>
            </w:pPr>
          </w:p>
        </w:tc>
      </w:tr>
      <w:tr>
        <w:trPr>
          <w:trHeight w:val="229"/>
        </w:trPr>
        <w:tc>
          <w:tcPr>
            <w:tcW w:w="3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2025 (remaining period)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w:t>
            </w:r>
          </w:p>
        </w:tc>
      </w:tr>
      <w:tr>
        <w:trPr>
          <w:trHeight w:val="229"/>
        </w:trPr>
        <w:tc>
          <w:tcPr>
            <w:tcW w:w="3400" w:type="dxa"/>
            <w:vAlign w:val="bottom"/>
          </w:tcPr>
          <w:p>
            <w:pPr>
              <w:jc w:val="right"/>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11,048</w:t>
            </w:r>
          </w:p>
        </w:tc>
      </w:tr>
      <w:tr>
        <w:trPr>
          <w:trHeight w:val="230"/>
        </w:trPr>
        <w:tc>
          <w:tcPr>
            <w:tcW w:w="3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10,455</w:t>
            </w:r>
          </w:p>
        </w:tc>
      </w:tr>
      <w:tr>
        <w:trPr>
          <w:trHeight w:val="229"/>
        </w:trPr>
        <w:tc>
          <w:tcPr>
            <w:tcW w:w="3400" w:type="dxa"/>
            <w:vAlign w:val="bottom"/>
          </w:tcPr>
          <w:p>
            <w:pPr>
              <w:jc w:val="right"/>
              <w:spacing w:after="0"/>
              <w:rPr>
                <w:sz w:val="20"/>
                <w:szCs w:val="20"/>
                <w:color w:val="auto"/>
              </w:rPr>
            </w:pPr>
            <w:r>
              <w:rPr>
                <w:rFonts w:ascii="Arial" w:cs="Arial" w:eastAsia="Arial" w:hAnsi="Arial"/>
                <w:sz w:val="18"/>
                <w:szCs w:val="18"/>
                <w:color w:val="auto"/>
              </w:rPr>
              <w:t>2028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10,106</w:t>
            </w:r>
          </w:p>
        </w:tc>
      </w:tr>
      <w:tr>
        <w:trPr>
          <w:trHeight w:val="230"/>
        </w:trPr>
        <w:tc>
          <w:tcPr>
            <w:tcW w:w="3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7,548</w:t>
            </w:r>
          </w:p>
        </w:tc>
      </w:tr>
      <w:tr>
        <w:trPr>
          <w:trHeight w:val="229"/>
        </w:trPr>
        <w:tc>
          <w:tcPr>
            <w:tcW w:w="36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17,667</w:t>
            </w:r>
          </w:p>
        </w:tc>
      </w:tr>
      <w:tr>
        <w:trPr>
          <w:trHeight w:val="223"/>
        </w:trPr>
        <w:tc>
          <w:tcPr>
            <w:tcW w:w="3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Total lease payments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59,528</w:t>
            </w:r>
          </w:p>
        </w:tc>
      </w:tr>
      <w:tr>
        <w:trPr>
          <w:trHeight w:val="230"/>
        </w:trPr>
        <w:tc>
          <w:tcPr>
            <w:tcW w:w="36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Less: interest</w:t>
            </w:r>
          </w:p>
        </w:tc>
        <w:tc>
          <w:tcPr>
            <w:tcW w:w="26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(6,083)</w:t>
            </w:r>
          </w:p>
        </w:tc>
      </w:tr>
      <w:tr>
        <w:trPr>
          <w:trHeight w:val="248"/>
        </w:trPr>
        <w:tc>
          <w:tcPr>
            <w:tcW w:w="3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Present value of lease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53,445</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24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Future lease payments include $5,464 related to options to extend lease terms that are reasonably certain of being exercised. At March 31, 2025, there were $2,070 of legally binding lease payments for leases signed but not yet commenced.</w:t>
      </w:r>
    </w:p>
    <w:p>
      <w:pPr>
        <w:spacing w:after="0" w:line="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may sublease its facilities from time to time to third parties. Sublease income is recognized on a straight-line basis over the lease term, and is included within revenue on the Company's condensed consolidated statements of income.</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September 30, 2023, the Company entered into an agreement with a third party to sublease a portion of its Elizabethtown, Kentucky facility. The commencement date of the sublease was October 1, 2023, and it had an initial term of 57 months. Sublease income for the three months ended March 31, 2025, and 2024, was $205 and $213, respectively. Sublease income for the nine months ended March 31, 2025, and 2024, was $682 and $345, respectively.</w:t>
      </w:r>
    </w:p>
    <w:p>
      <w:pPr>
        <w:spacing w:after="0" w:line="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March 21, 2025, the sublessee provided notice to terminate a portion of the sublease agreement and reduce the square footage of their subleased space effective September 30, 2025, resulting in a termination fee of $332. The remaining space not terminated will continue to be subleased under the original terms of the agreement. There have been no indications of impairment related to the underlying ROU asset for the remaining portion of the sublease.</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Sublease Payments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2025, the future total minimum sublease payments to be received, including termination fees,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640" w:type="dxa"/>
            <w:vAlign w:val="bottom"/>
            <w:gridSpan w:val="2"/>
          </w:tcPr>
          <w:p>
            <w:pPr>
              <w:ind w:left="800"/>
              <w:spacing w:after="0"/>
              <w:rPr>
                <w:sz w:val="20"/>
                <w:szCs w:val="20"/>
                <w:color w:val="auto"/>
              </w:rPr>
            </w:pPr>
            <w:r>
              <w:rPr>
                <w:rFonts w:ascii="Arial" w:cs="Arial" w:eastAsia="Arial" w:hAnsi="Arial"/>
                <w:sz w:val="18"/>
                <w:szCs w:val="18"/>
                <w:color w:val="auto"/>
              </w:rPr>
              <w:t>Due Dates (fiscal year)</w:t>
            </w:r>
          </w:p>
        </w:tc>
        <w:tc>
          <w:tcPr>
            <w:tcW w:w="240" w:type="dxa"/>
            <w:vAlign w:val="bottom"/>
          </w:tcPr>
          <w:p>
            <w:pPr>
              <w:spacing w:after="0"/>
              <w:rPr>
                <w:sz w:val="20"/>
                <w:szCs w:val="20"/>
                <w:color w:val="auto"/>
              </w:rPr>
            </w:pPr>
          </w:p>
        </w:tc>
        <w:tc>
          <w:tcPr>
            <w:tcW w:w="7360" w:type="dxa"/>
            <w:vAlign w:val="bottom"/>
            <w:gridSpan w:val="2"/>
          </w:tcPr>
          <w:p>
            <w:pPr>
              <w:ind w:left="140"/>
              <w:spacing w:after="0"/>
              <w:rPr>
                <w:sz w:val="20"/>
                <w:szCs w:val="20"/>
                <w:color w:val="auto"/>
              </w:rPr>
            </w:pPr>
            <w:r>
              <w:rPr>
                <w:rFonts w:ascii="Arial" w:cs="Arial" w:eastAsia="Arial" w:hAnsi="Arial"/>
                <w:sz w:val="18"/>
                <w:szCs w:val="18"/>
                <w:color w:val="auto"/>
              </w:rPr>
              <w:t>Future Minimum Sublease Receipts</w:t>
            </w:r>
          </w:p>
        </w:tc>
      </w:tr>
      <w:tr>
        <w:trPr>
          <w:trHeight w:val="250"/>
        </w:trPr>
        <w:tc>
          <w:tcPr>
            <w:tcW w:w="34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3360" w:type="dxa"/>
            <w:vAlign w:val="bottom"/>
            <w:tcBorders>
              <w:top w:val="single" w:sz="8" w:color="auto"/>
            </w:tcBorders>
          </w:tcPr>
          <w:p>
            <w:pPr>
              <w:spacing w:after="0"/>
              <w:rPr>
                <w:sz w:val="21"/>
                <w:szCs w:val="21"/>
                <w:color w:val="auto"/>
              </w:rPr>
            </w:pPr>
          </w:p>
        </w:tc>
        <w:tc>
          <w:tcPr>
            <w:tcW w:w="4000" w:type="dxa"/>
            <w:vAlign w:val="bottom"/>
          </w:tcPr>
          <w:p>
            <w:pPr>
              <w:spacing w:after="0"/>
              <w:rPr>
                <w:sz w:val="21"/>
                <w:szCs w:val="21"/>
                <w:color w:val="auto"/>
              </w:rPr>
            </w:pPr>
          </w:p>
        </w:tc>
      </w:tr>
      <w:tr>
        <w:trPr>
          <w:trHeight w:val="230"/>
        </w:trPr>
        <w:tc>
          <w:tcPr>
            <w:tcW w:w="3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2025 (remaining period)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4000" w:type="dxa"/>
            <w:vAlign w:val="bottom"/>
          </w:tcPr>
          <w:p>
            <w:pPr>
              <w:spacing w:after="0"/>
              <w:rPr>
                <w:sz w:val="19"/>
                <w:szCs w:val="19"/>
                <w:color w:val="auto"/>
              </w:rPr>
            </w:pPr>
          </w:p>
        </w:tc>
      </w:tr>
      <w:tr>
        <w:trPr>
          <w:trHeight w:val="229"/>
        </w:trPr>
        <w:tc>
          <w:tcPr>
            <w:tcW w:w="3420" w:type="dxa"/>
            <w:vAlign w:val="bottom"/>
          </w:tcPr>
          <w:p>
            <w:pPr>
              <w:jc w:val="right"/>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60" w:type="dxa"/>
            <w:vAlign w:val="bottom"/>
          </w:tcPr>
          <w:p>
            <w:pPr>
              <w:jc w:val="right"/>
              <w:spacing w:after="0"/>
              <w:rPr>
                <w:sz w:val="20"/>
                <w:szCs w:val="20"/>
                <w:color w:val="auto"/>
              </w:rPr>
            </w:pPr>
            <w:r>
              <w:rPr>
                <w:rFonts w:ascii="Arial" w:cs="Arial" w:eastAsia="Arial" w:hAnsi="Arial"/>
                <w:sz w:val="18"/>
                <w:szCs w:val="18"/>
                <w:color w:val="auto"/>
              </w:rPr>
              <w:t>864</w:t>
            </w:r>
          </w:p>
        </w:tc>
        <w:tc>
          <w:tcPr>
            <w:tcW w:w="4000" w:type="dxa"/>
            <w:vAlign w:val="bottom"/>
          </w:tcPr>
          <w:p>
            <w:pPr>
              <w:spacing w:after="0"/>
              <w:rPr>
                <w:sz w:val="19"/>
                <w:szCs w:val="19"/>
                <w:color w:val="auto"/>
              </w:rPr>
            </w:pPr>
          </w:p>
        </w:tc>
      </w:tr>
      <w:tr>
        <w:trPr>
          <w:trHeight w:val="230"/>
        </w:trPr>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4000" w:type="dxa"/>
            <w:vAlign w:val="bottom"/>
          </w:tcPr>
          <w:p>
            <w:pPr>
              <w:spacing w:after="0"/>
              <w:rPr>
                <w:sz w:val="19"/>
                <w:szCs w:val="19"/>
                <w:color w:val="auto"/>
              </w:rPr>
            </w:pPr>
          </w:p>
        </w:tc>
      </w:tr>
      <w:tr>
        <w:trPr>
          <w:trHeight w:val="230"/>
        </w:trPr>
        <w:tc>
          <w:tcPr>
            <w:tcW w:w="3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2028</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4000" w:type="dxa"/>
            <w:vAlign w:val="bottom"/>
          </w:tcPr>
          <w:p>
            <w:pPr>
              <w:spacing w:after="0"/>
              <w:rPr>
                <w:sz w:val="19"/>
                <w:szCs w:val="19"/>
                <w:color w:val="auto"/>
              </w:rPr>
            </w:pPr>
          </w:p>
        </w:tc>
      </w:tr>
      <w:tr>
        <w:trPr>
          <w:trHeight w:val="248"/>
        </w:trPr>
        <w:tc>
          <w:tcPr>
            <w:tcW w:w="3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Total sublease receipts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3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4000" w:type="dxa"/>
            <w:vAlign w:val="bottom"/>
          </w:tcPr>
          <w:p>
            <w:pPr>
              <w:spacing w:after="0"/>
              <w:rPr>
                <w:sz w:val="21"/>
                <w:szCs w:val="2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360" w:type="dxa"/>
            <w:vAlign w:val="bottom"/>
            <w:tcBorders>
              <w:top w:val="single" w:sz="8" w:color="CCEEFF"/>
              <w:bottom w:val="single" w:sz="8" w:color="auto"/>
            </w:tcBorders>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824"/>
        </w:trPr>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6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13</w:t>
            </w:r>
          </w:p>
        </w:tc>
        <w:tc>
          <w:tcPr>
            <w:tcW w:w="4000" w:type="dxa"/>
            <w:vAlign w:val="bottom"/>
          </w:tcPr>
          <w:p>
            <w:pPr>
              <w:spacing w:after="0"/>
              <w:rPr>
                <w:sz w:val="24"/>
                <w:szCs w:val="24"/>
                <w:color w:val="auto"/>
              </w:rPr>
            </w:pPr>
          </w:p>
        </w:tc>
      </w:tr>
      <w:tr>
        <w:trPr>
          <w:trHeight w:val="115"/>
        </w:trPr>
        <w:tc>
          <w:tcPr>
            <w:tcW w:w="34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6.</w:t>
      </w:r>
      <w:r>
        <w:rPr>
          <w:sz w:val="20"/>
          <w:szCs w:val="20"/>
          <w:color w:val="auto"/>
        </w:rPr>
        <w:tab/>
      </w:r>
      <w:r>
        <w:rPr>
          <w:rFonts w:ascii="Arial" w:cs="Arial" w:eastAsia="Arial" w:hAnsi="Arial"/>
          <w:sz w:val="17"/>
          <w:szCs w:val="17"/>
          <w:color w:val="auto"/>
        </w:rPr>
        <w:t>DEBT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August 31, 2022, the Company entered into a five-year senior, unsecured amended and restated credit agreement that replaced a prior credit facility that was entered into on February 10, 2020. The credit agreement allows for borrowings of up to $600,000, which may be increased to $1,000,000 by the Company at any time until maturity. The credit agreement bears interest at a variable rate equal to (a) a rate based on an adjusted Secured Overnight Financing Rate (“SOFR”) term rate or (b) an alternate base rate (the highest of (i) 0%, (ii) the Prime Rate for such day, (iii) the sum of the Federal Funds Effective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per annum and (iv) the Adjusted Term SOFR Screen Rate (without giving effect to the Applicable Margin) for a one 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1.0%), </w:t>
      </w:r>
      <w:r>
        <w:rPr>
          <w:rFonts w:ascii="Arial" w:cs="Arial" w:eastAsia="Arial" w:hAnsi="Arial"/>
          <w:sz w:val="18"/>
          <w:szCs w:val="18"/>
          <w:i w:val="1"/>
          <w:iCs w:val="1"/>
          <w:color w:val="auto"/>
        </w:rPr>
        <w:t>plus</w:t>
      </w:r>
      <w:r>
        <w:rPr>
          <w:rFonts w:ascii="Arial" w:cs="Arial" w:eastAsia="Arial" w:hAnsi="Arial"/>
          <w:sz w:val="18"/>
          <w:szCs w:val="18"/>
          <w:color w:val="auto"/>
        </w:rPr>
        <w:t xml:space="preserve"> an applicable percentage in each case determined by the Company's leverage ratio. The credit agreement is guaranteed by certain subsidiaries of the Company and is subject to various financial covenants that require the Company to maintain certain financial ratios as defined in the credit agreement. As of March 31, 2025, the Company was in compliance with all such covenants. The amended and restated credit facility terminates August 31, 2027. There was $80,000 and $60,000 outstanding under the amended and restated credit facility at March 31, 2025 and June 30, 2024, respectively.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1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May 16, 2023, the Company entered into a term loan credit agreement with a syndicate of financial institutions, with an original principal balance of $180,000. Borrowings under the term loan facility bear interest at a variable rate equal to (a) a rate based on an adjusted SOFR term rate or (b) an alternate base rate (the highest of (i) 0%, (ii) the Prime Rate for such day, (iii) the sum of the Federal Funds Effective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per annum and (iv) the Adjusted Term SOFR Screen Rate (without giving effect to the Applicable Margin) for a one 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0.75%), </w:t>
      </w:r>
      <w:r>
        <w:rPr>
          <w:rFonts w:ascii="Arial" w:cs="Arial" w:eastAsia="Arial" w:hAnsi="Arial"/>
          <w:sz w:val="18"/>
          <w:szCs w:val="18"/>
          <w:i w:val="1"/>
          <w:iCs w:val="1"/>
          <w:color w:val="auto"/>
        </w:rPr>
        <w:t>plus</w:t>
      </w:r>
      <w:r>
        <w:rPr>
          <w:rFonts w:ascii="Arial" w:cs="Arial" w:eastAsia="Arial" w:hAnsi="Arial"/>
          <w:sz w:val="18"/>
          <w:szCs w:val="18"/>
          <w:color w:val="auto"/>
        </w:rPr>
        <w:t xml:space="preserve"> an applicable percentage in each case determined by the Company's leverage ratio. The term loan credit agreement is guaranteed by certain subsidiaries of the Company and is subject to various financial covenants that require the Company to maintain certain financial ratios as defined in the term loan credit agreement. As of March 31, 2025, the Company was in compliance with all such covenants. The term loan credit agreement has a maturity date of May 16, 2025, and the Company intends to repay the outstanding balance of the term loan with a combination of cash on hand and a borrowing under its revolving credit facility. There was $90,000 outstanding under the term loan at March 31, 2025 and June 30, 2024.</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lines of credit</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Company has an unsecured bank credit line, which provides for funding of up to $5,000 and bears interest at the prime rate </w:t>
      </w:r>
      <w:r>
        <w:rPr>
          <w:rFonts w:ascii="Arial" w:cs="Arial" w:eastAsia="Arial" w:hAnsi="Arial"/>
          <w:sz w:val="18"/>
          <w:szCs w:val="18"/>
          <w:i w:val="1"/>
          <w:iCs w:val="1"/>
          <w:color w:val="auto"/>
        </w:rPr>
        <w:t>less</w:t>
      </w:r>
      <w:r>
        <w:rPr>
          <w:rFonts w:ascii="Arial" w:cs="Arial" w:eastAsia="Arial" w:hAnsi="Arial"/>
          <w:sz w:val="18"/>
          <w:szCs w:val="18"/>
          <w:color w:val="auto"/>
        </w:rPr>
        <w:t xml:space="preserve"> 1.0%.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credit line expired on April 30, 2025. There was no balance outstanding at March 31, 2025, or June 30, 2024.</w:t>
      </w:r>
    </w:p>
    <w:p>
      <w:pPr>
        <w:spacing w:after="0" w:line="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On October 31, 2024, the Company entered into a discretionary line of credit demand note, which provides for funding of up to $50,000 and bears interest at the prime rate </w:t>
      </w:r>
      <w:r>
        <w:rPr>
          <w:rFonts w:ascii="Arial" w:cs="Arial" w:eastAsia="Arial" w:hAnsi="Arial"/>
          <w:sz w:val="18"/>
          <w:szCs w:val="18"/>
          <w:i w:val="1"/>
          <w:iCs w:val="1"/>
          <w:color w:val="auto"/>
        </w:rPr>
        <w:t>less</w:t>
      </w:r>
      <w:r>
        <w:rPr>
          <w:rFonts w:ascii="Arial" w:cs="Arial" w:eastAsia="Arial" w:hAnsi="Arial"/>
          <w:sz w:val="18"/>
          <w:szCs w:val="18"/>
          <w:color w:val="auto"/>
        </w:rPr>
        <w:t xml:space="preserve"> 2.0%. The note does not constitute a committed line of credit. The line of credit expires on October 31, 2025. There was no balance outstanding at March 31, 2025.</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Company paid interest of $7,525 and $11,176 during the nine months ended March 31, 2025, and 2024, respectively.</w:t>
      </w:r>
    </w:p>
    <w:p>
      <w:pPr>
        <w:spacing w:after="0" w:line="15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7.</w:t>
      </w:r>
      <w:r>
        <w:rPr>
          <w:sz w:val="20"/>
          <w:szCs w:val="20"/>
          <w:color w:val="auto"/>
        </w:rPr>
        <w:tab/>
      </w:r>
      <w:r>
        <w:rPr>
          <w:rFonts w:ascii="Arial" w:cs="Arial" w:eastAsia="Arial" w:hAnsi="Arial"/>
          <w:sz w:val="17"/>
          <w:szCs w:val="17"/>
          <w:color w:val="auto"/>
        </w:rPr>
        <w:t>INCOME TAXES</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effective tax rate decreased for the three months ended March 31, 2025, compared to the three months ended March 31, 2024, with an effective tax rate of 21.7% of income before income taxes, compared to 23.7% in the prior fiscal year quarter. The decrease to the Company's effective tax rate was primarily due to the timing of filing our Federal tax return and recognition of return-to-provision adjustments.</w:t>
      </w:r>
    </w:p>
    <w:p>
      <w:pPr>
        <w:spacing w:after="0" w:line="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nine months ended March 31, 2025, the effective tax rate decreased compared to the nine months ended March 31, 2024, with an effective tax rate of 23.0% of income before income taxes, compared to 23.6% for the same period last fiscal year. The decrease in the effective tax rate for the nine months ended March 31, 2025, was primarily due to the timing of filing our Federal tax return and recognition of return-to-provision adjustments.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The Company paid income taxes, net of refunds, of $94,553 and $70,686 in the nine months ended March 31, 2025, and 2024, respectively.</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March 31, 2025, the Company had $22,851 of gross unrecognized tax benefits before interest and penalties, $20,735 of which, if recognized, would affect our effective tax rate. The Company had accrued interest and penalties of $4,744 related to uncertain tax positions at March 31, 2025.</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 federal and state income tax returns for fiscal 2021 and all subsequent years remain subject to examination as of March 31, 2025, under statute of limitations rules. In addition, certain U.S. state income tax returns remain subject to examination as of March 31, 2025, under the statute of limitation rules for fiscal 2016 through 2020. The Company anticipates potential changes due to lapsing of statutes of limitations, and examination closures could reduce the unrecognized tax benefits balance by $3,000 to $8,500 within twelve months of March 31, 2025.</w:t>
      </w:r>
    </w:p>
    <w:p>
      <w:pPr>
        <w:spacing w:after="0" w:line="9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8.</w:t>
      </w:r>
      <w:r>
        <w:rPr>
          <w:sz w:val="20"/>
          <w:szCs w:val="20"/>
          <w:color w:val="auto"/>
        </w:rPr>
        <w:tab/>
      </w:r>
      <w:r>
        <w:rPr>
          <w:rFonts w:ascii="Arial" w:cs="Arial" w:eastAsia="Arial" w:hAnsi="Arial"/>
          <w:sz w:val="17"/>
          <w:szCs w:val="17"/>
          <w:color w:val="auto"/>
        </w:rPr>
        <w:t>STOCK-BASED COMPENSATION</w:t>
      </w:r>
    </w:p>
    <w:p>
      <w:pPr>
        <w:spacing w:after="0" w:line="10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operating income for the three months ended March 31, 2025, and 2024, included $6,873 and $6,924 of stock-based compensation costs, respectively. Our operating income for the nine months ended March 31, 2025, and 2024, included $22,412 and $22,404 of stock-based compensation costs, respectively.</w:t>
      </w:r>
    </w:p>
    <w:p>
      <w:pPr>
        <w:spacing w:after="0" w:line="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November 10, 2015, the Company adopted the 2015 Equity Incentive Plan (“2015 EIP”) for its associates and non-employee directors. The plan allows for grants of stock options, stock appreciation rights, restricted stock shares or units, and performance shares or units. The maximum number of shares authorized for issuance under the plan is 3,000.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awards</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2015 EIP, terms and vesting periods of the options are determined by the Compensation Committee of the Board of Directors when granted. The option period must expire not more than ten years from the option grant date. The options granted under this plan are exercisable beginning three years after the grant date at an exercise price equal to 100% of the fair market value of the stock at the grant date. The options terminate upon surrender of the option, ninety days after termination of employment, upon the expiration of one year following notification of a deceased optionee, or ten years after grant.</w:t>
      </w:r>
    </w:p>
    <w:p>
      <w:pPr>
        <w:spacing w:after="0" w:line="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nine months ended March 31, 2025, there were no options granted or forfeited, and 12 options were exercised at a weighted average exercise price of $87.27 per share with a total exercise intrinsic value of $991. At March 31, 2025, there was no compensation cost yet to be recognized related to options. There were no options outstanding as of March 31, 2025.</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 and performance unit awards</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issues unit awards under the 2015 EIP. Restricted stock unit awards (which are unit awards that have service requirements only and are not tied to performance measures) generally vest over a period of 1 to 3 years. Performance unit awards are awards that have performance measures in addition to service requirements.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non-vested restricted stock unit awards and performance unit awards as of March 31, 2025:</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Unit awards</w:t>
            </w:r>
          </w:p>
        </w:tc>
        <w:tc>
          <w:tcPr>
            <w:tcW w:w="1900" w:type="dxa"/>
            <w:vAlign w:val="bottom"/>
            <w:vMerge w:val="restart"/>
          </w:tcPr>
          <w:p>
            <w:pPr>
              <w:jc w:val="right"/>
              <w:ind w:right="630"/>
              <w:spacing w:after="0"/>
              <w:rPr>
                <w:sz w:val="20"/>
                <w:szCs w:val="20"/>
                <w:color w:val="auto"/>
              </w:rPr>
            </w:pPr>
            <w:r>
              <w:rPr>
                <w:rFonts w:ascii="Arial" w:cs="Arial" w:eastAsia="Arial" w:hAnsi="Arial"/>
                <w:sz w:val="18"/>
                <w:szCs w:val="18"/>
                <w:b w:val="1"/>
                <w:bCs w:val="1"/>
                <w:color w:val="auto"/>
              </w:rPr>
              <w:t>Units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60" w:type="dxa"/>
            <w:vAlign w:val="bottom"/>
          </w:tcPr>
          <w:p>
            <w:pPr>
              <w:jc w:val="right"/>
              <w:ind w:right="130"/>
              <w:spacing w:after="0"/>
              <w:rPr>
                <w:sz w:val="20"/>
                <w:szCs w:val="20"/>
                <w:color w:val="auto"/>
              </w:rPr>
            </w:pPr>
            <w:r>
              <w:rPr>
                <w:rFonts w:ascii="Arial" w:cs="Arial" w:eastAsia="Arial" w:hAnsi="Arial"/>
                <w:sz w:val="18"/>
                <w:szCs w:val="18"/>
                <w:b w:val="1"/>
                <w:bCs w:val="1"/>
                <w:color w:val="auto"/>
              </w:rPr>
              <w:t>Weighted Average Grant</w:t>
            </w: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rPr>
              <w:t>Aggregate Intrinsic</w:t>
            </w:r>
          </w:p>
        </w:tc>
        <w:tc>
          <w:tcPr>
            <w:tcW w:w="0" w:type="dxa"/>
            <w:vAlign w:val="bottom"/>
          </w:tcPr>
          <w:p>
            <w:pPr>
              <w:spacing w:after="0"/>
              <w:rPr>
                <w:sz w:val="1"/>
                <w:szCs w:val="1"/>
                <w:color w:val="auto"/>
              </w:rPr>
            </w:pPr>
          </w:p>
        </w:tc>
      </w:tr>
      <w:tr>
        <w:trPr>
          <w:trHeight w:val="235"/>
        </w:trPr>
        <w:tc>
          <w:tcPr>
            <w:tcW w:w="4860" w:type="dxa"/>
            <w:vAlign w:val="bottom"/>
            <w:gridSpan w:val="2"/>
            <w:vMerge w:val="continue"/>
          </w:tcPr>
          <w:p>
            <w:pPr>
              <w:spacing w:after="0"/>
              <w:rPr>
                <w:sz w:val="20"/>
                <w:szCs w:val="20"/>
                <w:color w:val="auto"/>
              </w:rPr>
            </w:pPr>
          </w:p>
        </w:tc>
        <w:tc>
          <w:tcPr>
            <w:tcW w:w="1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60" w:type="dxa"/>
            <w:vAlign w:val="bottom"/>
          </w:tcPr>
          <w:p>
            <w:pPr>
              <w:jc w:val="right"/>
              <w:ind w:right="170"/>
              <w:spacing w:after="0"/>
              <w:rPr>
                <w:sz w:val="20"/>
                <w:szCs w:val="20"/>
                <w:color w:val="auto"/>
              </w:rPr>
            </w:pPr>
            <w:r>
              <w:rPr>
                <w:rFonts w:ascii="Arial" w:cs="Arial" w:eastAsia="Arial" w:hAnsi="Arial"/>
                <w:sz w:val="18"/>
                <w:szCs w:val="18"/>
                <w:b w:val="1"/>
                <w:bCs w:val="1"/>
                <w:color w:val="auto"/>
              </w:rPr>
              <w:t>Date Fair Value Per Unit</w:t>
            </w:r>
          </w:p>
        </w:tc>
        <w:tc>
          <w:tcPr>
            <w:tcW w:w="460" w:type="dxa"/>
            <w:vAlign w:val="bottom"/>
          </w:tcPr>
          <w:p>
            <w:pPr>
              <w:spacing w:after="0"/>
              <w:rPr>
                <w:sz w:val="20"/>
                <w:szCs w:val="20"/>
                <w:color w:val="auto"/>
              </w:rPr>
            </w:pPr>
          </w:p>
        </w:tc>
        <w:tc>
          <w:tcPr>
            <w:tcW w:w="1400" w:type="dxa"/>
            <w:vAlign w:val="bottom"/>
          </w:tcPr>
          <w:p>
            <w:pPr>
              <w:jc w:val="right"/>
              <w:ind w:right="57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July 1, 2024</w:t>
            </w:r>
          </w:p>
        </w:tc>
        <w:tc>
          <w:tcPr>
            <w:tcW w:w="8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189.68</w:t>
            </w:r>
          </w:p>
        </w:tc>
        <w:tc>
          <w:tcPr>
            <w:tcW w:w="4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1</w:t>
            </w:r>
          </w:p>
        </w:tc>
        <w:tc>
          <w:tcPr>
            <w:tcW w:w="190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171.89</w:t>
            </w:r>
          </w:p>
        </w:tc>
        <w:tc>
          <w:tcPr>
            <w:tcW w:w="4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183.77</w:t>
            </w: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Forfeited</w:t>
            </w:r>
            <w:r>
              <w:rPr>
                <w:rFonts w:ascii="Arial" w:cs="Arial" w:eastAsia="Arial" w:hAnsi="Arial"/>
                <w:sz w:val="23"/>
                <w:szCs w:val="23"/>
                <w:color w:val="auto"/>
                <w:vertAlign w:val="superscript"/>
              </w:rPr>
              <w:t>2</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3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178.46</w:t>
            </w:r>
          </w:p>
        </w:tc>
        <w:tc>
          <w:tcPr>
            <w:tcW w:w="4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March 31, 2025</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184.01</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64,285</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Granted includes restricted stock unit awards and performance unit awards with market conditions at 100% achievement.</w:t>
      </w:r>
    </w:p>
    <w:p>
      <w:pPr>
        <w:jc w:val="both"/>
        <w:spacing w:after="0" w:line="284" w:lineRule="auto"/>
        <w:rPr>
          <w:sz w:val="20"/>
          <w:szCs w:val="20"/>
          <w:color w:val="auto"/>
        </w:rPr>
      </w:pPr>
      <w:r>
        <w:rPr>
          <w:rFonts w:ascii="Arial" w:cs="Arial" w:eastAsia="Arial" w:hAnsi="Arial"/>
          <w:sz w:val="9"/>
          <w:szCs w:val="9"/>
          <w:color w:val="auto"/>
        </w:rPr>
        <w:t>2</w:t>
      </w:r>
      <w:r>
        <w:rPr>
          <w:rFonts w:ascii="Arial" w:cs="Arial" w:eastAsia="Arial" w:hAnsi="Arial"/>
          <w:sz w:val="14"/>
          <w:szCs w:val="14"/>
          <w:color w:val="auto"/>
        </w:rPr>
        <w:t>Forfeited includes restricted stock unit awards and performance unit awards forfeited for service requirements not met and performance unit awards not settled due to</w:t>
      </w:r>
      <w:r>
        <w:rPr>
          <w:rFonts w:ascii="Arial" w:cs="Arial" w:eastAsia="Arial" w:hAnsi="Arial"/>
          <w:sz w:val="9"/>
          <w:szCs w:val="9"/>
          <w:color w:val="auto"/>
        </w:rPr>
        <w:t xml:space="preserve"> </w:t>
      </w:r>
      <w:r>
        <w:rPr>
          <w:rFonts w:ascii="Arial" w:cs="Arial" w:eastAsia="Arial" w:hAnsi="Arial"/>
          <w:sz w:val="14"/>
          <w:szCs w:val="14"/>
          <w:color w:val="auto"/>
        </w:rPr>
        <w:t>underachievement of performance measures.</w:t>
      </w:r>
    </w:p>
    <w:p>
      <w:pPr>
        <w:spacing w:after="0" w:line="4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Of the 161 unit awards granted in fiscal 2025, 114 were restricted stock unit awards and 47 were performance unit awards. The restricted stock unit awards were valued at the weighted average fair value of the non-vested units based on the fair market value of the Company’s equity shares on the grant date, less the present value of expected future dividends to be declared during the vesting period, consistent with the methodology for calculating compensation expense on such awards.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18 of the performance unit awards granted in fiscal 2025 were valued at grant by estimating 100% payout at release and using the fair market value of the Company equity shares on the grant date, less the present value of expected future dividends to be declared during the vesting period. The payout at release of approximately half of these performance unit awards will be determined based on the Company's compound annual growth rate for revenue (excluding adjustments) for the three-year vesting period compared against goal thresholds as defined in the award agreement. The performance payout at release of the other half of these performance unit awards will be determined based on the expansion of the Company's non-GAAP operating margin over the three-year vesting period compared against goal thresholds as defined in the award agreement. 26 of the performance unit awards have market conditions and were valued at grant using a Monte Carlo pricing model as of the measurement date customized to the specific provisions of the Company’s plan design. The remaining 3 performance unit awards had other performance targets. Per the Company's award vesting and settlement provisions, the performance unit awards that utilize a Monte Carlo pricing model were valued at grant on the basis of Total Shareholder Return (“TSR”) in comparison to the compensation peer group made up of participants approved by the Human Capital &amp; Compensation Committee of the Company's Board of Directors for fiscal year 2025. The Monte Carlo inputs used in the model to estimate fair value at the measurement date and resulting values for these performance unit awards are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Monte Carlo award inputs:</w:t>
            </w:r>
          </w:p>
        </w:tc>
        <w:tc>
          <w:tcPr>
            <w:tcW w:w="3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Fiscal 2025</w:t>
            </w:r>
          </w:p>
        </w:tc>
      </w:tr>
      <w:tr>
        <w:trPr>
          <w:trHeight w:val="229"/>
        </w:trPr>
        <w:tc>
          <w:tcPr>
            <w:tcW w:w="20" w:type="dxa"/>
            <w:vAlign w:val="bottom"/>
            <w:tcBorders>
              <w:top w:val="single" w:sz="8" w:color="CCEEFF"/>
            </w:tcBorders>
          </w:tcPr>
          <w:p>
            <w:pPr>
              <w:spacing w:after="0"/>
              <w:rPr>
                <w:sz w:val="19"/>
                <w:szCs w:val="19"/>
                <w:color w:val="auto"/>
              </w:rPr>
            </w:pPr>
          </w:p>
        </w:tc>
        <w:tc>
          <w:tcPr>
            <w:tcW w:w="2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Compensation Peer Group:</w:t>
            </w:r>
          </w:p>
        </w:tc>
        <w:tc>
          <w:tcPr>
            <w:tcW w:w="5020" w:type="dxa"/>
            <w:vAlign w:val="bottom"/>
            <w:tcBorders>
              <w:top w:val="single" w:sz="8" w:color="CCEEFF"/>
            </w:tcBorders>
          </w:tcPr>
          <w:p>
            <w:pPr>
              <w:spacing w:after="0"/>
              <w:rPr>
                <w:sz w:val="19"/>
                <w:szCs w:val="19"/>
                <w:color w:val="auto"/>
              </w:rPr>
            </w:pPr>
          </w:p>
        </w:tc>
        <w:tc>
          <w:tcPr>
            <w:tcW w:w="2640" w:type="dxa"/>
            <w:vAlign w:val="bottom"/>
            <w:tcBorders>
              <w:top w:val="single" w:sz="8" w:color="CCEEFF"/>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Volatility</w:t>
            </w:r>
          </w:p>
        </w:tc>
        <w:tc>
          <w:tcPr>
            <w:tcW w:w="3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24.5 %</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Risk free interest rate</w:t>
            </w:r>
          </w:p>
        </w:tc>
        <w:tc>
          <w:tcPr>
            <w:tcW w:w="39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3.72 %</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Annual dividend based on most recent quarterly dividend</w:t>
            </w:r>
          </w:p>
        </w:tc>
        <w:tc>
          <w:tcPr>
            <w:tcW w:w="3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$2.20</w:t>
            </w:r>
          </w:p>
        </w:tc>
      </w:tr>
      <w:tr>
        <w:trPr>
          <w:trHeight w:val="229"/>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Dividend yield</w:t>
            </w:r>
          </w:p>
        </w:tc>
        <w:tc>
          <w:tcPr>
            <w:tcW w:w="39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1.29 %</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Beginning average percentile rank for TSR</w:t>
            </w:r>
          </w:p>
        </w:tc>
        <w:tc>
          <w:tcPr>
            <w:tcW w:w="3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41.0 %</w:t>
            </w:r>
          </w:p>
        </w:tc>
      </w:tr>
    </w:tbl>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March 31, 2025, there was $23,793 of compensation expense that has yet to be recognized related to non-vested restricted stock unit and performance unit awards, which will be recognized over a weighted average period of 1.23 years.</w:t>
      </w:r>
    </w:p>
    <w:p>
      <w:pPr>
        <w:spacing w:after="0" w:line="7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9.</w:t>
        <w:tab/>
        <w:t>EARNINGS PER SHARE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reconciliation between basic and diluted earnings per share.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800" w:type="dxa"/>
            <w:vAlign w:val="bottom"/>
          </w:tcPr>
          <w:p>
            <w:pPr>
              <w:spacing w:after="0"/>
              <w:rPr>
                <w:sz w:val="20"/>
                <w:szCs w:val="20"/>
                <w:color w:val="auto"/>
              </w:rPr>
            </w:pPr>
          </w:p>
        </w:tc>
        <w:tc>
          <w:tcPr>
            <w:tcW w:w="2760" w:type="dxa"/>
            <w:vAlign w:val="bottom"/>
            <w:gridSpan w:val="8"/>
          </w:tcPr>
          <w:p>
            <w:pPr>
              <w:ind w:left="60"/>
              <w:spacing w:after="0"/>
              <w:rPr>
                <w:sz w:val="20"/>
                <w:szCs w:val="20"/>
                <w:color w:val="auto"/>
              </w:rPr>
            </w:pPr>
            <w:r>
              <w:rPr>
                <w:rFonts w:ascii="Arial" w:cs="Arial" w:eastAsia="Arial" w:hAnsi="Arial"/>
                <w:sz w:val="18"/>
                <w:szCs w:val="18"/>
                <w:color w:val="auto"/>
              </w:rPr>
              <w:t>Three Months Ended March 31,</w:t>
            </w:r>
          </w:p>
        </w:tc>
        <w:tc>
          <w:tcPr>
            <w:tcW w:w="120" w:type="dxa"/>
            <w:vAlign w:val="bottom"/>
          </w:tcPr>
          <w:p>
            <w:pPr>
              <w:spacing w:after="0"/>
              <w:rPr>
                <w:sz w:val="20"/>
                <w:szCs w:val="20"/>
                <w:color w:val="auto"/>
              </w:rPr>
            </w:pPr>
          </w:p>
        </w:tc>
        <w:tc>
          <w:tcPr>
            <w:tcW w:w="2560" w:type="dxa"/>
            <w:vAlign w:val="bottom"/>
            <w:gridSpan w:val="7"/>
          </w:tcPr>
          <w:p>
            <w:pPr>
              <w:jc w:val="right"/>
              <w:ind w:right="120"/>
              <w:spacing w:after="0"/>
              <w:rPr>
                <w:sz w:val="20"/>
                <w:szCs w:val="20"/>
                <w:color w:val="auto"/>
              </w:rPr>
            </w:pPr>
            <w:r>
              <w:rPr>
                <w:rFonts w:ascii="Arial" w:cs="Arial" w:eastAsia="Arial" w:hAnsi="Arial"/>
                <w:sz w:val="18"/>
                <w:szCs w:val="18"/>
                <w:color w:val="auto"/>
                <w:w w:val="99"/>
              </w:rPr>
              <w:t>Nine Months Ended March 31,</w:t>
            </w:r>
          </w:p>
        </w:tc>
        <w:tc>
          <w:tcPr>
            <w:tcW w:w="0" w:type="dxa"/>
            <w:vAlign w:val="bottom"/>
          </w:tcPr>
          <w:p>
            <w:pPr>
              <w:spacing w:after="0"/>
              <w:rPr>
                <w:sz w:val="1"/>
                <w:szCs w:val="1"/>
                <w:color w:val="auto"/>
              </w:rPr>
            </w:pPr>
          </w:p>
        </w:tc>
      </w:tr>
      <w:tr>
        <w:trPr>
          <w:trHeight w:val="183"/>
        </w:trPr>
        <w:tc>
          <w:tcPr>
            <w:tcW w:w="58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2025</w:t>
            </w:r>
          </w:p>
        </w:tc>
        <w:tc>
          <w:tcPr>
            <w:tcW w:w="4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2024</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3"/>
          </w:tcPr>
          <w:p>
            <w:pPr>
              <w:jc w:val="right"/>
              <w:ind w:right="440"/>
              <w:spacing w:after="0" w:line="182" w:lineRule="exact"/>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2024</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111,108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87,099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328,144</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280,743</w:t>
            </w: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 information:</w:t>
            </w: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20"/>
              <w:spacing w:after="0"/>
              <w:rPr>
                <w:sz w:val="20"/>
                <w:szCs w:val="20"/>
                <w:color w:val="auto"/>
              </w:rPr>
            </w:pPr>
            <w:r>
              <w:rPr>
                <w:rFonts w:ascii="Arial" w:cs="Arial" w:eastAsia="Arial" w:hAnsi="Arial"/>
                <w:sz w:val="18"/>
                <w:szCs w:val="18"/>
                <w:color w:val="auto"/>
              </w:rPr>
              <w:t>Weighted average shares outstanding for basic earnings per share</w:t>
            </w:r>
          </w:p>
        </w:tc>
        <w:tc>
          <w:tcPr>
            <w:tcW w:w="4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72,851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72,872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72,893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72,860</w:t>
            </w:r>
          </w:p>
        </w:tc>
        <w:tc>
          <w:tcPr>
            <w:tcW w:w="0" w:type="dxa"/>
            <w:vAlign w:val="bottom"/>
          </w:tcPr>
          <w:p>
            <w:pPr>
              <w:spacing w:after="0"/>
              <w:rPr>
                <w:sz w:val="1"/>
                <w:szCs w:val="1"/>
                <w:color w:val="auto"/>
              </w:rPr>
            </w:pPr>
          </w:p>
        </w:tc>
      </w:tr>
      <w:tr>
        <w:trPr>
          <w:trHeight w:val="175"/>
        </w:trPr>
        <w:tc>
          <w:tcPr>
            <w:tcW w:w="58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Dilutive effect of stock options, restricted stock units, and</w:t>
            </w:r>
          </w:p>
        </w:tc>
        <w:tc>
          <w:tcPr>
            <w:tcW w:w="44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162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165</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performance units</w:t>
            </w:r>
          </w:p>
        </w:tc>
        <w:tc>
          <w:tcPr>
            <w:tcW w:w="4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gridSpan w:val="3"/>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800" w:type="dxa"/>
            <w:vAlign w:val="bottom"/>
          </w:tcPr>
          <w:p>
            <w:pPr>
              <w:ind w:left="20"/>
              <w:spacing w:after="0"/>
              <w:rPr>
                <w:sz w:val="20"/>
                <w:szCs w:val="20"/>
                <w:color w:val="auto"/>
              </w:rPr>
            </w:pPr>
            <w:r>
              <w:rPr>
                <w:rFonts w:ascii="Arial" w:cs="Arial" w:eastAsia="Arial" w:hAnsi="Arial"/>
                <w:sz w:val="18"/>
                <w:szCs w:val="18"/>
                <w:color w:val="auto"/>
              </w:rPr>
              <w:t>Weighted average shares outstanding for diluted earnings per share</w:t>
            </w: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73,013</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73,031</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73,058</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73,010</w:t>
            </w: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1.53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4.50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47"/>
        </w:trPr>
        <w:tc>
          <w:tcPr>
            <w:tcW w:w="580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1.52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4.49</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 share information is based on the weighted average number of common shares outstanding for the three and nine months ended March 31, 2025, and 2024. Stock options, restricted stock units, and performance units have been included in the calculation of diluted earnings per share to the extent they are dilutive. There were 32 and 30 anti-dilutive stock options, restricted stock units, or performance units excluded for the three and nine months ended March 31, 2025, respectively, and 31 and 29 were excluded for the three and nine months ended March 31, 2024, respectively.</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NOTE 10.</w:t>
      </w:r>
      <w:r>
        <w:rPr>
          <w:sz w:val="20"/>
          <w:szCs w:val="20"/>
          <w:color w:val="auto"/>
        </w:rPr>
        <w:tab/>
      </w:r>
      <w:r>
        <w:rPr>
          <w:rFonts w:ascii="Arial" w:cs="Arial" w:eastAsia="Arial" w:hAnsi="Arial"/>
          <w:sz w:val="17"/>
          <w:szCs w:val="17"/>
          <w:color w:val="auto"/>
        </w:rPr>
        <w:t>REPORTABLE SEGMENT INFORMATION</w:t>
      </w:r>
    </w:p>
    <w:p>
      <w:pPr>
        <w:spacing w:after="0" w:line="252"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The Company is a well-rounded financial technology company and is a leading provider of technology solutions and payment processing services primarily to community and regional financial institutions.</w:t>
      </w:r>
    </w:p>
    <w:p>
      <w:pPr>
        <w:spacing w:after="0" w:line="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operations are classified into four reportable segments: Core, Payments, Complementary, and Corporate and Other. The Core segment provides core information processing platforms to banks and credit unions, which consist of integrated applications required to process deposit, loan, and general ledger transactions, and maintain centralized customer/member information. The Payments segment provides secure payment processing tools and services, including ATM, debit, and credit card processing services, online and mobile bill pay solutions, Automated Clearing House (“ACH”) origination and remote deposit capture processing, and risk management products and services. The Complementary segment provides additional software, hosted processing platforms, and services, including digital/mobile banking, treasury services, online account opening, fraud/anti-money laundering (“AML”) and lending/deposit solutions that can be integrated with the Company's Core solutions, and many can be used independently. The Corporate and Other segment includes revenue and costs from hardware and other products not attributed to any of the other three segments, as well as operating expenses not directly attributable to the other three segments.</w:t>
      </w:r>
    </w:p>
    <w:p>
      <w:pPr>
        <w:spacing w:after="0" w:line="6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evaluates the performance of its segments and allocates resources to them based on various factors, including performance against trend, budget, and forecast. Only revenue and costs of revenue are considered in the evaluation for each segment.</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Immaterial adjustments have been made between segments to reclassify cost of revenue that was recognized for the three and nine months ended March 31, 2024. These reclasses were made to be consistent with the current allocation of cost of revenue by segment. Cost of revenue reclassed for the three and nine months ended March 31, 2024, from Complementary to Corporate and Other, was $1,195 and $3,710, respectively.</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3"/>
          </w:tcPr>
          <w:p>
            <w:pPr>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March 31, 2025</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Core</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Payments</w:t>
            </w:r>
          </w:p>
        </w:tc>
        <w:tc>
          <w:tcPr>
            <w:tcW w:w="160" w:type="dxa"/>
            <w:vAlign w:val="bottom"/>
          </w:tcPr>
          <w:p>
            <w:pPr>
              <w:spacing w:after="0"/>
              <w:rPr>
                <w:sz w:val="13"/>
                <w:szCs w:val="13"/>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Complementary</w:t>
            </w:r>
          </w:p>
        </w:tc>
        <w:tc>
          <w:tcPr>
            <w:tcW w:w="140" w:type="dxa"/>
            <w:vAlign w:val="bottom"/>
          </w:tcPr>
          <w:p>
            <w:pPr>
              <w:spacing w:after="0"/>
              <w:rPr>
                <w:sz w:val="13"/>
                <w:szCs w:val="13"/>
                <w:color w:val="auto"/>
              </w:rPr>
            </w:pPr>
          </w:p>
        </w:tc>
        <w:tc>
          <w:tcPr>
            <w:tcW w:w="1360" w:type="dxa"/>
            <w:vAlign w:val="bottom"/>
          </w:tcPr>
          <w:p>
            <w:pPr>
              <w:jc w:val="right"/>
              <w:ind w:right="119"/>
              <w:spacing w:after="0" w:line="155" w:lineRule="exact"/>
              <w:rPr>
                <w:sz w:val="20"/>
                <w:szCs w:val="20"/>
                <w:color w:val="auto"/>
              </w:rPr>
            </w:pPr>
            <w:r>
              <w:rPr>
                <w:rFonts w:ascii="Arial" w:cs="Arial" w:eastAsia="Arial" w:hAnsi="Arial"/>
                <w:sz w:val="16"/>
                <w:szCs w:val="16"/>
                <w:b w:val="1"/>
                <w:bCs w:val="1"/>
                <w:color w:val="auto"/>
              </w:rPr>
              <w:t>Corporate and</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3"/>
        </w:trPr>
        <w:tc>
          <w:tcPr>
            <w:tcW w:w="3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3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459"/>
              <w:spacing w:after="0"/>
              <w:rPr>
                <w:sz w:val="20"/>
                <w:szCs w:val="20"/>
                <w:color w:val="auto"/>
              </w:rPr>
            </w:pPr>
            <w:r>
              <w:rPr>
                <w:rFonts w:ascii="Arial" w:cs="Arial" w:eastAsia="Arial" w:hAnsi="Arial"/>
                <w:sz w:val="16"/>
                <w:szCs w:val="16"/>
                <w:b w:val="1"/>
                <w:bCs w:val="1"/>
                <w:color w:val="auto"/>
              </w:rPr>
              <w:t>Other</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2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40"/>
              <w:spacing w:after="0"/>
              <w:rPr>
                <w:sz w:val="20"/>
                <w:szCs w:val="20"/>
                <w:color w:val="auto"/>
              </w:rPr>
            </w:pPr>
            <w:r>
              <w:rPr>
                <w:rFonts w:ascii="Arial" w:cs="Arial" w:eastAsia="Arial" w:hAnsi="Arial"/>
                <w:sz w:val="16"/>
                <w:szCs w:val="16"/>
                <w:color w:val="auto"/>
              </w:rPr>
              <w:t>Services and Support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170,262</w:t>
            </w: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22,834</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121,077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16,619</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330,792</w:t>
            </w: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Processing</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10,463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194,615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46,365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254,295</w:t>
            </w:r>
          </w:p>
        </w:tc>
        <w:tc>
          <w:tcPr>
            <w:tcW w:w="0" w:type="dxa"/>
            <w:vAlign w:val="bottom"/>
          </w:tcPr>
          <w:p>
            <w:pPr>
              <w:spacing w:after="0"/>
              <w:rPr>
                <w:sz w:val="1"/>
                <w:szCs w:val="1"/>
                <w:color w:val="auto"/>
              </w:rPr>
            </w:pPr>
          </w:p>
        </w:tc>
      </w:tr>
      <w:tr>
        <w:trPr>
          <w:trHeight w:val="209"/>
        </w:trPr>
        <w:tc>
          <w:tcPr>
            <w:tcW w:w="3240" w:type="dxa"/>
            <w:vAlign w:val="bottom"/>
            <w:tcBorders>
              <w:bottom w:val="single" w:sz="8" w:color="CCEEFF"/>
            </w:tcBorders>
          </w:tcPr>
          <w:p>
            <w:pPr>
              <w:ind w:left="560"/>
              <w:spacing w:after="0"/>
              <w:rPr>
                <w:sz w:val="20"/>
                <w:szCs w:val="20"/>
                <w:color w:val="auto"/>
              </w:rPr>
            </w:pPr>
            <w:r>
              <w:rPr>
                <w:rFonts w:ascii="Arial" w:cs="Arial" w:eastAsia="Arial" w:hAnsi="Arial"/>
                <w:sz w:val="16"/>
                <w:szCs w:val="16"/>
                <w:b w:val="1"/>
                <w:bCs w:val="1"/>
                <w:color w:val="auto"/>
              </w:rPr>
              <w:t>Total Revenue</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180,725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217,449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167,442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19,471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585,087</w:t>
            </w:r>
          </w:p>
        </w:tc>
        <w:tc>
          <w:tcPr>
            <w:tcW w:w="0" w:type="dxa"/>
            <w:vAlign w:val="bottom"/>
          </w:tcPr>
          <w:p>
            <w:pPr>
              <w:spacing w:after="0"/>
              <w:rPr>
                <w:sz w:val="1"/>
                <w:szCs w:val="1"/>
                <w:color w:val="auto"/>
              </w:rPr>
            </w:pPr>
          </w:p>
        </w:tc>
      </w:tr>
      <w:tr>
        <w:trPr>
          <w:trHeight w:val="250"/>
        </w:trPr>
        <w:tc>
          <w:tcPr>
            <w:tcW w:w="3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24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75,258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116,266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67,836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81,226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340,586</w:t>
            </w: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3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39,411</w:t>
            </w:r>
          </w:p>
        </w:tc>
        <w:tc>
          <w:tcPr>
            <w:tcW w:w="0" w:type="dxa"/>
            <w:vAlign w:val="bottom"/>
          </w:tcPr>
          <w:p>
            <w:pPr>
              <w:spacing w:after="0"/>
              <w:rPr>
                <w:sz w:val="1"/>
                <w:szCs w:val="1"/>
                <w:color w:val="auto"/>
              </w:rPr>
            </w:pPr>
          </w:p>
        </w:tc>
      </w:tr>
      <w:tr>
        <w:trPr>
          <w:trHeight w:val="215"/>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Borders>
              <w:bottom w:val="single" w:sz="8" w:color="CECECE"/>
            </w:tcBorders>
            <w:shd w:val="clear" w:color="auto" w:fill="CECECE"/>
          </w:tcPr>
          <w:p>
            <w:pPr>
              <w:spacing w:after="0"/>
              <w:rPr>
                <w:sz w:val="18"/>
                <w:szCs w:val="18"/>
                <w:color w:val="auto"/>
              </w:rPr>
            </w:pPr>
          </w:p>
        </w:tc>
        <w:tc>
          <w:tcPr>
            <w:tcW w:w="11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40" w:type="dxa"/>
            <w:vAlign w:val="bottom"/>
            <w:tcBorders>
              <w:bottom w:val="single" w:sz="8" w:color="CECECE"/>
            </w:tcBorders>
            <w:shd w:val="clear" w:color="auto" w:fill="CECECE"/>
          </w:tcPr>
          <w:p>
            <w:pPr>
              <w:spacing w:after="0"/>
              <w:rPr>
                <w:sz w:val="18"/>
                <w:szCs w:val="18"/>
                <w:color w:val="auto"/>
              </w:rPr>
            </w:pPr>
          </w:p>
        </w:tc>
        <w:tc>
          <w:tcPr>
            <w:tcW w:w="12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160" w:type="dxa"/>
            <w:vAlign w:val="bottom"/>
            <w:tcBorders>
              <w:bottom w:val="single" w:sz="8" w:color="CECECE"/>
            </w:tcBorders>
            <w:shd w:val="clear" w:color="auto" w:fill="CECECE"/>
          </w:tcPr>
          <w:p>
            <w:pPr>
              <w:spacing w:after="0"/>
              <w:rPr>
                <w:sz w:val="18"/>
                <w:szCs w:val="18"/>
                <w:color w:val="auto"/>
              </w:rPr>
            </w:pPr>
          </w:p>
        </w:tc>
        <w:tc>
          <w:tcPr>
            <w:tcW w:w="1480" w:type="dxa"/>
            <w:vAlign w:val="bottom"/>
            <w:tcBorders>
              <w:bottom w:val="single" w:sz="8" w:color="CECECE"/>
            </w:tcBorders>
            <w:shd w:val="clear" w:color="auto" w:fill="CECECE"/>
          </w:tcPr>
          <w:p>
            <w:pPr>
              <w:spacing w:after="0"/>
              <w:rPr>
                <w:sz w:val="18"/>
                <w:szCs w:val="18"/>
                <w:color w:val="auto"/>
              </w:rPr>
            </w:pPr>
          </w:p>
        </w:tc>
        <w:tc>
          <w:tcPr>
            <w:tcW w:w="120" w:type="dxa"/>
            <w:vAlign w:val="bottom"/>
            <w:tcBorders>
              <w:bottom w:val="single" w:sz="8" w:color="CECECE"/>
            </w:tcBorders>
            <w:shd w:val="clear" w:color="auto" w:fill="CECECE"/>
          </w:tcPr>
          <w:p>
            <w:pPr>
              <w:spacing w:after="0"/>
              <w:rPr>
                <w:sz w:val="18"/>
                <w:szCs w:val="18"/>
                <w:color w:val="auto"/>
              </w:rPr>
            </w:pPr>
          </w:p>
        </w:tc>
        <w:tc>
          <w:tcPr>
            <w:tcW w:w="140" w:type="dxa"/>
            <w:vAlign w:val="bottom"/>
            <w:tcBorders>
              <w:bottom w:val="single" w:sz="8" w:color="CECECE"/>
            </w:tcBorders>
            <w:shd w:val="clear" w:color="auto" w:fill="CECECE"/>
          </w:tcPr>
          <w:p>
            <w:pPr>
              <w:spacing w:after="0"/>
              <w:rPr>
                <w:sz w:val="18"/>
                <w:szCs w:val="18"/>
                <w:color w:val="auto"/>
              </w:rPr>
            </w:pPr>
          </w:p>
        </w:tc>
        <w:tc>
          <w:tcPr>
            <w:tcW w:w="13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66,350</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560"/>
              <w:spacing w:after="0"/>
              <w:rPr>
                <w:sz w:val="20"/>
                <w:szCs w:val="20"/>
                <w:color w:val="auto"/>
              </w:rPr>
            </w:pPr>
            <w:r>
              <w:rPr>
                <w:rFonts w:ascii="Arial" w:cs="Arial" w:eastAsia="Arial" w:hAnsi="Arial"/>
                <w:sz w:val="16"/>
                <w:szCs w:val="16"/>
                <w:b w:val="1"/>
                <w:bCs w:val="1"/>
                <w:color w:val="auto"/>
              </w:rPr>
              <w:t>Total Expenses</w:t>
            </w:r>
          </w:p>
        </w:tc>
        <w:tc>
          <w:tcPr>
            <w:tcW w:w="32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3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446,347</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gridSpan w:val="2"/>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INCOME</w:t>
            </w: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105,467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101,183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99,606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(61,755)</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3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138,740</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 (EXPENSE)</w:t>
            </w:r>
          </w:p>
        </w:tc>
        <w:tc>
          <w:tcPr>
            <w:tcW w:w="32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3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3,168</w:t>
            </w: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tcPr>
          <w:p>
            <w:pPr>
              <w:spacing w:after="0"/>
              <w:rPr>
                <w:sz w:val="22"/>
                <w:szCs w:val="22"/>
                <w:color w:val="auto"/>
              </w:rPr>
            </w:pPr>
          </w:p>
        </w:tc>
        <w:tc>
          <w:tcPr>
            <w:tcW w:w="320" w:type="dxa"/>
            <w:vAlign w:val="bottom"/>
            <w:tcBorders>
              <w:bottom w:val="single" w:sz="8" w:color="CECECE"/>
            </w:tcBorders>
          </w:tcPr>
          <w:p>
            <w:pPr>
              <w:spacing w:after="0"/>
              <w:rPr>
                <w:sz w:val="22"/>
                <w:szCs w:val="22"/>
                <w:color w:val="auto"/>
              </w:rPr>
            </w:pPr>
          </w:p>
        </w:tc>
        <w:tc>
          <w:tcPr>
            <w:tcW w:w="116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40" w:type="dxa"/>
            <w:vAlign w:val="bottom"/>
            <w:tcBorders>
              <w:bottom w:val="single" w:sz="8" w:color="CECECE"/>
            </w:tcBorders>
          </w:tcPr>
          <w:p>
            <w:pPr>
              <w:spacing w:after="0"/>
              <w:rPr>
                <w:sz w:val="22"/>
                <w:szCs w:val="22"/>
                <w:color w:val="auto"/>
              </w:rPr>
            </w:pPr>
          </w:p>
        </w:tc>
        <w:tc>
          <w:tcPr>
            <w:tcW w:w="126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160" w:type="dxa"/>
            <w:vAlign w:val="bottom"/>
            <w:tcBorders>
              <w:bottom w:val="single" w:sz="8" w:color="CECECE"/>
            </w:tcBorders>
          </w:tcPr>
          <w:p>
            <w:pPr>
              <w:spacing w:after="0"/>
              <w:rPr>
                <w:sz w:val="22"/>
                <w:szCs w:val="22"/>
                <w:color w:val="auto"/>
              </w:rPr>
            </w:pPr>
          </w:p>
        </w:tc>
        <w:tc>
          <w:tcPr>
            <w:tcW w:w="1480" w:type="dxa"/>
            <w:vAlign w:val="bottom"/>
            <w:tcBorders>
              <w:bottom w:val="single" w:sz="8" w:color="CECECE"/>
            </w:tcBorders>
          </w:tcPr>
          <w:p>
            <w:pPr>
              <w:spacing w:after="0"/>
              <w:rPr>
                <w:sz w:val="22"/>
                <w:szCs w:val="22"/>
                <w:color w:val="auto"/>
              </w:rPr>
            </w:pPr>
          </w:p>
        </w:tc>
        <w:tc>
          <w:tcPr>
            <w:tcW w:w="120" w:type="dxa"/>
            <w:vAlign w:val="bottom"/>
            <w:tcBorders>
              <w:bottom w:val="single" w:sz="8" w:color="CECECE"/>
            </w:tcBorders>
          </w:tcPr>
          <w:p>
            <w:pPr>
              <w:spacing w:after="0"/>
              <w:rPr>
                <w:sz w:val="22"/>
                <w:szCs w:val="22"/>
                <w:color w:val="auto"/>
              </w:rPr>
            </w:pPr>
          </w:p>
        </w:tc>
        <w:tc>
          <w:tcPr>
            <w:tcW w:w="140" w:type="dxa"/>
            <w:vAlign w:val="bottom"/>
            <w:tcBorders>
              <w:bottom w:val="single" w:sz="8" w:color="CECECE"/>
            </w:tcBorders>
          </w:tcPr>
          <w:p>
            <w:pPr>
              <w:spacing w:after="0"/>
              <w:rPr>
                <w:sz w:val="22"/>
                <w:szCs w:val="22"/>
                <w:color w:val="auto"/>
              </w:rPr>
            </w:pPr>
          </w:p>
        </w:tc>
        <w:tc>
          <w:tcPr>
            <w:tcW w:w="1360" w:type="dxa"/>
            <w:vAlign w:val="bottom"/>
            <w:tcBorders>
              <w:bottom w:val="single" w:sz="8" w:color="CECECE"/>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tcBorders>
              <w:bottom w:val="single" w:sz="8" w:color="CECECE"/>
            </w:tcBorders>
            <w:shd w:val="clear" w:color="auto" w:fill="CECECE"/>
          </w:tcPr>
          <w:p>
            <w:pPr>
              <w:spacing w:after="0"/>
              <w:rPr>
                <w:sz w:val="19"/>
                <w:szCs w:val="19"/>
                <w:color w:val="auto"/>
              </w:rPr>
            </w:pPr>
          </w:p>
        </w:tc>
        <w:tc>
          <w:tcPr>
            <w:tcW w:w="116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40" w:type="dxa"/>
            <w:vAlign w:val="bottom"/>
            <w:tcBorders>
              <w:bottom w:val="single" w:sz="8" w:color="CECECE"/>
            </w:tcBorders>
            <w:shd w:val="clear" w:color="auto" w:fill="CECECE"/>
          </w:tcPr>
          <w:p>
            <w:pPr>
              <w:spacing w:after="0"/>
              <w:rPr>
                <w:sz w:val="19"/>
                <w:szCs w:val="19"/>
                <w:color w:val="auto"/>
              </w:rPr>
            </w:pPr>
          </w:p>
        </w:tc>
        <w:tc>
          <w:tcPr>
            <w:tcW w:w="126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160" w:type="dxa"/>
            <w:vAlign w:val="bottom"/>
            <w:tcBorders>
              <w:bottom w:val="single" w:sz="8" w:color="CECECE"/>
            </w:tcBorders>
            <w:shd w:val="clear" w:color="auto" w:fill="CECECE"/>
          </w:tcPr>
          <w:p>
            <w:pPr>
              <w:spacing w:after="0"/>
              <w:rPr>
                <w:sz w:val="19"/>
                <w:szCs w:val="19"/>
                <w:color w:val="auto"/>
              </w:rPr>
            </w:pPr>
          </w:p>
        </w:tc>
        <w:tc>
          <w:tcPr>
            <w:tcW w:w="1480" w:type="dxa"/>
            <w:vAlign w:val="bottom"/>
            <w:tcBorders>
              <w:bottom w:val="single" w:sz="8" w:color="CECECE"/>
            </w:tcBorders>
            <w:shd w:val="clear" w:color="auto" w:fill="CECECE"/>
          </w:tcPr>
          <w:p>
            <w:pPr>
              <w:spacing w:after="0"/>
              <w:rPr>
                <w:sz w:val="19"/>
                <w:szCs w:val="19"/>
                <w:color w:val="auto"/>
              </w:rPr>
            </w:pPr>
          </w:p>
        </w:tc>
        <w:tc>
          <w:tcPr>
            <w:tcW w:w="120" w:type="dxa"/>
            <w:vAlign w:val="bottom"/>
            <w:tcBorders>
              <w:bottom w:val="single" w:sz="8" w:color="CECECE"/>
            </w:tcBorders>
            <w:shd w:val="clear" w:color="auto" w:fill="CECECE"/>
          </w:tcPr>
          <w:p>
            <w:pPr>
              <w:spacing w:after="0"/>
              <w:rPr>
                <w:sz w:val="19"/>
                <w:szCs w:val="19"/>
                <w:color w:val="auto"/>
              </w:rPr>
            </w:pPr>
          </w:p>
        </w:tc>
        <w:tc>
          <w:tcPr>
            <w:tcW w:w="140" w:type="dxa"/>
            <w:vAlign w:val="bottom"/>
            <w:tcBorders>
              <w:bottom w:val="single" w:sz="8" w:color="CECECE"/>
            </w:tcBorders>
            <w:shd w:val="clear" w:color="auto" w:fill="CECECE"/>
          </w:tcPr>
          <w:p>
            <w:pPr>
              <w:spacing w:after="0"/>
              <w:rPr>
                <w:sz w:val="19"/>
                <w:szCs w:val="19"/>
                <w:color w:val="auto"/>
              </w:rPr>
            </w:pPr>
          </w:p>
        </w:tc>
        <w:tc>
          <w:tcPr>
            <w:tcW w:w="1360" w:type="dxa"/>
            <w:vAlign w:val="bottom"/>
            <w:tcBorders>
              <w:bottom w:val="single" w:sz="8" w:color="CECECE"/>
            </w:tcBorders>
            <w:shd w:val="clear" w:color="auto" w:fill="CECEC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141,908</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ECECE"/>
            </w:tcBorders>
          </w:tcPr>
          <w:p>
            <w:pPr>
              <w:spacing w:after="0" w:line="20" w:lineRule="exact"/>
              <w:rPr>
                <w:sz w:val="1"/>
                <w:szCs w:val="1"/>
                <w:color w:val="auto"/>
              </w:rPr>
            </w:pPr>
          </w:p>
        </w:tc>
        <w:tc>
          <w:tcPr>
            <w:tcW w:w="116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240" w:type="dxa"/>
            <w:vAlign w:val="bottom"/>
            <w:tcBorders>
              <w:top w:val="single" w:sz="8" w:color="CECECE"/>
            </w:tcBorders>
          </w:tcPr>
          <w:p>
            <w:pPr>
              <w:spacing w:after="0" w:line="20" w:lineRule="exact"/>
              <w:rPr>
                <w:sz w:val="1"/>
                <w:szCs w:val="1"/>
                <w:color w:val="auto"/>
              </w:rPr>
            </w:pPr>
          </w:p>
        </w:tc>
        <w:tc>
          <w:tcPr>
            <w:tcW w:w="126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160" w:type="dxa"/>
            <w:vAlign w:val="bottom"/>
            <w:tcBorders>
              <w:top w:val="single" w:sz="8" w:color="CECECE"/>
            </w:tcBorders>
          </w:tcPr>
          <w:p>
            <w:pPr>
              <w:spacing w:after="0" w:line="20" w:lineRule="exact"/>
              <w:rPr>
                <w:sz w:val="1"/>
                <w:szCs w:val="1"/>
                <w:color w:val="auto"/>
              </w:rPr>
            </w:pPr>
          </w:p>
        </w:tc>
        <w:tc>
          <w:tcPr>
            <w:tcW w:w="1480" w:type="dxa"/>
            <w:vAlign w:val="bottom"/>
            <w:tcBorders>
              <w:top w:val="single" w:sz="8" w:color="CECECE"/>
            </w:tcBorders>
          </w:tcPr>
          <w:p>
            <w:pPr>
              <w:spacing w:after="0" w:line="20" w:lineRule="exact"/>
              <w:rPr>
                <w:sz w:val="1"/>
                <w:szCs w:val="1"/>
                <w:color w:val="auto"/>
              </w:rPr>
            </w:pPr>
          </w:p>
        </w:tc>
        <w:tc>
          <w:tcPr>
            <w:tcW w:w="120" w:type="dxa"/>
            <w:vAlign w:val="bottom"/>
            <w:tcBorders>
              <w:top w:val="single" w:sz="8" w:color="CECECE"/>
            </w:tcBorders>
          </w:tcPr>
          <w:p>
            <w:pPr>
              <w:spacing w:after="0" w:line="20" w:lineRule="exact"/>
              <w:rPr>
                <w:sz w:val="1"/>
                <w:szCs w:val="1"/>
                <w:color w:val="auto"/>
              </w:rPr>
            </w:pPr>
          </w:p>
        </w:tc>
        <w:tc>
          <w:tcPr>
            <w:tcW w:w="140" w:type="dxa"/>
            <w:vAlign w:val="bottom"/>
            <w:tcBorders>
              <w:top w:val="single" w:sz="8" w:color="CECECE"/>
            </w:tcBorders>
          </w:tcPr>
          <w:p>
            <w:pPr>
              <w:spacing w:after="0" w:line="20" w:lineRule="exact"/>
              <w:rPr>
                <w:sz w:val="1"/>
                <w:szCs w:val="1"/>
                <w:color w:val="auto"/>
              </w:rPr>
            </w:pPr>
          </w:p>
        </w:tc>
        <w:tc>
          <w:tcPr>
            <w:tcW w:w="1360" w:type="dxa"/>
            <w:vAlign w:val="bottom"/>
            <w:tcBorders>
              <w:top w:val="single" w:sz="8" w:color="CECEC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4"/>
        </w:trPr>
        <w:tc>
          <w:tcPr>
            <w:tcW w:w="3240" w:type="dxa"/>
            <w:vAlign w:val="bottom"/>
            <w:gridSpan w:val="3"/>
          </w:tcPr>
          <w:p>
            <w:pPr>
              <w:spacing w:after="0"/>
              <w:rPr>
                <w:sz w:val="20"/>
                <w:szCs w:val="20"/>
                <w:color w:val="auto"/>
              </w:rPr>
            </w:pPr>
            <w:r>
              <w:rPr>
                <w:rFonts w:ascii="Arial" w:cs="Arial" w:eastAsia="Arial" w:hAnsi="Arial"/>
                <w:sz w:val="16"/>
                <w:szCs w:val="16"/>
                <w:color w:val="0000FF"/>
              </w:rPr>
              <w:t>Table of Contents</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4"/>
        </w:trPr>
        <w:tc>
          <w:tcPr>
            <w:tcW w:w="2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1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3"/>
          </w:tcPr>
          <w:p>
            <w:pPr>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March 31, 2024</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Core</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Payments</w:t>
            </w:r>
          </w:p>
        </w:tc>
        <w:tc>
          <w:tcPr>
            <w:tcW w:w="160" w:type="dxa"/>
            <w:vAlign w:val="bottom"/>
          </w:tcPr>
          <w:p>
            <w:pPr>
              <w:spacing w:after="0"/>
              <w:rPr>
                <w:sz w:val="13"/>
                <w:szCs w:val="13"/>
                <w:color w:val="auto"/>
              </w:rPr>
            </w:pPr>
          </w:p>
        </w:tc>
        <w:tc>
          <w:tcPr>
            <w:tcW w:w="15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Complementary</w:t>
            </w:r>
          </w:p>
        </w:tc>
        <w:tc>
          <w:tcPr>
            <w:tcW w:w="160" w:type="dxa"/>
            <w:vAlign w:val="bottom"/>
          </w:tcPr>
          <w:p>
            <w:pPr>
              <w:spacing w:after="0"/>
              <w:rPr>
                <w:sz w:val="13"/>
                <w:szCs w:val="13"/>
                <w:color w:val="auto"/>
              </w:rPr>
            </w:pPr>
          </w:p>
        </w:tc>
        <w:tc>
          <w:tcPr>
            <w:tcW w:w="1340" w:type="dxa"/>
            <w:vAlign w:val="bottom"/>
          </w:tcPr>
          <w:p>
            <w:pPr>
              <w:jc w:val="right"/>
              <w:ind w:right="99"/>
              <w:spacing w:after="0" w:line="155" w:lineRule="exact"/>
              <w:rPr>
                <w:sz w:val="20"/>
                <w:szCs w:val="20"/>
                <w:color w:val="auto"/>
              </w:rPr>
            </w:pPr>
            <w:r>
              <w:rPr>
                <w:rFonts w:ascii="Arial" w:cs="Arial" w:eastAsia="Arial" w:hAnsi="Arial"/>
                <w:sz w:val="16"/>
                <w:szCs w:val="16"/>
                <w:b w:val="1"/>
                <w:bCs w:val="1"/>
                <w:color w:val="auto"/>
              </w:rPr>
              <w:t>Corporate and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3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439"/>
              <w:spacing w:after="0"/>
              <w:rPr>
                <w:sz w:val="20"/>
                <w:szCs w:val="20"/>
                <w:color w:val="auto"/>
              </w:rPr>
            </w:pPr>
            <w:r>
              <w:rPr>
                <w:rFonts w:ascii="Arial" w:cs="Arial" w:eastAsia="Arial" w:hAnsi="Arial"/>
                <w:sz w:val="16"/>
                <w:szCs w:val="16"/>
                <w:b w:val="1"/>
                <w:bCs w:val="1"/>
                <w:color w:val="auto"/>
              </w:rPr>
              <w:t>Other</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ind w:left="140"/>
              <w:spacing w:after="0"/>
              <w:rPr>
                <w:sz w:val="20"/>
                <w:szCs w:val="20"/>
                <w:color w:val="auto"/>
              </w:rPr>
            </w:pPr>
            <w:r>
              <w:rPr>
                <w:rFonts w:ascii="Arial" w:cs="Arial" w:eastAsia="Arial" w:hAnsi="Arial"/>
                <w:sz w:val="16"/>
                <w:szCs w:val="16"/>
                <w:color w:val="auto"/>
              </w:rPr>
              <w:t>Services and Support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156,421</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20,440</w:t>
            </w:r>
          </w:p>
        </w:tc>
        <w:tc>
          <w:tcPr>
            <w:tcW w:w="12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109,682</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18,474</w:t>
            </w:r>
          </w:p>
        </w:tc>
        <w:tc>
          <w:tcPr>
            <w:tcW w:w="42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305,017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Processing</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10,234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181,479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39,549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233,545</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b w:val="1"/>
                <w:bCs w:val="1"/>
                <w:color w:val="auto"/>
              </w:rPr>
              <w:t>Total Revenue</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166,655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201,919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149,231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20,757</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538,562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20" w:type="dxa"/>
            <w:vAlign w:val="bottom"/>
            <w:gridSpan w:val="2"/>
          </w:tcPr>
          <w:p>
            <w:pPr>
              <w:ind w:left="20"/>
              <w:spacing w:after="0"/>
              <w:rPr>
                <w:sz w:val="20"/>
                <w:szCs w:val="20"/>
                <w:color w:val="auto"/>
              </w:rPr>
            </w:pPr>
            <w:r>
              <w:rPr>
                <w:rFonts w:ascii="Arial" w:cs="Arial" w:eastAsia="Arial" w:hAnsi="Arial"/>
                <w:sz w:val="16"/>
                <w:szCs w:val="16"/>
                <w:color w:val="auto"/>
              </w:rPr>
              <w:t>Cost of Revenue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72,153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109,848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64,219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82,004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328,224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35,993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tcBorders>
              <w:bottom w:val="single" w:sz="8" w:color="CECECE"/>
            </w:tcBorders>
            <w:shd w:val="clear" w:color="auto" w:fill="CECECE"/>
          </w:tcPr>
          <w:p>
            <w:pPr>
              <w:spacing w:after="0"/>
              <w:rPr>
                <w:sz w:val="18"/>
                <w:szCs w:val="18"/>
                <w:color w:val="auto"/>
              </w:rPr>
            </w:pPr>
          </w:p>
        </w:tc>
        <w:tc>
          <w:tcPr>
            <w:tcW w:w="11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40" w:type="dxa"/>
            <w:vAlign w:val="bottom"/>
            <w:tcBorders>
              <w:bottom w:val="single" w:sz="8" w:color="CECECE"/>
            </w:tcBorders>
            <w:shd w:val="clear" w:color="auto" w:fill="CECECE"/>
          </w:tcPr>
          <w:p>
            <w:pPr>
              <w:spacing w:after="0"/>
              <w:rPr>
                <w:sz w:val="18"/>
                <w:szCs w:val="18"/>
                <w:color w:val="auto"/>
              </w:rPr>
            </w:pPr>
          </w:p>
        </w:tc>
        <w:tc>
          <w:tcPr>
            <w:tcW w:w="1240" w:type="dxa"/>
            <w:vAlign w:val="bottom"/>
            <w:tcBorders>
              <w:bottom w:val="single" w:sz="8" w:color="CECECE"/>
            </w:tcBorders>
            <w:shd w:val="clear" w:color="auto" w:fill="CECECE"/>
          </w:tcPr>
          <w:p>
            <w:pPr>
              <w:spacing w:after="0"/>
              <w:rPr>
                <w:sz w:val="18"/>
                <w:szCs w:val="18"/>
                <w:color w:val="auto"/>
              </w:rPr>
            </w:pPr>
          </w:p>
        </w:tc>
        <w:tc>
          <w:tcPr>
            <w:tcW w:w="120" w:type="dxa"/>
            <w:vAlign w:val="bottom"/>
            <w:tcBorders>
              <w:bottom w:val="single" w:sz="8" w:color="CECECE"/>
            </w:tcBorders>
            <w:shd w:val="clear" w:color="auto" w:fill="CECECE"/>
          </w:tcPr>
          <w:p>
            <w:pPr>
              <w:spacing w:after="0"/>
              <w:rPr>
                <w:sz w:val="18"/>
                <w:szCs w:val="18"/>
                <w:color w:val="auto"/>
              </w:rPr>
            </w:pPr>
          </w:p>
        </w:tc>
        <w:tc>
          <w:tcPr>
            <w:tcW w:w="160" w:type="dxa"/>
            <w:vAlign w:val="bottom"/>
            <w:tcBorders>
              <w:bottom w:val="single" w:sz="8" w:color="CECECE"/>
            </w:tcBorders>
            <w:shd w:val="clear" w:color="auto" w:fill="CECECE"/>
          </w:tcPr>
          <w:p>
            <w:pPr>
              <w:spacing w:after="0"/>
              <w:rPr>
                <w:sz w:val="18"/>
                <w:szCs w:val="18"/>
                <w:color w:val="auto"/>
              </w:rPr>
            </w:pPr>
          </w:p>
        </w:tc>
        <w:tc>
          <w:tcPr>
            <w:tcW w:w="148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160" w:type="dxa"/>
            <w:vAlign w:val="bottom"/>
            <w:tcBorders>
              <w:bottom w:val="single" w:sz="8" w:color="CECECE"/>
            </w:tcBorders>
            <w:shd w:val="clear" w:color="auto" w:fill="CECECE"/>
          </w:tcPr>
          <w:p>
            <w:pPr>
              <w:spacing w:after="0"/>
              <w:rPr>
                <w:sz w:val="18"/>
                <w:szCs w:val="18"/>
                <w:color w:val="auto"/>
              </w:rPr>
            </w:pPr>
          </w:p>
        </w:tc>
        <w:tc>
          <w:tcPr>
            <w:tcW w:w="134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62,246</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gridSpan w:val="2"/>
            <w:shd w:val="clear" w:color="auto" w:fill="CCEEFF"/>
          </w:tcPr>
          <w:p>
            <w:pPr>
              <w:ind w:left="540"/>
              <w:spacing w:after="0"/>
              <w:rPr>
                <w:sz w:val="20"/>
                <w:szCs w:val="20"/>
                <w:color w:val="auto"/>
              </w:rPr>
            </w:pPr>
            <w:r>
              <w:rPr>
                <w:rFonts w:ascii="Arial" w:cs="Arial" w:eastAsia="Arial" w:hAnsi="Arial"/>
                <w:sz w:val="16"/>
                <w:szCs w:val="16"/>
                <w:b w:val="1"/>
                <w:bCs w:val="1"/>
                <w:color w:val="auto"/>
              </w:rPr>
              <w:t>Total Expenses</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426,463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20" w:type="dxa"/>
            <w:vAlign w:val="bottom"/>
            <w:gridSpan w:val="2"/>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gridSpan w:val="2"/>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SEGMENT INCOME</w:t>
            </w: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94,502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92,071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85,012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(61,247)</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112,099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20" w:type="dxa"/>
            <w:vAlign w:val="bottom"/>
            <w:gridSpan w:val="2"/>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INCOME (EXPENSE)</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20" w:type="dxa"/>
            <w:vAlign w:val="bottom"/>
            <w:tcBorders>
              <w:bottom w:val="single" w:sz="8" w:color="CCEEFF"/>
            </w:tcBorders>
            <w:gridSpan w:val="2"/>
          </w:tcPr>
          <w:p>
            <w:pPr>
              <w:spacing w:after="0"/>
              <w:rPr>
                <w:sz w:val="22"/>
                <w:szCs w:val="22"/>
                <w:color w:val="auto"/>
              </w:rPr>
            </w:pPr>
          </w:p>
        </w:tc>
        <w:tc>
          <w:tcPr>
            <w:tcW w:w="340" w:type="dxa"/>
            <w:vAlign w:val="bottom"/>
            <w:tcBorders>
              <w:bottom w:val="single" w:sz="8" w:color="CECECE"/>
            </w:tcBorders>
          </w:tcPr>
          <w:p>
            <w:pPr>
              <w:spacing w:after="0"/>
              <w:rPr>
                <w:sz w:val="22"/>
                <w:szCs w:val="22"/>
                <w:color w:val="auto"/>
              </w:rPr>
            </w:pPr>
          </w:p>
        </w:tc>
        <w:tc>
          <w:tcPr>
            <w:tcW w:w="116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40" w:type="dxa"/>
            <w:vAlign w:val="bottom"/>
            <w:tcBorders>
              <w:bottom w:val="single" w:sz="8" w:color="CECECE"/>
            </w:tcBorders>
          </w:tcPr>
          <w:p>
            <w:pPr>
              <w:spacing w:after="0"/>
              <w:rPr>
                <w:sz w:val="22"/>
                <w:szCs w:val="22"/>
                <w:color w:val="auto"/>
              </w:rPr>
            </w:pPr>
          </w:p>
        </w:tc>
        <w:tc>
          <w:tcPr>
            <w:tcW w:w="1240" w:type="dxa"/>
            <w:vAlign w:val="bottom"/>
            <w:tcBorders>
              <w:bottom w:val="single" w:sz="8" w:color="CECECE"/>
            </w:tcBorders>
          </w:tcPr>
          <w:p>
            <w:pPr>
              <w:spacing w:after="0"/>
              <w:rPr>
                <w:sz w:val="22"/>
                <w:szCs w:val="22"/>
                <w:color w:val="auto"/>
              </w:rPr>
            </w:pPr>
          </w:p>
        </w:tc>
        <w:tc>
          <w:tcPr>
            <w:tcW w:w="120" w:type="dxa"/>
            <w:vAlign w:val="bottom"/>
            <w:tcBorders>
              <w:bottom w:val="single" w:sz="8" w:color="CECECE"/>
            </w:tcBorders>
          </w:tcPr>
          <w:p>
            <w:pPr>
              <w:spacing w:after="0"/>
              <w:rPr>
                <w:sz w:val="22"/>
                <w:szCs w:val="22"/>
                <w:color w:val="auto"/>
              </w:rPr>
            </w:pPr>
          </w:p>
        </w:tc>
        <w:tc>
          <w:tcPr>
            <w:tcW w:w="160" w:type="dxa"/>
            <w:vAlign w:val="bottom"/>
            <w:tcBorders>
              <w:bottom w:val="single" w:sz="8" w:color="CECECE"/>
            </w:tcBorders>
          </w:tcPr>
          <w:p>
            <w:pPr>
              <w:spacing w:after="0"/>
              <w:rPr>
                <w:sz w:val="22"/>
                <w:szCs w:val="22"/>
                <w:color w:val="auto"/>
              </w:rPr>
            </w:pPr>
          </w:p>
        </w:tc>
        <w:tc>
          <w:tcPr>
            <w:tcW w:w="148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160" w:type="dxa"/>
            <w:vAlign w:val="bottom"/>
            <w:tcBorders>
              <w:bottom w:val="single" w:sz="8" w:color="CECECE"/>
            </w:tcBorders>
          </w:tcPr>
          <w:p>
            <w:pPr>
              <w:spacing w:after="0"/>
              <w:rPr>
                <w:sz w:val="22"/>
                <w:szCs w:val="22"/>
                <w:color w:val="auto"/>
              </w:rPr>
            </w:pPr>
          </w:p>
        </w:tc>
        <w:tc>
          <w:tcPr>
            <w:tcW w:w="1340" w:type="dxa"/>
            <w:vAlign w:val="bottom"/>
            <w:tcBorders>
              <w:bottom w:val="single" w:sz="8" w:color="CECECE"/>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19"/>
                <w:szCs w:val="19"/>
                <w:color w:val="auto"/>
              </w:rPr>
            </w:pP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40" w:type="dxa"/>
            <w:vAlign w:val="bottom"/>
            <w:tcBorders>
              <w:bottom w:val="single" w:sz="8" w:color="CECECE"/>
            </w:tcBorders>
            <w:shd w:val="clear" w:color="auto" w:fill="CECECE"/>
          </w:tcPr>
          <w:p>
            <w:pPr>
              <w:spacing w:after="0"/>
              <w:rPr>
                <w:sz w:val="19"/>
                <w:szCs w:val="19"/>
                <w:color w:val="auto"/>
              </w:rPr>
            </w:pPr>
          </w:p>
        </w:tc>
        <w:tc>
          <w:tcPr>
            <w:tcW w:w="116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40" w:type="dxa"/>
            <w:vAlign w:val="bottom"/>
            <w:tcBorders>
              <w:bottom w:val="single" w:sz="8" w:color="CECECE"/>
            </w:tcBorders>
            <w:shd w:val="clear" w:color="auto" w:fill="CECECE"/>
          </w:tcPr>
          <w:p>
            <w:pPr>
              <w:spacing w:after="0"/>
              <w:rPr>
                <w:sz w:val="19"/>
                <w:szCs w:val="19"/>
                <w:color w:val="auto"/>
              </w:rPr>
            </w:pPr>
          </w:p>
        </w:tc>
        <w:tc>
          <w:tcPr>
            <w:tcW w:w="1240" w:type="dxa"/>
            <w:vAlign w:val="bottom"/>
            <w:tcBorders>
              <w:bottom w:val="single" w:sz="8" w:color="CECECE"/>
            </w:tcBorders>
            <w:shd w:val="clear" w:color="auto" w:fill="CECECE"/>
          </w:tcPr>
          <w:p>
            <w:pPr>
              <w:spacing w:after="0"/>
              <w:rPr>
                <w:sz w:val="19"/>
                <w:szCs w:val="19"/>
                <w:color w:val="auto"/>
              </w:rPr>
            </w:pPr>
          </w:p>
        </w:tc>
        <w:tc>
          <w:tcPr>
            <w:tcW w:w="120" w:type="dxa"/>
            <w:vAlign w:val="bottom"/>
            <w:tcBorders>
              <w:bottom w:val="single" w:sz="8" w:color="CECECE"/>
            </w:tcBorders>
            <w:shd w:val="clear" w:color="auto" w:fill="CECECE"/>
          </w:tcPr>
          <w:p>
            <w:pPr>
              <w:spacing w:after="0"/>
              <w:rPr>
                <w:sz w:val="19"/>
                <w:szCs w:val="19"/>
                <w:color w:val="auto"/>
              </w:rPr>
            </w:pPr>
          </w:p>
        </w:tc>
        <w:tc>
          <w:tcPr>
            <w:tcW w:w="160" w:type="dxa"/>
            <w:vAlign w:val="bottom"/>
            <w:tcBorders>
              <w:bottom w:val="single" w:sz="8" w:color="CECECE"/>
            </w:tcBorders>
            <w:shd w:val="clear" w:color="auto" w:fill="CECECE"/>
          </w:tcPr>
          <w:p>
            <w:pPr>
              <w:spacing w:after="0"/>
              <w:rPr>
                <w:sz w:val="19"/>
                <w:szCs w:val="19"/>
                <w:color w:val="auto"/>
              </w:rPr>
            </w:pPr>
          </w:p>
        </w:tc>
        <w:tc>
          <w:tcPr>
            <w:tcW w:w="148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160" w:type="dxa"/>
            <w:vAlign w:val="bottom"/>
            <w:tcBorders>
              <w:bottom w:val="single" w:sz="8" w:color="CECECE"/>
            </w:tcBorders>
            <w:shd w:val="clear" w:color="auto" w:fill="CECECE"/>
          </w:tcPr>
          <w:p>
            <w:pPr>
              <w:spacing w:after="0"/>
              <w:rPr>
                <w:sz w:val="19"/>
                <w:szCs w:val="19"/>
                <w:color w:val="auto"/>
              </w:rPr>
            </w:pPr>
          </w:p>
        </w:tc>
        <w:tc>
          <w:tcPr>
            <w:tcW w:w="1340" w:type="dxa"/>
            <w:vAlign w:val="bottom"/>
            <w:tcBorders>
              <w:bottom w:val="single" w:sz="8" w:color="CECECE"/>
            </w:tcBorders>
            <w:shd w:val="clear" w:color="auto" w:fill="CECEC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114,165</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ECECE"/>
            </w:tcBorders>
          </w:tcPr>
          <w:p>
            <w:pPr>
              <w:spacing w:after="0" w:line="20" w:lineRule="exact"/>
              <w:rPr>
                <w:sz w:val="1"/>
                <w:szCs w:val="1"/>
                <w:color w:val="auto"/>
              </w:rPr>
            </w:pPr>
          </w:p>
        </w:tc>
        <w:tc>
          <w:tcPr>
            <w:tcW w:w="116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240" w:type="dxa"/>
            <w:vAlign w:val="bottom"/>
            <w:tcBorders>
              <w:top w:val="single" w:sz="8" w:color="CECECE"/>
            </w:tcBorders>
          </w:tcPr>
          <w:p>
            <w:pPr>
              <w:spacing w:after="0" w:line="20" w:lineRule="exact"/>
              <w:rPr>
                <w:sz w:val="1"/>
                <w:szCs w:val="1"/>
                <w:color w:val="auto"/>
              </w:rPr>
            </w:pPr>
          </w:p>
        </w:tc>
        <w:tc>
          <w:tcPr>
            <w:tcW w:w="1240" w:type="dxa"/>
            <w:vAlign w:val="bottom"/>
            <w:tcBorders>
              <w:top w:val="single" w:sz="8" w:color="CECECE"/>
            </w:tcBorders>
          </w:tcPr>
          <w:p>
            <w:pPr>
              <w:spacing w:after="0" w:line="20" w:lineRule="exact"/>
              <w:rPr>
                <w:sz w:val="1"/>
                <w:szCs w:val="1"/>
                <w:color w:val="auto"/>
              </w:rPr>
            </w:pPr>
          </w:p>
        </w:tc>
        <w:tc>
          <w:tcPr>
            <w:tcW w:w="120" w:type="dxa"/>
            <w:vAlign w:val="bottom"/>
            <w:tcBorders>
              <w:top w:val="single" w:sz="8" w:color="CECECE"/>
            </w:tcBorders>
          </w:tcPr>
          <w:p>
            <w:pPr>
              <w:spacing w:after="0" w:line="20" w:lineRule="exact"/>
              <w:rPr>
                <w:sz w:val="1"/>
                <w:szCs w:val="1"/>
                <w:color w:val="auto"/>
              </w:rPr>
            </w:pPr>
          </w:p>
        </w:tc>
        <w:tc>
          <w:tcPr>
            <w:tcW w:w="1740" w:type="dxa"/>
            <w:vAlign w:val="bottom"/>
            <w:tcBorders>
              <w:top w:val="single" w:sz="8" w:color="CECECE"/>
              <w:bottom w:val="single" w:sz="8" w:color="CECECE"/>
            </w:tcBorders>
            <w:gridSpan w:val="3"/>
            <w:vMerge w:val="restart"/>
          </w:tcPr>
          <w:p>
            <w:pPr>
              <w:ind w:left="40"/>
              <w:spacing w:after="0"/>
              <w:rPr>
                <w:sz w:val="20"/>
                <w:szCs w:val="20"/>
                <w:color w:val="auto"/>
              </w:rPr>
            </w:pPr>
            <w:r>
              <w:rPr>
                <w:rFonts w:ascii="Arial" w:cs="Arial" w:eastAsia="Arial" w:hAnsi="Arial"/>
                <w:sz w:val="16"/>
                <w:szCs w:val="16"/>
                <w:b w:val="1"/>
                <w:bCs w:val="1"/>
                <w:color w:val="auto"/>
              </w:rPr>
              <w:t>Nine Months Ended</w:t>
            </w:r>
          </w:p>
        </w:tc>
        <w:tc>
          <w:tcPr>
            <w:tcW w:w="160" w:type="dxa"/>
            <w:vAlign w:val="bottom"/>
            <w:tcBorders>
              <w:top w:val="single" w:sz="8" w:color="CECECE"/>
            </w:tcBorders>
          </w:tcPr>
          <w:p>
            <w:pPr>
              <w:spacing w:after="0" w:line="20" w:lineRule="exact"/>
              <w:rPr>
                <w:sz w:val="1"/>
                <w:szCs w:val="1"/>
                <w:color w:val="auto"/>
              </w:rPr>
            </w:pPr>
          </w:p>
        </w:tc>
        <w:tc>
          <w:tcPr>
            <w:tcW w:w="1340" w:type="dxa"/>
            <w:vAlign w:val="bottom"/>
            <w:tcBorders>
              <w:top w:val="single" w:sz="8" w:color="CECEC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March 31, 2025</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REVENUE</w:t>
            </w:r>
          </w:p>
        </w:tc>
        <w:tc>
          <w:tcPr>
            <w:tcW w:w="340" w:type="dxa"/>
            <w:vAlign w:val="bottom"/>
          </w:tcPr>
          <w:p>
            <w:pPr>
              <w:spacing w:after="0"/>
              <w:rPr>
                <w:sz w:val="18"/>
                <w:szCs w:val="18"/>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Core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Payments</w:t>
            </w:r>
          </w:p>
        </w:tc>
        <w:tc>
          <w:tcPr>
            <w:tcW w:w="160" w:type="dxa"/>
            <w:vAlign w:val="bottom"/>
          </w:tcPr>
          <w:p>
            <w:pPr>
              <w:spacing w:after="0"/>
              <w:rPr>
                <w:sz w:val="18"/>
                <w:szCs w:val="18"/>
                <w:color w:val="auto"/>
              </w:rPr>
            </w:pPr>
          </w:p>
        </w:tc>
        <w:tc>
          <w:tcPr>
            <w:tcW w:w="1580" w:type="dxa"/>
            <w:vAlign w:val="bottom"/>
            <w:gridSpan w:val="2"/>
          </w:tcPr>
          <w:p>
            <w:pPr>
              <w:ind w:left="40"/>
              <w:spacing w:after="0"/>
              <w:rPr>
                <w:sz w:val="20"/>
                <w:szCs w:val="20"/>
                <w:color w:val="auto"/>
              </w:rPr>
            </w:pPr>
            <w:r>
              <w:rPr>
                <w:rFonts w:ascii="Arial" w:cs="Arial" w:eastAsia="Arial" w:hAnsi="Arial"/>
                <w:sz w:val="16"/>
                <w:szCs w:val="16"/>
                <w:b w:val="1"/>
                <w:bCs w:val="1"/>
                <w:color w:val="auto"/>
              </w:rPr>
              <w:t>Complementary</w:t>
            </w: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rPr>
              <w:t>Corporate &amp; Other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ind w:left="120"/>
              <w:spacing w:after="0"/>
              <w:rPr>
                <w:sz w:val="20"/>
                <w:szCs w:val="20"/>
                <w:color w:val="auto"/>
              </w:rPr>
            </w:pPr>
            <w:r>
              <w:rPr>
                <w:rFonts w:ascii="Arial" w:cs="Arial" w:eastAsia="Arial" w:hAnsi="Arial"/>
                <w:sz w:val="16"/>
                <w:szCs w:val="16"/>
                <w:color w:val="auto"/>
              </w:rPr>
              <w:t>Services and Support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518,247</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65,671</w:t>
            </w:r>
          </w:p>
        </w:tc>
        <w:tc>
          <w:tcPr>
            <w:tcW w:w="12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368,644</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57,936</w:t>
            </w:r>
          </w:p>
        </w:tc>
        <w:tc>
          <w:tcPr>
            <w:tcW w:w="42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1,010,498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Processing</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31,276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578,536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131,436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8,170</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749,418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322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b w:val="1"/>
                <w:bCs w:val="1"/>
                <w:color w:val="auto"/>
              </w:rPr>
              <w:t>Total Revenue</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549,523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644,207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500,080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66,106</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1,759,916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6"/>
                <w:szCs w:val="16"/>
                <w:color w:val="auto"/>
              </w:rPr>
              <w:t>Cost of Revenue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227,417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344,023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197,188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248,240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1,016,868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32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tcBorders>
              <w:bottom w:val="single" w:sz="8" w:color="CECECE"/>
            </w:tcBorders>
            <w:shd w:val="clear" w:color="auto" w:fill="CECECE"/>
          </w:tcPr>
          <w:p>
            <w:pPr>
              <w:spacing w:after="0"/>
              <w:rPr>
                <w:sz w:val="18"/>
                <w:szCs w:val="18"/>
                <w:color w:val="auto"/>
              </w:rPr>
            </w:pPr>
          </w:p>
        </w:tc>
        <w:tc>
          <w:tcPr>
            <w:tcW w:w="11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40" w:type="dxa"/>
            <w:vAlign w:val="bottom"/>
            <w:tcBorders>
              <w:bottom w:val="single" w:sz="8" w:color="CECECE"/>
            </w:tcBorders>
            <w:shd w:val="clear" w:color="auto" w:fill="CECECE"/>
          </w:tcPr>
          <w:p>
            <w:pPr>
              <w:spacing w:after="0"/>
              <w:rPr>
                <w:sz w:val="18"/>
                <w:szCs w:val="18"/>
                <w:color w:val="auto"/>
              </w:rPr>
            </w:pPr>
          </w:p>
        </w:tc>
        <w:tc>
          <w:tcPr>
            <w:tcW w:w="1240" w:type="dxa"/>
            <w:vAlign w:val="bottom"/>
            <w:tcBorders>
              <w:bottom w:val="single" w:sz="8" w:color="CECECE"/>
            </w:tcBorders>
            <w:shd w:val="clear" w:color="auto" w:fill="CECECE"/>
          </w:tcPr>
          <w:p>
            <w:pPr>
              <w:spacing w:after="0"/>
              <w:rPr>
                <w:sz w:val="18"/>
                <w:szCs w:val="18"/>
                <w:color w:val="auto"/>
              </w:rPr>
            </w:pPr>
          </w:p>
        </w:tc>
        <w:tc>
          <w:tcPr>
            <w:tcW w:w="120" w:type="dxa"/>
            <w:vAlign w:val="bottom"/>
            <w:tcBorders>
              <w:bottom w:val="single" w:sz="8" w:color="CECECE"/>
            </w:tcBorders>
            <w:shd w:val="clear" w:color="auto" w:fill="CECECE"/>
          </w:tcPr>
          <w:p>
            <w:pPr>
              <w:spacing w:after="0"/>
              <w:rPr>
                <w:sz w:val="18"/>
                <w:szCs w:val="18"/>
                <w:color w:val="auto"/>
              </w:rPr>
            </w:pPr>
          </w:p>
        </w:tc>
        <w:tc>
          <w:tcPr>
            <w:tcW w:w="160" w:type="dxa"/>
            <w:vAlign w:val="bottom"/>
            <w:tcBorders>
              <w:bottom w:val="single" w:sz="8" w:color="CECECE"/>
            </w:tcBorders>
            <w:shd w:val="clear" w:color="auto" w:fill="CECECE"/>
          </w:tcPr>
          <w:p>
            <w:pPr>
              <w:spacing w:after="0"/>
              <w:rPr>
                <w:sz w:val="18"/>
                <w:szCs w:val="18"/>
                <w:color w:val="auto"/>
              </w:rPr>
            </w:pPr>
          </w:p>
        </w:tc>
        <w:tc>
          <w:tcPr>
            <w:tcW w:w="148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160" w:type="dxa"/>
            <w:vAlign w:val="bottom"/>
            <w:tcBorders>
              <w:bottom w:val="single" w:sz="8" w:color="CECECE"/>
            </w:tcBorders>
            <w:shd w:val="clear" w:color="auto" w:fill="CECECE"/>
          </w:tcPr>
          <w:p>
            <w:pPr>
              <w:spacing w:after="0"/>
              <w:rPr>
                <w:sz w:val="18"/>
                <w:szCs w:val="18"/>
                <w:color w:val="auto"/>
              </w:rPr>
            </w:pPr>
          </w:p>
        </w:tc>
        <w:tc>
          <w:tcPr>
            <w:tcW w:w="134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209,839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ind w:left="540"/>
              <w:spacing w:after="0"/>
              <w:rPr>
                <w:sz w:val="20"/>
                <w:szCs w:val="20"/>
                <w:color w:val="auto"/>
              </w:rPr>
            </w:pPr>
            <w:r>
              <w:rPr>
                <w:rFonts w:ascii="Arial" w:cs="Arial" w:eastAsia="Arial" w:hAnsi="Arial"/>
                <w:sz w:val="16"/>
                <w:szCs w:val="16"/>
                <w:b w:val="1"/>
                <w:bCs w:val="1"/>
                <w:color w:val="auto"/>
              </w:rPr>
              <w:t>Total Expenses</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1,346,899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20" w:type="dxa"/>
            <w:vAlign w:val="bottom"/>
            <w:gridSpan w:val="2"/>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gridSpan w:val="2"/>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3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SEGMENT INCOME</w:t>
            </w: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322,106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300,184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302,892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(182,134)</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20" w:type="dxa"/>
            <w:vAlign w:val="bottom"/>
            <w:gridSpan w:val="2"/>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INCOME (EXPENSE)</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tcPr>
          <w:p>
            <w:pPr>
              <w:spacing w:after="0"/>
              <w:rPr>
                <w:sz w:val="22"/>
                <w:szCs w:val="22"/>
                <w:color w:val="auto"/>
              </w:rPr>
            </w:pPr>
          </w:p>
        </w:tc>
        <w:tc>
          <w:tcPr>
            <w:tcW w:w="3220" w:type="dxa"/>
            <w:vAlign w:val="bottom"/>
            <w:tcBorders>
              <w:bottom w:val="single" w:sz="8" w:color="CCEEFF"/>
            </w:tcBorders>
            <w:gridSpan w:val="2"/>
          </w:tcPr>
          <w:p>
            <w:pPr>
              <w:spacing w:after="0"/>
              <w:rPr>
                <w:sz w:val="22"/>
                <w:szCs w:val="22"/>
                <w:color w:val="auto"/>
              </w:rPr>
            </w:pPr>
          </w:p>
        </w:tc>
        <w:tc>
          <w:tcPr>
            <w:tcW w:w="340" w:type="dxa"/>
            <w:vAlign w:val="bottom"/>
            <w:tcBorders>
              <w:bottom w:val="single" w:sz="8" w:color="CECECE"/>
            </w:tcBorders>
          </w:tcPr>
          <w:p>
            <w:pPr>
              <w:spacing w:after="0"/>
              <w:rPr>
                <w:sz w:val="22"/>
                <w:szCs w:val="22"/>
                <w:color w:val="auto"/>
              </w:rPr>
            </w:pPr>
          </w:p>
        </w:tc>
        <w:tc>
          <w:tcPr>
            <w:tcW w:w="116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40" w:type="dxa"/>
            <w:vAlign w:val="bottom"/>
            <w:tcBorders>
              <w:bottom w:val="single" w:sz="8" w:color="CECECE"/>
            </w:tcBorders>
          </w:tcPr>
          <w:p>
            <w:pPr>
              <w:spacing w:after="0"/>
              <w:rPr>
                <w:sz w:val="22"/>
                <w:szCs w:val="22"/>
                <w:color w:val="auto"/>
              </w:rPr>
            </w:pPr>
          </w:p>
        </w:tc>
        <w:tc>
          <w:tcPr>
            <w:tcW w:w="1240" w:type="dxa"/>
            <w:vAlign w:val="bottom"/>
            <w:tcBorders>
              <w:bottom w:val="single" w:sz="8" w:color="CECECE"/>
            </w:tcBorders>
          </w:tcPr>
          <w:p>
            <w:pPr>
              <w:spacing w:after="0"/>
              <w:rPr>
                <w:sz w:val="22"/>
                <w:szCs w:val="22"/>
                <w:color w:val="auto"/>
              </w:rPr>
            </w:pPr>
          </w:p>
        </w:tc>
        <w:tc>
          <w:tcPr>
            <w:tcW w:w="120" w:type="dxa"/>
            <w:vAlign w:val="bottom"/>
            <w:tcBorders>
              <w:bottom w:val="single" w:sz="8" w:color="CECECE"/>
            </w:tcBorders>
          </w:tcPr>
          <w:p>
            <w:pPr>
              <w:spacing w:after="0"/>
              <w:rPr>
                <w:sz w:val="22"/>
                <w:szCs w:val="22"/>
                <w:color w:val="auto"/>
              </w:rPr>
            </w:pPr>
          </w:p>
        </w:tc>
        <w:tc>
          <w:tcPr>
            <w:tcW w:w="160" w:type="dxa"/>
            <w:vAlign w:val="bottom"/>
            <w:tcBorders>
              <w:bottom w:val="single" w:sz="8" w:color="CECECE"/>
            </w:tcBorders>
          </w:tcPr>
          <w:p>
            <w:pPr>
              <w:spacing w:after="0"/>
              <w:rPr>
                <w:sz w:val="22"/>
                <w:szCs w:val="22"/>
                <w:color w:val="auto"/>
              </w:rPr>
            </w:pPr>
          </w:p>
        </w:tc>
        <w:tc>
          <w:tcPr>
            <w:tcW w:w="148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160" w:type="dxa"/>
            <w:vAlign w:val="bottom"/>
            <w:tcBorders>
              <w:bottom w:val="single" w:sz="8" w:color="CECECE"/>
            </w:tcBorders>
          </w:tcPr>
          <w:p>
            <w:pPr>
              <w:spacing w:after="0"/>
              <w:rPr>
                <w:sz w:val="22"/>
                <w:szCs w:val="22"/>
                <w:color w:val="auto"/>
              </w:rPr>
            </w:pPr>
          </w:p>
        </w:tc>
        <w:tc>
          <w:tcPr>
            <w:tcW w:w="1340" w:type="dxa"/>
            <w:vAlign w:val="bottom"/>
            <w:tcBorders>
              <w:bottom w:val="single" w:sz="8" w:color="CECECE"/>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gridSpan w:val="2"/>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3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340" w:type="dxa"/>
            <w:vAlign w:val="bottom"/>
            <w:tcBorders>
              <w:bottom w:val="single" w:sz="8" w:color="CECECE"/>
            </w:tcBorders>
            <w:shd w:val="clear" w:color="auto" w:fill="CECECE"/>
          </w:tcPr>
          <w:p>
            <w:pPr>
              <w:spacing w:after="0"/>
              <w:rPr>
                <w:sz w:val="19"/>
                <w:szCs w:val="19"/>
                <w:color w:val="auto"/>
              </w:rPr>
            </w:pPr>
          </w:p>
        </w:tc>
        <w:tc>
          <w:tcPr>
            <w:tcW w:w="116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40" w:type="dxa"/>
            <w:vAlign w:val="bottom"/>
            <w:tcBorders>
              <w:bottom w:val="single" w:sz="8" w:color="CECECE"/>
            </w:tcBorders>
            <w:shd w:val="clear" w:color="auto" w:fill="CECECE"/>
          </w:tcPr>
          <w:p>
            <w:pPr>
              <w:spacing w:after="0"/>
              <w:rPr>
                <w:sz w:val="19"/>
                <w:szCs w:val="19"/>
                <w:color w:val="auto"/>
              </w:rPr>
            </w:pPr>
          </w:p>
        </w:tc>
        <w:tc>
          <w:tcPr>
            <w:tcW w:w="1240" w:type="dxa"/>
            <w:vAlign w:val="bottom"/>
            <w:tcBorders>
              <w:bottom w:val="single" w:sz="8" w:color="CECECE"/>
            </w:tcBorders>
            <w:shd w:val="clear" w:color="auto" w:fill="CECECE"/>
          </w:tcPr>
          <w:p>
            <w:pPr>
              <w:spacing w:after="0"/>
              <w:rPr>
                <w:sz w:val="19"/>
                <w:szCs w:val="19"/>
                <w:color w:val="auto"/>
              </w:rPr>
            </w:pPr>
          </w:p>
        </w:tc>
        <w:tc>
          <w:tcPr>
            <w:tcW w:w="120" w:type="dxa"/>
            <w:vAlign w:val="bottom"/>
            <w:tcBorders>
              <w:bottom w:val="single" w:sz="8" w:color="CECECE"/>
            </w:tcBorders>
            <w:shd w:val="clear" w:color="auto" w:fill="CECECE"/>
          </w:tcPr>
          <w:p>
            <w:pPr>
              <w:spacing w:after="0"/>
              <w:rPr>
                <w:sz w:val="19"/>
                <w:szCs w:val="19"/>
                <w:color w:val="auto"/>
              </w:rPr>
            </w:pPr>
          </w:p>
        </w:tc>
        <w:tc>
          <w:tcPr>
            <w:tcW w:w="160" w:type="dxa"/>
            <w:vAlign w:val="bottom"/>
            <w:tcBorders>
              <w:bottom w:val="single" w:sz="8" w:color="CECECE"/>
            </w:tcBorders>
            <w:shd w:val="clear" w:color="auto" w:fill="CECECE"/>
          </w:tcPr>
          <w:p>
            <w:pPr>
              <w:spacing w:after="0"/>
              <w:rPr>
                <w:sz w:val="19"/>
                <w:szCs w:val="19"/>
                <w:color w:val="auto"/>
              </w:rPr>
            </w:pPr>
          </w:p>
        </w:tc>
        <w:tc>
          <w:tcPr>
            <w:tcW w:w="148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160" w:type="dxa"/>
            <w:vAlign w:val="bottom"/>
            <w:tcBorders>
              <w:bottom w:val="single" w:sz="8" w:color="CECECE"/>
            </w:tcBorders>
            <w:shd w:val="clear" w:color="auto" w:fill="CECECE"/>
          </w:tcPr>
          <w:p>
            <w:pPr>
              <w:spacing w:after="0"/>
              <w:rPr>
                <w:sz w:val="19"/>
                <w:szCs w:val="19"/>
                <w:color w:val="auto"/>
              </w:rPr>
            </w:pPr>
          </w:p>
        </w:tc>
        <w:tc>
          <w:tcPr>
            <w:tcW w:w="1340" w:type="dxa"/>
            <w:vAlign w:val="bottom"/>
            <w:tcBorders>
              <w:bottom w:val="single" w:sz="8" w:color="CECECE"/>
            </w:tcBorders>
            <w:shd w:val="clear" w:color="auto" w:fill="CECEC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426,087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ECECE"/>
            </w:tcBorders>
          </w:tcPr>
          <w:p>
            <w:pPr>
              <w:spacing w:after="0" w:line="20" w:lineRule="exact"/>
              <w:rPr>
                <w:sz w:val="1"/>
                <w:szCs w:val="1"/>
                <w:color w:val="auto"/>
              </w:rPr>
            </w:pPr>
          </w:p>
        </w:tc>
        <w:tc>
          <w:tcPr>
            <w:tcW w:w="116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240" w:type="dxa"/>
            <w:vAlign w:val="bottom"/>
            <w:tcBorders>
              <w:top w:val="single" w:sz="8" w:color="CECECE"/>
            </w:tcBorders>
          </w:tcPr>
          <w:p>
            <w:pPr>
              <w:spacing w:after="0" w:line="20" w:lineRule="exact"/>
              <w:rPr>
                <w:sz w:val="1"/>
                <w:szCs w:val="1"/>
                <w:color w:val="auto"/>
              </w:rPr>
            </w:pPr>
          </w:p>
        </w:tc>
        <w:tc>
          <w:tcPr>
            <w:tcW w:w="1240" w:type="dxa"/>
            <w:vAlign w:val="bottom"/>
            <w:tcBorders>
              <w:top w:val="single" w:sz="8" w:color="CECECE"/>
            </w:tcBorders>
          </w:tcPr>
          <w:p>
            <w:pPr>
              <w:spacing w:after="0" w:line="20" w:lineRule="exact"/>
              <w:rPr>
                <w:sz w:val="1"/>
                <w:szCs w:val="1"/>
                <w:color w:val="auto"/>
              </w:rPr>
            </w:pPr>
          </w:p>
        </w:tc>
        <w:tc>
          <w:tcPr>
            <w:tcW w:w="120" w:type="dxa"/>
            <w:vAlign w:val="bottom"/>
            <w:tcBorders>
              <w:top w:val="single" w:sz="8" w:color="CECECE"/>
            </w:tcBorders>
          </w:tcPr>
          <w:p>
            <w:pPr>
              <w:spacing w:after="0" w:line="20" w:lineRule="exact"/>
              <w:rPr>
                <w:sz w:val="1"/>
                <w:szCs w:val="1"/>
                <w:color w:val="auto"/>
              </w:rPr>
            </w:pPr>
          </w:p>
        </w:tc>
        <w:tc>
          <w:tcPr>
            <w:tcW w:w="160" w:type="dxa"/>
            <w:vAlign w:val="bottom"/>
            <w:tcBorders>
              <w:top w:val="single" w:sz="8" w:color="CECECE"/>
            </w:tcBorders>
          </w:tcPr>
          <w:p>
            <w:pPr>
              <w:spacing w:after="0" w:line="20" w:lineRule="exact"/>
              <w:rPr>
                <w:sz w:val="1"/>
                <w:szCs w:val="1"/>
                <w:color w:val="auto"/>
              </w:rPr>
            </w:pPr>
          </w:p>
        </w:tc>
        <w:tc>
          <w:tcPr>
            <w:tcW w:w="148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160" w:type="dxa"/>
            <w:vAlign w:val="bottom"/>
            <w:tcBorders>
              <w:top w:val="single" w:sz="8" w:color="CECECE"/>
            </w:tcBorders>
          </w:tcPr>
          <w:p>
            <w:pPr>
              <w:spacing w:after="0" w:line="20" w:lineRule="exact"/>
              <w:rPr>
                <w:sz w:val="1"/>
                <w:szCs w:val="1"/>
                <w:color w:val="auto"/>
              </w:rPr>
            </w:pPr>
          </w:p>
        </w:tc>
        <w:tc>
          <w:tcPr>
            <w:tcW w:w="1340" w:type="dxa"/>
            <w:vAlign w:val="bottom"/>
            <w:tcBorders>
              <w:top w:val="single" w:sz="8" w:color="CECEC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4"/>
        </w:trPr>
        <w:tc>
          <w:tcPr>
            <w:tcW w:w="324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4"/>
        </w:trPr>
        <w:tc>
          <w:tcPr>
            <w:tcW w:w="1260" w:type="dxa"/>
            <w:vAlign w:val="bottom"/>
            <w:tcBorders>
              <w:top w:val="single" w:sz="8" w:color="0000FF"/>
            </w:tcBorders>
          </w:tcPr>
          <w:p>
            <w:pPr>
              <w:spacing w:after="0"/>
              <w:rPr>
                <w:sz w:val="24"/>
                <w:szCs w:val="24"/>
                <w:color w:val="auto"/>
              </w:rPr>
            </w:pPr>
          </w:p>
        </w:tc>
        <w:tc>
          <w:tcPr>
            <w:tcW w:w="1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3"/>
          </w:tcPr>
          <w:p>
            <w:pPr>
              <w:ind w:left="40"/>
              <w:spacing w:after="0"/>
              <w:rPr>
                <w:sz w:val="20"/>
                <w:szCs w:val="20"/>
                <w:color w:val="auto"/>
              </w:rPr>
            </w:pPr>
            <w:r>
              <w:rPr>
                <w:rFonts w:ascii="Arial" w:cs="Arial" w:eastAsia="Arial" w:hAnsi="Arial"/>
                <w:sz w:val="16"/>
                <w:szCs w:val="16"/>
                <w:b w:val="1"/>
                <w:bCs w:val="1"/>
                <w:color w:val="auto"/>
              </w:rPr>
              <w:t>Nine Months Ended</w:t>
            </w: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March 31, 2024</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340" w:type="dxa"/>
            <w:vAlign w:val="bottom"/>
          </w:tcPr>
          <w:p>
            <w:pPr>
              <w:spacing w:after="0"/>
              <w:rPr>
                <w:sz w:val="18"/>
                <w:szCs w:val="18"/>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Core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Payments</w:t>
            </w:r>
          </w:p>
        </w:tc>
        <w:tc>
          <w:tcPr>
            <w:tcW w:w="160" w:type="dxa"/>
            <w:vAlign w:val="bottom"/>
          </w:tcPr>
          <w:p>
            <w:pPr>
              <w:spacing w:after="0"/>
              <w:rPr>
                <w:sz w:val="18"/>
                <w:szCs w:val="18"/>
                <w:color w:val="auto"/>
              </w:rPr>
            </w:pPr>
          </w:p>
        </w:tc>
        <w:tc>
          <w:tcPr>
            <w:tcW w:w="1580" w:type="dxa"/>
            <w:vAlign w:val="bottom"/>
            <w:gridSpan w:val="2"/>
          </w:tcPr>
          <w:p>
            <w:pPr>
              <w:ind w:left="40"/>
              <w:spacing w:after="0"/>
              <w:rPr>
                <w:sz w:val="20"/>
                <w:szCs w:val="20"/>
                <w:color w:val="auto"/>
              </w:rPr>
            </w:pPr>
            <w:r>
              <w:rPr>
                <w:rFonts w:ascii="Arial" w:cs="Arial" w:eastAsia="Arial" w:hAnsi="Arial"/>
                <w:sz w:val="16"/>
                <w:szCs w:val="16"/>
                <w:b w:val="1"/>
                <w:bCs w:val="1"/>
                <w:color w:val="auto"/>
              </w:rPr>
              <w:t>Complementary</w:t>
            </w: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rPr>
              <w:t>Corporate &amp; Other</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32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ind w:left="140"/>
              <w:spacing w:after="0"/>
              <w:rPr>
                <w:sz w:val="20"/>
                <w:szCs w:val="20"/>
                <w:color w:val="auto"/>
              </w:rPr>
            </w:pPr>
            <w:r>
              <w:rPr>
                <w:rFonts w:ascii="Arial" w:cs="Arial" w:eastAsia="Arial" w:hAnsi="Arial"/>
                <w:sz w:val="16"/>
                <w:szCs w:val="16"/>
                <w:color w:val="auto"/>
              </w:rPr>
              <w:t>Services and Support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487,594</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61,402</w:t>
            </w:r>
          </w:p>
        </w:tc>
        <w:tc>
          <w:tcPr>
            <w:tcW w:w="12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347,733</w:t>
            </w:r>
          </w:p>
        </w:tc>
        <w:tc>
          <w:tcPr>
            <w:tcW w:w="100" w:type="dxa"/>
            <w:vAlign w:val="bottom"/>
          </w:tcPr>
          <w:p>
            <w:pPr>
              <w:spacing w:after="0"/>
              <w:rPr>
                <w:sz w:val="18"/>
                <w:szCs w:val="18"/>
                <w:color w:val="auto"/>
              </w:rPr>
            </w:pP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62,485</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959,214</w:t>
            </w:r>
          </w:p>
        </w:tc>
        <w:tc>
          <w:tcPr>
            <w:tcW w:w="0" w:type="dxa"/>
            <w:vAlign w:val="bottom"/>
          </w:tcPr>
          <w:p>
            <w:pPr>
              <w:spacing w:after="0"/>
              <w:rPr>
                <w:sz w:val="1"/>
                <w:szCs w:val="1"/>
                <w:color w:val="auto"/>
              </w:rPr>
            </w:pPr>
          </w:p>
        </w:tc>
      </w:tr>
      <w:tr>
        <w:trPr>
          <w:trHeight w:val="217"/>
        </w:trPr>
        <w:tc>
          <w:tcPr>
            <w:tcW w:w="3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Processing</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31,102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543,713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115,331</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696,417</w:t>
            </w:r>
          </w:p>
        </w:tc>
        <w:tc>
          <w:tcPr>
            <w:tcW w:w="0" w:type="dxa"/>
            <w:vAlign w:val="bottom"/>
          </w:tcPr>
          <w:p>
            <w:pPr>
              <w:spacing w:after="0"/>
              <w:rPr>
                <w:sz w:val="1"/>
                <w:szCs w:val="1"/>
                <w:color w:val="auto"/>
              </w:rPr>
            </w:pPr>
          </w:p>
        </w:tc>
      </w:tr>
      <w:tr>
        <w:trPr>
          <w:trHeight w:val="209"/>
        </w:trPr>
        <w:tc>
          <w:tcPr>
            <w:tcW w:w="3240" w:type="dxa"/>
            <w:vAlign w:val="bottom"/>
            <w:tcBorders>
              <w:bottom w:val="single" w:sz="8" w:color="CCEEFF"/>
            </w:tcBorders>
            <w:gridSpan w:val="2"/>
          </w:tcPr>
          <w:p>
            <w:pPr>
              <w:ind w:left="560"/>
              <w:spacing w:after="0"/>
              <w:rPr>
                <w:sz w:val="20"/>
                <w:szCs w:val="20"/>
                <w:color w:val="auto"/>
              </w:rPr>
            </w:pPr>
            <w:r>
              <w:rPr>
                <w:rFonts w:ascii="Arial" w:cs="Arial" w:eastAsia="Arial" w:hAnsi="Arial"/>
                <w:sz w:val="16"/>
                <w:szCs w:val="16"/>
                <w:b w:val="1"/>
                <w:bCs w:val="1"/>
                <w:color w:val="auto"/>
              </w:rPr>
              <w:t>Total Revenue</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518,696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605,115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463,064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68,756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1,655,631</w:t>
            </w:r>
          </w:p>
        </w:tc>
        <w:tc>
          <w:tcPr>
            <w:tcW w:w="0" w:type="dxa"/>
            <w:vAlign w:val="bottom"/>
          </w:tcPr>
          <w:p>
            <w:pPr>
              <w:spacing w:after="0"/>
              <w:rPr>
                <w:sz w:val="1"/>
                <w:szCs w:val="1"/>
                <w:color w:val="auto"/>
              </w:rPr>
            </w:pPr>
          </w:p>
        </w:tc>
      </w:tr>
      <w:tr>
        <w:trPr>
          <w:trHeight w:val="250"/>
        </w:trPr>
        <w:tc>
          <w:tcPr>
            <w:tcW w:w="126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240" w:type="dxa"/>
            <w:vAlign w:val="bottom"/>
            <w:gridSpan w:val="2"/>
          </w:tcPr>
          <w:p>
            <w:pPr>
              <w:ind w:left="20"/>
              <w:spacing w:after="0"/>
              <w:rPr>
                <w:sz w:val="20"/>
                <w:szCs w:val="20"/>
                <w:color w:val="auto"/>
              </w:rPr>
            </w:pPr>
            <w:r>
              <w:rPr>
                <w:rFonts w:ascii="Arial" w:cs="Arial" w:eastAsia="Arial" w:hAnsi="Arial"/>
                <w:sz w:val="16"/>
                <w:szCs w:val="16"/>
                <w:color w:val="auto"/>
              </w:rPr>
              <w:t>Cost of Revenue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217,449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330,297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188,002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236,457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972,205</w:t>
            </w:r>
          </w:p>
        </w:tc>
        <w:tc>
          <w:tcPr>
            <w:tcW w:w="0" w:type="dxa"/>
            <w:vAlign w:val="bottom"/>
          </w:tcPr>
          <w:p>
            <w:pPr>
              <w:spacing w:after="0"/>
              <w:rPr>
                <w:sz w:val="1"/>
                <w:szCs w:val="1"/>
                <w:color w:val="auto"/>
              </w:rPr>
            </w:pPr>
          </w:p>
        </w:tc>
      </w:tr>
      <w:tr>
        <w:trPr>
          <w:trHeight w:val="217"/>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108,363</w:t>
            </w:r>
          </w:p>
        </w:tc>
        <w:tc>
          <w:tcPr>
            <w:tcW w:w="0" w:type="dxa"/>
            <w:vAlign w:val="bottom"/>
          </w:tcPr>
          <w:p>
            <w:pPr>
              <w:spacing w:after="0"/>
              <w:rPr>
                <w:sz w:val="1"/>
                <w:szCs w:val="1"/>
                <w:color w:val="auto"/>
              </w:rPr>
            </w:pPr>
          </w:p>
        </w:tc>
      </w:tr>
      <w:tr>
        <w:trPr>
          <w:trHeight w:val="215"/>
        </w:trPr>
        <w:tc>
          <w:tcPr>
            <w:tcW w:w="32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tcBorders>
              <w:bottom w:val="single" w:sz="8" w:color="CECECE"/>
            </w:tcBorders>
            <w:shd w:val="clear" w:color="auto" w:fill="CECECE"/>
          </w:tcPr>
          <w:p>
            <w:pPr>
              <w:spacing w:after="0"/>
              <w:rPr>
                <w:sz w:val="18"/>
                <w:szCs w:val="18"/>
                <w:color w:val="auto"/>
              </w:rPr>
            </w:pPr>
          </w:p>
        </w:tc>
        <w:tc>
          <w:tcPr>
            <w:tcW w:w="11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40" w:type="dxa"/>
            <w:vAlign w:val="bottom"/>
            <w:tcBorders>
              <w:bottom w:val="single" w:sz="8" w:color="CECECE"/>
            </w:tcBorders>
            <w:shd w:val="clear" w:color="auto" w:fill="CECECE"/>
          </w:tcPr>
          <w:p>
            <w:pPr>
              <w:spacing w:after="0"/>
              <w:rPr>
                <w:sz w:val="18"/>
                <w:szCs w:val="18"/>
                <w:color w:val="auto"/>
              </w:rPr>
            </w:pPr>
          </w:p>
        </w:tc>
        <w:tc>
          <w:tcPr>
            <w:tcW w:w="1240" w:type="dxa"/>
            <w:vAlign w:val="bottom"/>
            <w:tcBorders>
              <w:bottom w:val="single" w:sz="8" w:color="CECECE"/>
            </w:tcBorders>
            <w:shd w:val="clear" w:color="auto" w:fill="CECECE"/>
          </w:tcPr>
          <w:p>
            <w:pPr>
              <w:spacing w:after="0"/>
              <w:rPr>
                <w:sz w:val="18"/>
                <w:szCs w:val="18"/>
                <w:color w:val="auto"/>
              </w:rPr>
            </w:pPr>
          </w:p>
        </w:tc>
        <w:tc>
          <w:tcPr>
            <w:tcW w:w="120" w:type="dxa"/>
            <w:vAlign w:val="bottom"/>
            <w:tcBorders>
              <w:bottom w:val="single" w:sz="8" w:color="CECECE"/>
            </w:tcBorders>
            <w:shd w:val="clear" w:color="auto" w:fill="CECECE"/>
          </w:tcPr>
          <w:p>
            <w:pPr>
              <w:spacing w:after="0"/>
              <w:rPr>
                <w:sz w:val="18"/>
                <w:szCs w:val="18"/>
                <w:color w:val="auto"/>
              </w:rPr>
            </w:pPr>
          </w:p>
        </w:tc>
        <w:tc>
          <w:tcPr>
            <w:tcW w:w="160" w:type="dxa"/>
            <w:vAlign w:val="bottom"/>
            <w:tcBorders>
              <w:bottom w:val="single" w:sz="8" w:color="CECECE"/>
            </w:tcBorders>
            <w:shd w:val="clear" w:color="auto" w:fill="CECECE"/>
          </w:tcPr>
          <w:p>
            <w:pPr>
              <w:spacing w:after="0"/>
              <w:rPr>
                <w:sz w:val="18"/>
                <w:szCs w:val="18"/>
                <w:color w:val="auto"/>
              </w:rPr>
            </w:pPr>
          </w:p>
        </w:tc>
        <w:tc>
          <w:tcPr>
            <w:tcW w:w="148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440" w:type="dxa"/>
            <w:vAlign w:val="bottom"/>
            <w:tcBorders>
              <w:bottom w:val="single" w:sz="8" w:color="CECECE"/>
            </w:tcBorders>
            <w:shd w:val="clear" w:color="auto" w:fill="CECECE"/>
          </w:tcPr>
          <w:p>
            <w:pPr>
              <w:spacing w:after="0"/>
              <w:rPr>
                <w:sz w:val="18"/>
                <w:szCs w:val="18"/>
                <w:color w:val="auto"/>
              </w:rPr>
            </w:pPr>
          </w:p>
        </w:tc>
        <w:tc>
          <w:tcPr>
            <w:tcW w:w="10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211,298</w:t>
            </w:r>
          </w:p>
        </w:tc>
        <w:tc>
          <w:tcPr>
            <w:tcW w:w="0" w:type="dxa"/>
            <w:vAlign w:val="bottom"/>
          </w:tcPr>
          <w:p>
            <w:pPr>
              <w:spacing w:after="0"/>
              <w:rPr>
                <w:sz w:val="1"/>
                <w:szCs w:val="1"/>
                <w:color w:val="auto"/>
              </w:rPr>
            </w:pPr>
          </w:p>
        </w:tc>
      </w:tr>
      <w:tr>
        <w:trPr>
          <w:trHeight w:val="210"/>
        </w:trPr>
        <w:tc>
          <w:tcPr>
            <w:tcW w:w="3240" w:type="dxa"/>
            <w:vAlign w:val="bottom"/>
            <w:gridSpan w:val="2"/>
            <w:shd w:val="clear" w:color="auto" w:fill="CCEEFF"/>
          </w:tcPr>
          <w:p>
            <w:pPr>
              <w:ind w:left="560"/>
              <w:spacing w:after="0"/>
              <w:rPr>
                <w:sz w:val="20"/>
                <w:szCs w:val="20"/>
                <w:color w:val="auto"/>
              </w:rPr>
            </w:pPr>
            <w:r>
              <w:rPr>
                <w:rFonts w:ascii="Arial" w:cs="Arial" w:eastAsia="Arial" w:hAnsi="Arial"/>
                <w:sz w:val="16"/>
                <w:szCs w:val="16"/>
                <w:b w:val="1"/>
                <w:bCs w:val="1"/>
                <w:color w:val="auto"/>
              </w:rPr>
              <w:t>Total Expenses</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1,291,866</w:t>
            </w:r>
          </w:p>
        </w:tc>
        <w:tc>
          <w:tcPr>
            <w:tcW w:w="0" w:type="dxa"/>
            <w:vAlign w:val="bottom"/>
          </w:tcPr>
          <w:p>
            <w:pPr>
              <w:spacing w:after="0"/>
              <w:rPr>
                <w:sz w:val="1"/>
                <w:szCs w:val="1"/>
                <w:color w:val="auto"/>
              </w:rPr>
            </w:pPr>
          </w:p>
        </w:tc>
      </w:tr>
      <w:tr>
        <w:trPr>
          <w:trHeight w:val="257"/>
        </w:trPr>
        <w:tc>
          <w:tcPr>
            <w:tcW w:w="3240" w:type="dxa"/>
            <w:vAlign w:val="bottom"/>
            <w:gridSpan w:val="2"/>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gridSpan w:val="2"/>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2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SEGMENT INCOME</w:t>
            </w: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301,247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274,818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275,062</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(167,701)</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363,765</w:t>
            </w:r>
          </w:p>
        </w:tc>
        <w:tc>
          <w:tcPr>
            <w:tcW w:w="0" w:type="dxa"/>
            <w:vAlign w:val="bottom"/>
          </w:tcPr>
          <w:p>
            <w:pPr>
              <w:spacing w:after="0"/>
              <w:rPr>
                <w:sz w:val="1"/>
                <w:szCs w:val="1"/>
                <w:color w:val="auto"/>
              </w:rPr>
            </w:pPr>
          </w:p>
        </w:tc>
      </w:tr>
      <w:tr>
        <w:trPr>
          <w:trHeight w:val="257"/>
        </w:trPr>
        <w:tc>
          <w:tcPr>
            <w:tcW w:w="3240" w:type="dxa"/>
            <w:vAlign w:val="bottom"/>
            <w:gridSpan w:val="2"/>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INCOME (EXPENSE)</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3,870</w:t>
            </w: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gridSpan w:val="2"/>
          </w:tcPr>
          <w:p>
            <w:pPr>
              <w:spacing w:after="0"/>
              <w:rPr>
                <w:sz w:val="22"/>
                <w:szCs w:val="22"/>
                <w:color w:val="auto"/>
              </w:rPr>
            </w:pPr>
          </w:p>
        </w:tc>
        <w:tc>
          <w:tcPr>
            <w:tcW w:w="340" w:type="dxa"/>
            <w:vAlign w:val="bottom"/>
            <w:tcBorders>
              <w:bottom w:val="single" w:sz="8" w:color="CECECE"/>
            </w:tcBorders>
          </w:tcPr>
          <w:p>
            <w:pPr>
              <w:spacing w:after="0"/>
              <w:rPr>
                <w:sz w:val="22"/>
                <w:szCs w:val="22"/>
                <w:color w:val="auto"/>
              </w:rPr>
            </w:pPr>
          </w:p>
        </w:tc>
        <w:tc>
          <w:tcPr>
            <w:tcW w:w="116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40" w:type="dxa"/>
            <w:vAlign w:val="bottom"/>
            <w:tcBorders>
              <w:bottom w:val="single" w:sz="8" w:color="CECECE"/>
            </w:tcBorders>
          </w:tcPr>
          <w:p>
            <w:pPr>
              <w:spacing w:after="0"/>
              <w:rPr>
                <w:sz w:val="22"/>
                <w:szCs w:val="22"/>
                <w:color w:val="auto"/>
              </w:rPr>
            </w:pPr>
          </w:p>
        </w:tc>
        <w:tc>
          <w:tcPr>
            <w:tcW w:w="1240" w:type="dxa"/>
            <w:vAlign w:val="bottom"/>
            <w:tcBorders>
              <w:bottom w:val="single" w:sz="8" w:color="CECECE"/>
            </w:tcBorders>
          </w:tcPr>
          <w:p>
            <w:pPr>
              <w:spacing w:after="0"/>
              <w:rPr>
                <w:sz w:val="22"/>
                <w:szCs w:val="22"/>
                <w:color w:val="auto"/>
              </w:rPr>
            </w:pPr>
          </w:p>
        </w:tc>
        <w:tc>
          <w:tcPr>
            <w:tcW w:w="120" w:type="dxa"/>
            <w:vAlign w:val="bottom"/>
            <w:tcBorders>
              <w:bottom w:val="single" w:sz="8" w:color="CECECE"/>
            </w:tcBorders>
          </w:tcPr>
          <w:p>
            <w:pPr>
              <w:spacing w:after="0"/>
              <w:rPr>
                <w:sz w:val="22"/>
                <w:szCs w:val="22"/>
                <w:color w:val="auto"/>
              </w:rPr>
            </w:pPr>
          </w:p>
        </w:tc>
        <w:tc>
          <w:tcPr>
            <w:tcW w:w="160" w:type="dxa"/>
            <w:vAlign w:val="bottom"/>
            <w:tcBorders>
              <w:bottom w:val="single" w:sz="8" w:color="CECECE"/>
            </w:tcBorders>
          </w:tcPr>
          <w:p>
            <w:pPr>
              <w:spacing w:after="0"/>
              <w:rPr>
                <w:sz w:val="22"/>
                <w:szCs w:val="22"/>
                <w:color w:val="auto"/>
              </w:rPr>
            </w:pPr>
          </w:p>
        </w:tc>
        <w:tc>
          <w:tcPr>
            <w:tcW w:w="148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440" w:type="dxa"/>
            <w:vAlign w:val="bottom"/>
            <w:tcBorders>
              <w:bottom w:val="single" w:sz="8" w:color="CECECE"/>
            </w:tcBorders>
          </w:tcPr>
          <w:p>
            <w:pPr>
              <w:spacing w:after="0"/>
              <w:rPr>
                <w:sz w:val="22"/>
                <w:szCs w:val="22"/>
                <w:color w:val="auto"/>
              </w:rPr>
            </w:pPr>
          </w:p>
        </w:tc>
        <w:tc>
          <w:tcPr>
            <w:tcW w:w="1060" w:type="dxa"/>
            <w:vAlign w:val="bottom"/>
            <w:tcBorders>
              <w:bottom w:val="single" w:sz="8" w:color="CECECE"/>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40" w:type="dxa"/>
            <w:vAlign w:val="bottom"/>
            <w:tcBorders>
              <w:bottom w:val="single" w:sz="8" w:color="CECECE"/>
            </w:tcBorders>
            <w:shd w:val="clear" w:color="auto" w:fill="CECECE"/>
          </w:tcPr>
          <w:p>
            <w:pPr>
              <w:spacing w:after="0"/>
              <w:rPr>
                <w:sz w:val="19"/>
                <w:szCs w:val="19"/>
                <w:color w:val="auto"/>
              </w:rPr>
            </w:pPr>
          </w:p>
        </w:tc>
        <w:tc>
          <w:tcPr>
            <w:tcW w:w="116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40" w:type="dxa"/>
            <w:vAlign w:val="bottom"/>
            <w:tcBorders>
              <w:bottom w:val="single" w:sz="8" w:color="CECECE"/>
            </w:tcBorders>
            <w:shd w:val="clear" w:color="auto" w:fill="CECECE"/>
          </w:tcPr>
          <w:p>
            <w:pPr>
              <w:spacing w:after="0"/>
              <w:rPr>
                <w:sz w:val="19"/>
                <w:szCs w:val="19"/>
                <w:color w:val="auto"/>
              </w:rPr>
            </w:pPr>
          </w:p>
        </w:tc>
        <w:tc>
          <w:tcPr>
            <w:tcW w:w="1240" w:type="dxa"/>
            <w:vAlign w:val="bottom"/>
            <w:tcBorders>
              <w:bottom w:val="single" w:sz="8" w:color="CECECE"/>
            </w:tcBorders>
            <w:shd w:val="clear" w:color="auto" w:fill="CECECE"/>
          </w:tcPr>
          <w:p>
            <w:pPr>
              <w:spacing w:after="0"/>
              <w:rPr>
                <w:sz w:val="19"/>
                <w:szCs w:val="19"/>
                <w:color w:val="auto"/>
              </w:rPr>
            </w:pPr>
          </w:p>
        </w:tc>
        <w:tc>
          <w:tcPr>
            <w:tcW w:w="120" w:type="dxa"/>
            <w:vAlign w:val="bottom"/>
            <w:tcBorders>
              <w:bottom w:val="single" w:sz="8" w:color="CECECE"/>
            </w:tcBorders>
            <w:shd w:val="clear" w:color="auto" w:fill="CECECE"/>
          </w:tcPr>
          <w:p>
            <w:pPr>
              <w:spacing w:after="0"/>
              <w:rPr>
                <w:sz w:val="19"/>
                <w:szCs w:val="19"/>
                <w:color w:val="auto"/>
              </w:rPr>
            </w:pPr>
          </w:p>
        </w:tc>
        <w:tc>
          <w:tcPr>
            <w:tcW w:w="160" w:type="dxa"/>
            <w:vAlign w:val="bottom"/>
            <w:tcBorders>
              <w:bottom w:val="single" w:sz="8" w:color="CECECE"/>
            </w:tcBorders>
            <w:shd w:val="clear" w:color="auto" w:fill="CECECE"/>
          </w:tcPr>
          <w:p>
            <w:pPr>
              <w:spacing w:after="0"/>
              <w:rPr>
                <w:sz w:val="19"/>
                <w:szCs w:val="19"/>
                <w:color w:val="auto"/>
              </w:rPr>
            </w:pPr>
          </w:p>
        </w:tc>
        <w:tc>
          <w:tcPr>
            <w:tcW w:w="148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440" w:type="dxa"/>
            <w:vAlign w:val="bottom"/>
            <w:tcBorders>
              <w:bottom w:val="single" w:sz="8" w:color="CECECE"/>
            </w:tcBorders>
            <w:shd w:val="clear" w:color="auto" w:fill="CECECE"/>
          </w:tcPr>
          <w:p>
            <w:pPr>
              <w:spacing w:after="0"/>
              <w:rPr>
                <w:sz w:val="19"/>
                <w:szCs w:val="19"/>
                <w:color w:val="auto"/>
              </w:rPr>
            </w:pPr>
          </w:p>
        </w:tc>
        <w:tc>
          <w:tcPr>
            <w:tcW w:w="1060" w:type="dxa"/>
            <w:vAlign w:val="bottom"/>
            <w:tcBorders>
              <w:bottom w:val="single" w:sz="8" w:color="CECECE"/>
            </w:tcBorders>
            <w:shd w:val="clear" w:color="auto" w:fill="CECEC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367,635</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ECECE"/>
            </w:tcBorders>
          </w:tcPr>
          <w:p>
            <w:pPr>
              <w:spacing w:after="0" w:line="20" w:lineRule="exact"/>
              <w:rPr>
                <w:sz w:val="1"/>
                <w:szCs w:val="1"/>
                <w:color w:val="auto"/>
              </w:rPr>
            </w:pPr>
          </w:p>
        </w:tc>
        <w:tc>
          <w:tcPr>
            <w:tcW w:w="116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240" w:type="dxa"/>
            <w:vAlign w:val="bottom"/>
            <w:tcBorders>
              <w:top w:val="single" w:sz="8" w:color="CECECE"/>
            </w:tcBorders>
          </w:tcPr>
          <w:p>
            <w:pPr>
              <w:spacing w:after="0" w:line="20" w:lineRule="exact"/>
              <w:rPr>
                <w:sz w:val="1"/>
                <w:szCs w:val="1"/>
                <w:color w:val="auto"/>
              </w:rPr>
            </w:pPr>
          </w:p>
        </w:tc>
        <w:tc>
          <w:tcPr>
            <w:tcW w:w="1240" w:type="dxa"/>
            <w:vAlign w:val="bottom"/>
            <w:tcBorders>
              <w:top w:val="single" w:sz="8" w:color="CECECE"/>
            </w:tcBorders>
          </w:tcPr>
          <w:p>
            <w:pPr>
              <w:spacing w:after="0" w:line="20" w:lineRule="exact"/>
              <w:rPr>
                <w:sz w:val="1"/>
                <w:szCs w:val="1"/>
                <w:color w:val="auto"/>
              </w:rPr>
            </w:pPr>
          </w:p>
        </w:tc>
        <w:tc>
          <w:tcPr>
            <w:tcW w:w="120" w:type="dxa"/>
            <w:vAlign w:val="bottom"/>
            <w:tcBorders>
              <w:top w:val="single" w:sz="8" w:color="CECECE"/>
            </w:tcBorders>
          </w:tcPr>
          <w:p>
            <w:pPr>
              <w:spacing w:after="0" w:line="20" w:lineRule="exact"/>
              <w:rPr>
                <w:sz w:val="1"/>
                <w:szCs w:val="1"/>
                <w:color w:val="auto"/>
              </w:rPr>
            </w:pPr>
          </w:p>
        </w:tc>
        <w:tc>
          <w:tcPr>
            <w:tcW w:w="160" w:type="dxa"/>
            <w:vAlign w:val="bottom"/>
            <w:tcBorders>
              <w:top w:val="single" w:sz="8" w:color="CECECE"/>
            </w:tcBorders>
          </w:tcPr>
          <w:p>
            <w:pPr>
              <w:spacing w:after="0" w:line="20" w:lineRule="exact"/>
              <w:rPr>
                <w:sz w:val="1"/>
                <w:szCs w:val="1"/>
                <w:color w:val="auto"/>
              </w:rPr>
            </w:pPr>
          </w:p>
        </w:tc>
        <w:tc>
          <w:tcPr>
            <w:tcW w:w="148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440" w:type="dxa"/>
            <w:vAlign w:val="bottom"/>
            <w:tcBorders>
              <w:top w:val="single" w:sz="8" w:color="CECECE"/>
            </w:tcBorders>
          </w:tcPr>
          <w:p>
            <w:pPr>
              <w:spacing w:after="0" w:line="20" w:lineRule="exact"/>
              <w:rPr>
                <w:sz w:val="1"/>
                <w:szCs w:val="1"/>
                <w:color w:val="auto"/>
              </w:rPr>
            </w:pPr>
          </w:p>
        </w:tc>
        <w:tc>
          <w:tcPr>
            <w:tcW w:w="1060" w:type="dxa"/>
            <w:vAlign w:val="bottom"/>
            <w:tcBorders>
              <w:top w:val="single" w:sz="8" w:color="CECEC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has not disclosed any additional asset information by segment, as the information is not generated for internal management reporting to the Chief Executive Officer, who is also the Chief Operating Decision Maker.</w:t>
      </w:r>
    </w:p>
    <w:p>
      <w:pPr>
        <w:spacing w:after="0" w:line="1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NOTE 11.</w:t>
        <w:tab/>
        <w:t>SUBSEQUENT EVENTS</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Dividend </w:t>
      </w:r>
      <w:r>
        <w:rPr>
          <w:rFonts w:ascii="Arial" w:cs="Arial" w:eastAsia="Arial" w:hAnsi="Arial"/>
          <w:sz w:val="18"/>
          <w:szCs w:val="18"/>
          <w:color w:val="auto"/>
        </w:rPr>
        <w:t>— On May 9, 2025, the Company's Board of Directors declared a cash dividend of $0.58 per share on its common stock, payable</w:t>
      </w:r>
      <w:r>
        <w:rPr>
          <w:rFonts w:ascii="Arial" w:cs="Arial" w:eastAsia="Arial" w:hAnsi="Arial"/>
          <w:sz w:val="18"/>
          <w:szCs w:val="18"/>
          <w:i w:val="1"/>
          <w:iCs w:val="1"/>
          <w:color w:val="auto"/>
        </w:rPr>
        <w:t xml:space="preserve"> </w:t>
      </w:r>
      <w:r>
        <w:rPr>
          <w:rFonts w:ascii="Arial" w:cs="Arial" w:eastAsia="Arial" w:hAnsi="Arial"/>
          <w:sz w:val="18"/>
          <w:szCs w:val="18"/>
          <w:color w:val="auto"/>
        </w:rPr>
        <w:t>on June 18, 2025, to stockholders of record as of May 29, 2025.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This discussion and analysis should be read in conjunction with the condensed consolidated financial statements and the accompanying notes to the condensed consolidated financial statements included in this Form 10-Q for the fiscal quarter ended March 31, 2025.</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Jack Henry &amp; Associates, Inc. is a well-rounded financial technology company headquartered in Monett, Missouri, that employs approximately 7,200 full-time and part-time associates nationwide, and is a leading provider of technology solutions and payment processing services primarily to community and regional financial institutions. Our solutions serve approximately 7,500 clients and consist of integrated data processing systems solutions to U.S. banks ranging from de novo to multi-billion-dollar institutions with assets up to $50 billion, core data processing solutions for credit unions of all sizes, and non-core highly specialized core-agnostic products and services that enable financial institutions of every asset size and charter, and diverse corporate entities outside the financial services industry, to mitigate and control risks, optimize revenue and growth opportunities, and contain costs. Our integrated solutions are available for on-premise installation and delivery in our private and public cloud.</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Each of our solutions shares the fundamental commitment to provide high-quality business systems, service levels that consistently exceed client expectations, and integration of solutions and practical new technologies. The quality of our solutions, our high service standards, and the fundamental way we do business typically foster long-term client relationships, attract prospective clients, and have enabled us to capture substantial market share.</w:t>
      </w:r>
    </w:p>
    <w:p>
      <w:pPr>
        <w:spacing w:after="0" w:line="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Through internal product development, disciplined acquisitions, and alliances with companies offering niche solutions that complement our proprietary solutions, we regularly introduce new products and services and generate new cross-sales opportunities. We provide compatible computer hardware for our on-premise installations and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secure processing environments for our outsourced solutions in our private and public cloud. We perform data conversions, software implementations, initial and ongoing client training, and ongoing client support services.</w:t>
      </w:r>
    </w:p>
    <w:p>
      <w:pPr>
        <w:spacing w:after="0" w:line="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our primary competitive advantage is client service. Our support infrastructure and strict standards provide service levels that generate high levels of client satisfaction and retention. We consistently measure client satisfaction using a variety of surveys, such as an annual survey on the client's anniversary date and randomly-generated surveys initiated each day by routine support requests. Dedicated surveys are also used to grade specific aspects of our client experience, including product implementation, education, and consulting services.</w:t>
      </w:r>
    </w:p>
    <w:p>
      <w:pPr>
        <w:spacing w:after="0" w:line="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two primary revenue streams are “services and support” and “processing.” Services and support includes: “private and public cloud” revenues that predominantly have contract terms of six years at inception; “product delivery and services” revenues, which include revenues from the sales of licenses, implementation services, deconversions, consulting, and hardware; and “on-premise support” revenues, composed of maintenance fees that primarily contain annual contract terms. Processing includes: "remittance” revenues from payment processing, remote capture, and ACH transactions; “card” revenues, including card transaction processing and monthly fees; and “transaction and digital” revenues, which include transaction and mobile processing revenues. We continually seek opportunities to increase revenue while at the same time containing costs to expand margins.</w:t>
      </w:r>
    </w:p>
    <w:p>
      <w:pPr>
        <w:spacing w:after="0" w:line="6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four reportable segments: Core, Payments, Complementary, and Corporate and Other. The respective segments include all related revenues along with the related cost of revenue.</w:t>
      </w:r>
    </w:p>
    <w:p>
      <w:pPr>
        <w:spacing w:after="0" w:line="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detailed discussion of the major components of the results of operations follows. All amounts in the following discussion are in thousands, except per share amounts.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third quarter of fiscal 2025, total revenue increased 8.6%, or $46,525, compared to the same quarter in fiscal 2024. Total revenue less deconversion revenue of $ 9,644 for the current fiscal quarter and $ 843 for the prior fiscal year third quarter results in an increase of 7.0%, quarter over quarter. This increase was primarily driven by organic growth in our revenue lines including data processing and hosting within private and public cloud, card, Jack Henry digital, which is inclusive of Banno, and payment processing, which is inclusive of PayCenter, partially offset by the decrease in license and hardware revenues, quarter over quarter.</w:t>
      </w:r>
    </w:p>
    <w:p>
      <w:pPr>
        <w:spacing w:after="0" w:line="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Operating expenses increased 4.7%, or $19,884, for the third quarter of fiscal 2025 compared to the third quarter of fiscal 2024. Total operating expenses less deconversion operating expenses of $2,794 for the current fiscal quarter and $849 for the prior fiscal year third quarter results in an increase of 4.2%. This increase was primarily driven by higher direct costs and net personnel costs partially offset by the increase in labor cost deferral.</w:t>
      </w:r>
    </w:p>
    <w:p>
      <w:pPr>
        <w:spacing w:after="0" w:line="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income increased 23.8%, or $ 26,641, for the third quarter of fiscal 2025 compared to the third quarter of fiscal 2024. Removing from total operating income the effects of deconversion operating income of $6,851 for the current fiscal quarter and deconversion operating loss of $6 for the prior fiscal year third quarter results in an increase of 17.6%, quarter over quarter. This increase was primarily driven by organic revenue growth partially offset by increased operating expenses detailed above tempered by our disciplined approach to compensation, headcount and infrastructure costs, quarter over quarter.</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provision for income taxes increased 13.8%, or $3,734, for the third quarter of fiscal 2025, compared to the third quarter of fiscal 2024. Removing from the provision for income taxes the effect of taxes on deconversion net income of $1,644 for the current fiscal quarter and on deconversion net loss of $1 for the prior fiscal year third quarter results in an increase of 7.7%, quarter over quarter. This increase was primarily driven by the increase in income before income taxes partially offset by a decrease in the Company's effective tax rate due to the timing of filing our Federal tax return and recognition of return-to -provision adjustments. The effective tax rate for the current fiscal third quarter was 21.7% compared to 23.7% for the same quarter a year ago.</w:t>
      </w:r>
    </w:p>
    <w:p>
      <w:pPr>
        <w:spacing w:after="0" w:line="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increased 27.6%, or $24,009, for the third quarter of fiscal 2025, compared to the third quarter of fiscal 2024. Removing from total net income the effects of deconversion net income of $5,207 for the current fiscal quarter and deconversion net loss of $ 5 for the prior fiscal year third quarter, results in a 21.6% increase quarter over quarter. This increase was primarily due to net organic growth in our lines of revenue for the third quarter of fiscal 2025 partially offset by higher operating expenses and the increased provision for income taxes compared to the same quarter last fiscal year.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months ended March 31, 2025, total revenue increased 6.3%, or $104,285, compared to the same period in fiscal 2024. Total revenue less deconversion revenue of $13,410 for the current fiscal year period and $9,861 for the prior fiscal year period results in an increase of 6.1%, period over period. This increase was primarily driven by organic growth in our revenue lines including data processing and hosting within private and public cloud, card, Jack Henry digital, which is inclusive of Banno, and payment processing, which is inclusive of PayCenter, partially offset by the decrease in license and hardware revenues, period over period.</w:t>
      </w:r>
    </w:p>
    <w:p>
      <w:pPr>
        <w:spacing w:after="0" w:line="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expenses increased 4.3%, or $55,033, for the nine months ended March 31, 2025 compared to the same period in fiscal 2024. Total operating expenses less deconversion operating expenses of $3,686 for the current fiscal year period and $2,309 for the prior fiscal year period and less Voluntary Employee Departure Incentive Payment ("VEDIP") program expense of $16,443 for the prior fiscal year period results in an increase of 5.5%. This increase was primarily driven by higher personnel costs and direct costs partially offset by the increase in labor cost deferral, period over period. The VEDIP program was a voluntary separation program for certain eligible employees conducted during July 2023 that included a VEDIP payment for the eligible employees who chose to participate in the program.</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income increased 13.5%, or $49,252, for the nine months ended March 31, 2025 compared to the same period in fiscal 2024. Removing from total operating income the effects of deconversion operating income of $9,724 for the current fiscal year period and $7,552 for the prior fiscal year period and VEDIP program operating loss of $16,443 from the prior fiscal year period results in an increase of 8.2%, period over period. This increase was primarily driven by organic revenue growth partially offset by increased operating expenses detailed above tempered by our disciplined approach to compensation, headcount and infrastructure costs, period over period.</w:t>
      </w:r>
    </w:p>
    <w:p>
      <w:pPr>
        <w:spacing w:after="0" w:line="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provision for income taxes increased 12.7%, or $11,051, for the nine months ended March 31, 2025, compared to the same period in fiscal 2024. Removing from the provision for income taxes the effect of taxes on deconversion net income of $2,334 for the nine months ended March 31, 2025 and $1,812 for the nine months ended March 31, 2024, and the tax benefit on VEDIP expense of $ 3,946 for the prior fiscal year period results in an increase of 7.4%, period over period. This increase was primarily driven by the increase in income before income taxes partially offset by a decrease in the Company's effective tax rate due to the timing of filing our Federal tax return and recognition of return-to-provision adjustments. The effective tax rate for the current fiscal year period was 23.0% compared to 23.6% for the same period a year ago.</w:t>
      </w:r>
    </w:p>
    <w:p>
      <w:pPr>
        <w:spacing w:after="0" w:line="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increased 16.9%, or $47,401, for the nine months ended March 31, 2025, compared to the same period in fiscal 2024. Removing from total net income the effects of deconversion net income of $ 7,390 for the current fiscal year period and $5,739 for the prior fiscal year period and VEDIP program net loss of $12,497 for the prior fiscal year period results in an 11.6% increase period over period. This increase was primarily due to net organic growth in our lines of revenue for the nine months ended March 31, 2025, partially offset by higher operating expenses and the increased provision for income taxes compared to the same period last fiscal year.</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move into the fourth quarter of fiscal 2025, significant portions of our business continue to provide recurring revenue and our sales pipeline is also encouraging. Our clients continue to face regulatory and operational challenges which our products and services address, and in these times they have an even greater need for our solutions that directly address institutional profitability, efficiency, and security. We believe our strong balance sheet, access to extensive lines of credit, the strength of our existing product line, and an unwavering commitment to superior client service position us well to address current and future opportunities.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A detailed discussion of the major components of the results of operations for the three and nine months ended March 31, 2025, follows.</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Discussions compare the current fiscal year's three and nine months ended March 31, 2025, to the prior fiscal year's three and nine months ended March 31, 2024.</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00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3000" w:type="dxa"/>
            <w:vAlign w:val="bottom"/>
          </w:tcPr>
          <w:p>
            <w:pPr>
              <w:ind w:left="20"/>
              <w:spacing w:after="0"/>
              <w:rPr>
                <w:sz w:val="20"/>
                <w:szCs w:val="20"/>
                <w:color w:val="auto"/>
              </w:rPr>
            </w:pPr>
            <w:r>
              <w:rPr>
                <w:rFonts w:ascii="Arial" w:cs="Arial" w:eastAsia="Arial" w:hAnsi="Arial"/>
                <w:sz w:val="18"/>
                <w:szCs w:val="18"/>
                <w:b w:val="1"/>
                <w:bCs w:val="1"/>
                <w:color w:val="auto"/>
              </w:rPr>
              <w:t>Services and Support</w:t>
            </w:r>
          </w:p>
        </w:tc>
        <w:tc>
          <w:tcPr>
            <w:tcW w:w="140" w:type="dxa"/>
            <w:vAlign w:val="bottom"/>
          </w:tcPr>
          <w:p>
            <w:pPr>
              <w:spacing w:after="0"/>
              <w:rPr>
                <w:sz w:val="24"/>
                <w:szCs w:val="24"/>
                <w:color w:val="auto"/>
              </w:rPr>
            </w:pPr>
          </w:p>
        </w:tc>
        <w:tc>
          <w:tcPr>
            <w:tcW w:w="2800" w:type="dxa"/>
            <w:vAlign w:val="bottom"/>
            <w:gridSpan w:val="8"/>
            <w:vMerge w:val="restart"/>
          </w:tcPr>
          <w:p>
            <w:pPr>
              <w:ind w:left="20"/>
              <w:spacing w:after="0"/>
              <w:rPr>
                <w:sz w:val="20"/>
                <w:szCs w:val="20"/>
                <w:color w:val="auto"/>
              </w:rPr>
            </w:pPr>
            <w:r>
              <w:rPr>
                <w:rFonts w:ascii="Arial" w:cs="Arial" w:eastAsia="Arial" w:hAnsi="Arial"/>
                <w:sz w:val="18"/>
                <w:szCs w:val="18"/>
                <w:color w:val="auto"/>
              </w:rPr>
              <w:t>Three Months Ended March 31,</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000" w:type="dxa"/>
            <w:vAlign w:val="bottom"/>
            <w:gridSpan w:val="8"/>
            <w:vMerge w:val="restart"/>
          </w:tcPr>
          <w:p>
            <w:pPr>
              <w:ind w:left="240"/>
              <w:spacing w:after="0"/>
              <w:rPr>
                <w:sz w:val="20"/>
                <w:szCs w:val="20"/>
                <w:color w:val="auto"/>
              </w:rPr>
            </w:pPr>
            <w:r>
              <w:rPr>
                <w:rFonts w:ascii="Arial" w:cs="Arial" w:eastAsia="Arial" w:hAnsi="Arial"/>
                <w:sz w:val="18"/>
                <w:szCs w:val="18"/>
                <w:color w:val="auto"/>
              </w:rPr>
              <w:t>Nine Months Ended March 31,</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0" w:type="dxa"/>
            <w:vAlign w:val="bottom"/>
            <w:gridSpan w:val="8"/>
            <w:vMerge w:val="continue"/>
          </w:tcPr>
          <w:p>
            <w:pPr>
              <w:spacing w:after="0"/>
              <w:rPr>
                <w:sz w:val="21"/>
                <w:szCs w:val="21"/>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Change</w:t>
            </w:r>
          </w:p>
        </w:tc>
        <w:tc>
          <w:tcPr>
            <w:tcW w:w="3000" w:type="dxa"/>
            <w:vAlign w:val="bottom"/>
            <w:gridSpan w:val="8"/>
            <w:vMerge w:val="continue"/>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183"/>
        </w:trPr>
        <w:tc>
          <w:tcPr>
            <w:tcW w:w="30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2025</w:t>
            </w:r>
          </w:p>
        </w:tc>
        <w:tc>
          <w:tcPr>
            <w:tcW w:w="3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2024</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2025</w:t>
            </w:r>
          </w:p>
        </w:tc>
        <w:tc>
          <w:tcPr>
            <w:tcW w:w="3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2024</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 and Support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330,792</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305,017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8.5 %</w:t>
            </w:r>
          </w:p>
        </w:tc>
        <w:tc>
          <w:tcPr>
            <w:tcW w:w="10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   1,010,498</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959,214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5.3 %</w:t>
            </w:r>
          </w:p>
        </w:tc>
        <w:tc>
          <w:tcPr>
            <w:tcW w:w="0" w:type="dxa"/>
            <w:vAlign w:val="bottom"/>
          </w:tcPr>
          <w:p>
            <w:pPr>
              <w:spacing w:after="0"/>
              <w:rPr>
                <w:sz w:val="1"/>
                <w:szCs w:val="1"/>
                <w:color w:val="auto"/>
              </w:rPr>
            </w:pPr>
          </w:p>
        </w:tc>
      </w:tr>
      <w:tr>
        <w:trPr>
          <w:trHeight w:val="247"/>
        </w:trPr>
        <w:tc>
          <w:tcPr>
            <w:tcW w:w="300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140" w:type="dxa"/>
            <w:vAlign w:val="bottom"/>
          </w:tcPr>
          <w:p>
            <w:pPr>
              <w:spacing w:after="0"/>
              <w:rPr>
                <w:sz w:val="21"/>
                <w:szCs w:val="21"/>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57 %</w:t>
            </w:r>
          </w:p>
        </w:tc>
        <w:tc>
          <w:tcPr>
            <w:tcW w:w="360" w:type="dxa"/>
            <w:vAlign w:val="bottom"/>
          </w:tcPr>
          <w:p>
            <w:pPr>
              <w:spacing w:after="0"/>
              <w:rPr>
                <w:sz w:val="21"/>
                <w:szCs w:val="21"/>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57 %</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57 %</w:t>
            </w:r>
          </w:p>
        </w:tc>
        <w:tc>
          <w:tcPr>
            <w:tcW w:w="360" w:type="dxa"/>
            <w:vAlign w:val="bottom"/>
          </w:tcPr>
          <w:p>
            <w:pPr>
              <w:spacing w:after="0"/>
              <w:rPr>
                <w:sz w:val="21"/>
                <w:szCs w:val="21"/>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58 %</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Services and support revenue increased 8.5% for the third quarter of fiscal 2025 compared to the same quarter a year ago. Reducing services and support revenue for deconversion revenue from each quarter, which was $9,644 for the current fiscal year quarter and $843 for the prior fiscal year quarter, results in growth of 5.6% quarter over</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quarter. This increase was primarily driven by double-digit growth in data processing and hosting revenues within private and public cloud as new and existing clients migrate to our private cloud and processing volumes expand partially offset by the decrease in licenses and hardware revenues, quarter over quarter.</w:t>
      </w:r>
    </w:p>
    <w:p>
      <w:pPr>
        <w:spacing w:after="0" w:line="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Services and support revenue increased 5.3% for the nine months ended March 31, 2025, compared to the same period in fiscal 2024. Reducing services and support revenue for deconversion revenue from each period, which was $13,410 for the current fiscal year period and $9,861 for the prior fiscal year period, results in growth of 5.0% period over period. This increase was primarily driven by double-digit growth in data processing and hosting revenues within private and public cloud as new and existing clients migrate to our private cloud and processing volumes expand partially offset by the decrease in license and hardware revenues, period over period.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Processing</w:t>
            </w:r>
          </w:p>
        </w:tc>
        <w:tc>
          <w:tcPr>
            <w:tcW w:w="120" w:type="dxa"/>
            <w:vAlign w:val="bottom"/>
          </w:tcPr>
          <w:p>
            <w:pPr>
              <w:spacing w:after="0"/>
              <w:rPr>
                <w:sz w:val="17"/>
                <w:szCs w:val="17"/>
                <w:color w:val="auto"/>
              </w:rPr>
            </w:pPr>
          </w:p>
        </w:tc>
        <w:tc>
          <w:tcPr>
            <w:tcW w:w="2820" w:type="dxa"/>
            <w:vAlign w:val="bottom"/>
            <w:gridSpan w:val="8"/>
            <w:vMerge w:val="restart"/>
          </w:tcPr>
          <w:p>
            <w:pPr>
              <w:ind w:left="20"/>
              <w:spacing w:after="0"/>
              <w:rPr>
                <w:sz w:val="20"/>
                <w:szCs w:val="20"/>
                <w:color w:val="auto"/>
              </w:rPr>
            </w:pPr>
            <w:r>
              <w:rPr>
                <w:rFonts w:ascii="Arial" w:cs="Arial" w:eastAsia="Arial" w:hAnsi="Arial"/>
                <w:sz w:val="18"/>
                <w:szCs w:val="18"/>
                <w:color w:val="auto"/>
              </w:rPr>
              <w:t>Three Months Ended March 31,</w:t>
            </w: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0" w:type="dxa"/>
            <w:vAlign w:val="bottom"/>
            <w:gridSpan w:val="8"/>
            <w:vMerge w:val="restart"/>
          </w:tcPr>
          <w:p>
            <w:pPr>
              <w:ind w:left="60"/>
              <w:spacing w:after="0"/>
              <w:rPr>
                <w:sz w:val="20"/>
                <w:szCs w:val="20"/>
                <w:color w:val="auto"/>
              </w:rPr>
            </w:pPr>
            <w:r>
              <w:rPr>
                <w:rFonts w:ascii="Arial" w:cs="Arial" w:eastAsia="Arial" w:hAnsi="Arial"/>
                <w:sz w:val="18"/>
                <w:szCs w:val="18"/>
                <w:color w:val="auto"/>
              </w:rPr>
              <w:t>Nine Months Ended March 31,</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20" w:type="dxa"/>
            <w:vAlign w:val="bottom"/>
            <w:gridSpan w:val="8"/>
            <w:vMerge w:val="continue"/>
          </w:tcPr>
          <w:p>
            <w:pPr>
              <w:spacing w:after="0"/>
              <w:rPr>
                <w:sz w:val="21"/>
                <w:szCs w:val="21"/>
                <w:color w:val="auto"/>
              </w:rPr>
            </w:pPr>
          </w:p>
        </w:tc>
        <w:tc>
          <w:tcPr>
            <w:tcW w:w="1360" w:type="dxa"/>
            <w:vAlign w:val="bottom"/>
            <w:gridSpan w:val="3"/>
          </w:tcPr>
          <w:p>
            <w:pPr>
              <w:jc w:val="center"/>
              <w:ind w:right="280"/>
              <w:spacing w:after="0"/>
              <w:rPr>
                <w:sz w:val="20"/>
                <w:szCs w:val="20"/>
                <w:color w:val="auto"/>
              </w:rPr>
            </w:pPr>
            <w:r>
              <w:rPr>
                <w:rFonts w:ascii="Arial" w:cs="Arial" w:eastAsia="Arial" w:hAnsi="Arial"/>
                <w:sz w:val="18"/>
                <w:szCs w:val="18"/>
                <w:color w:val="auto"/>
              </w:rPr>
              <w:t>Change</w:t>
            </w:r>
          </w:p>
        </w:tc>
        <w:tc>
          <w:tcPr>
            <w:tcW w:w="2800" w:type="dxa"/>
            <w:vAlign w:val="bottom"/>
            <w:gridSpan w:val="8"/>
            <w:vMerge w:val="continue"/>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183"/>
        </w:trPr>
        <w:tc>
          <w:tcPr>
            <w:tcW w:w="30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3"/>
          </w:tcPr>
          <w:p>
            <w:pPr>
              <w:jc w:val="right"/>
              <w:ind w:right="520"/>
              <w:spacing w:after="0" w:line="182" w:lineRule="exact"/>
              <w:rPr>
                <w:sz w:val="20"/>
                <w:szCs w:val="20"/>
                <w:color w:val="auto"/>
              </w:rPr>
            </w:pPr>
            <w:r>
              <w:rPr>
                <w:rFonts w:ascii="Arial" w:cs="Arial" w:eastAsia="Arial" w:hAnsi="Arial"/>
                <w:sz w:val="18"/>
                <w:szCs w:val="18"/>
                <w:b w:val="1"/>
                <w:bCs w:val="1"/>
                <w:color w:val="auto"/>
              </w:rPr>
              <w:t>2025</w:t>
            </w:r>
          </w:p>
        </w:tc>
        <w:tc>
          <w:tcPr>
            <w:tcW w:w="3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2024</w:t>
            </w: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2025</w:t>
            </w:r>
          </w:p>
        </w:tc>
        <w:tc>
          <w:tcPr>
            <w:tcW w:w="3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2024</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Processing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254,295</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233,545</w:t>
            </w:r>
          </w:p>
        </w:tc>
        <w:tc>
          <w:tcPr>
            <w:tcW w:w="12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8.9 %  $</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749,418</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696,417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7.6 %</w:t>
            </w:r>
          </w:p>
        </w:tc>
        <w:tc>
          <w:tcPr>
            <w:tcW w:w="0" w:type="dxa"/>
            <w:vAlign w:val="bottom"/>
          </w:tcPr>
          <w:p>
            <w:pPr>
              <w:spacing w:after="0"/>
              <w:rPr>
                <w:sz w:val="1"/>
                <w:szCs w:val="1"/>
                <w:color w:val="auto"/>
              </w:rPr>
            </w:pPr>
          </w:p>
        </w:tc>
      </w:tr>
      <w:tr>
        <w:trPr>
          <w:trHeight w:val="247"/>
        </w:trPr>
        <w:tc>
          <w:tcPr>
            <w:tcW w:w="304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120" w:type="dxa"/>
            <w:vAlign w:val="bottom"/>
          </w:tcPr>
          <w:p>
            <w:pPr>
              <w:spacing w:after="0"/>
              <w:rPr>
                <w:sz w:val="21"/>
                <w:szCs w:val="21"/>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43 %</w:t>
            </w:r>
          </w:p>
        </w:tc>
        <w:tc>
          <w:tcPr>
            <w:tcW w:w="360" w:type="dxa"/>
            <w:vAlign w:val="bottom"/>
          </w:tcPr>
          <w:p>
            <w:pPr>
              <w:spacing w:after="0"/>
              <w:rPr>
                <w:sz w:val="21"/>
                <w:szCs w:val="21"/>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43 %</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43 %</w:t>
            </w:r>
          </w:p>
        </w:tc>
        <w:tc>
          <w:tcPr>
            <w:tcW w:w="360" w:type="dxa"/>
            <w:vAlign w:val="bottom"/>
          </w:tcPr>
          <w:p>
            <w:pPr>
              <w:spacing w:after="0"/>
              <w:rPr>
                <w:sz w:val="21"/>
                <w:szCs w:val="21"/>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42 %</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Processing revenue increased 8.9% for the third quarter of fiscal 2025 compared to the same quarter last fiscal year. This increase was primarily driven by growth in card revenue primarily from monthly service and risk management fees, improvement in Jack Henry digital revenue (including Banno) from a higher number of active users and expanding volumes and from the ramping up of add-on products, higher payment processing revenues, including PayCenter products — Zelle, RTP (Real Time Payments), and FedNow — from expanding volumes and new client revenue. Deconversion revenue did not significantly affect processing revenue quarter over quarter.</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Processing revenue increased 7.6% for the nine months ended March 31, 2025 compared to the same period in fiscal 2024. This increase was primarily driven by growth in card revenue primarily from monthly service and risk management fees, improvement in Jack Henry digital revenue (including Banno) from a higher number of active users and expanding volumes and from the ramping up of add-on products, and higher payment processing revenues, including PayCenter products — Zelle, RTP, and FedNow — from expanding volumes and new client revenue. Deconversion revenue did not significantly affect processing revenue period over period.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0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4"/>
        </w:trPr>
        <w:tc>
          <w:tcPr>
            <w:tcW w:w="3000" w:type="dxa"/>
            <w:vAlign w:val="bottom"/>
          </w:tcPr>
          <w:p>
            <w:pPr>
              <w:ind w:left="20"/>
              <w:spacing w:after="0"/>
              <w:rPr>
                <w:sz w:val="20"/>
                <w:szCs w:val="20"/>
                <w:color w:val="auto"/>
              </w:rPr>
            </w:pPr>
            <w:r>
              <w:rPr>
                <w:rFonts w:ascii="Arial" w:cs="Arial" w:eastAsia="Arial" w:hAnsi="Arial"/>
                <w:sz w:val="18"/>
                <w:szCs w:val="18"/>
                <w:b w:val="1"/>
                <w:bCs w:val="1"/>
                <w:color w:val="auto"/>
              </w:rPr>
              <w:t>Cost of Revenue</w:t>
            </w:r>
          </w:p>
        </w:tc>
        <w:tc>
          <w:tcPr>
            <w:tcW w:w="140" w:type="dxa"/>
            <w:vAlign w:val="bottom"/>
          </w:tcPr>
          <w:p>
            <w:pPr>
              <w:spacing w:after="0"/>
              <w:rPr>
                <w:sz w:val="24"/>
                <w:szCs w:val="24"/>
                <w:color w:val="auto"/>
              </w:rPr>
            </w:pPr>
          </w:p>
        </w:tc>
        <w:tc>
          <w:tcPr>
            <w:tcW w:w="2800" w:type="dxa"/>
            <w:vAlign w:val="bottom"/>
            <w:gridSpan w:val="8"/>
            <w:vMerge w:val="restart"/>
          </w:tcPr>
          <w:p>
            <w:pPr>
              <w:ind w:left="20"/>
              <w:spacing w:after="0"/>
              <w:rPr>
                <w:sz w:val="20"/>
                <w:szCs w:val="20"/>
                <w:color w:val="auto"/>
              </w:rPr>
            </w:pPr>
            <w:r>
              <w:rPr>
                <w:rFonts w:ascii="Arial" w:cs="Arial" w:eastAsia="Arial" w:hAnsi="Arial"/>
                <w:sz w:val="18"/>
                <w:szCs w:val="18"/>
                <w:color w:val="auto"/>
              </w:rPr>
              <w:t>Three Months Ended March 31,</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000" w:type="dxa"/>
            <w:vAlign w:val="bottom"/>
            <w:gridSpan w:val="8"/>
            <w:vMerge w:val="restart"/>
          </w:tcPr>
          <w:p>
            <w:pPr>
              <w:ind w:left="240"/>
              <w:spacing w:after="0"/>
              <w:rPr>
                <w:sz w:val="20"/>
                <w:szCs w:val="20"/>
                <w:color w:val="auto"/>
              </w:rPr>
            </w:pPr>
            <w:r>
              <w:rPr>
                <w:rFonts w:ascii="Arial" w:cs="Arial" w:eastAsia="Arial" w:hAnsi="Arial"/>
                <w:sz w:val="18"/>
                <w:szCs w:val="18"/>
                <w:color w:val="auto"/>
              </w:rPr>
              <w:t>Nine Months Ended March 31,</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3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0" w:type="dxa"/>
            <w:vAlign w:val="bottom"/>
            <w:gridSpan w:val="8"/>
            <w:vMerge w:val="continue"/>
          </w:tcPr>
          <w:p>
            <w:pPr>
              <w:spacing w:after="0"/>
              <w:rPr>
                <w:sz w:val="20"/>
                <w:szCs w:val="20"/>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Change</w:t>
            </w:r>
          </w:p>
        </w:tc>
        <w:tc>
          <w:tcPr>
            <w:tcW w:w="3000" w:type="dxa"/>
            <w:vAlign w:val="bottom"/>
            <w:gridSpan w:val="8"/>
            <w:vMerge w:val="continue"/>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183"/>
        </w:trPr>
        <w:tc>
          <w:tcPr>
            <w:tcW w:w="30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2025</w:t>
            </w:r>
          </w:p>
        </w:tc>
        <w:tc>
          <w:tcPr>
            <w:tcW w:w="3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2024</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2025</w:t>
            </w:r>
          </w:p>
        </w:tc>
        <w:tc>
          <w:tcPr>
            <w:tcW w:w="3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2024</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340,586</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328,224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3.8 %</w:t>
            </w:r>
          </w:p>
        </w:tc>
        <w:tc>
          <w:tcPr>
            <w:tcW w:w="10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   1,016,868</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972,205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4.6 %</w:t>
            </w:r>
          </w:p>
        </w:tc>
        <w:tc>
          <w:tcPr>
            <w:tcW w:w="0" w:type="dxa"/>
            <w:vAlign w:val="bottom"/>
          </w:tcPr>
          <w:p>
            <w:pPr>
              <w:spacing w:after="0"/>
              <w:rPr>
                <w:sz w:val="1"/>
                <w:szCs w:val="1"/>
                <w:color w:val="auto"/>
              </w:rPr>
            </w:pPr>
          </w:p>
        </w:tc>
      </w:tr>
      <w:tr>
        <w:trPr>
          <w:trHeight w:val="247"/>
        </w:trPr>
        <w:tc>
          <w:tcPr>
            <w:tcW w:w="300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140" w:type="dxa"/>
            <w:vAlign w:val="bottom"/>
          </w:tcPr>
          <w:p>
            <w:pPr>
              <w:spacing w:after="0"/>
              <w:rPr>
                <w:sz w:val="21"/>
                <w:szCs w:val="21"/>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58 %</w:t>
            </w:r>
          </w:p>
        </w:tc>
        <w:tc>
          <w:tcPr>
            <w:tcW w:w="360" w:type="dxa"/>
            <w:vAlign w:val="bottom"/>
          </w:tcPr>
          <w:p>
            <w:pPr>
              <w:spacing w:after="0"/>
              <w:rPr>
                <w:sz w:val="21"/>
                <w:szCs w:val="21"/>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61 %</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58 %</w:t>
            </w:r>
          </w:p>
        </w:tc>
        <w:tc>
          <w:tcPr>
            <w:tcW w:w="360" w:type="dxa"/>
            <w:vAlign w:val="bottom"/>
          </w:tcPr>
          <w:p>
            <w:pPr>
              <w:spacing w:after="0"/>
              <w:rPr>
                <w:sz w:val="21"/>
                <w:szCs w:val="21"/>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59 %</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revenue for the third quarter of fiscal 2025 increased 3.8% over the prior fiscal year third quarter. Reducing cost of revenue for deconversion costs from each quarter, which were $1,873 for the current fiscal year quarter and $671 for the prior fiscal year quarter, results in a 3.4% increase quarter over quarter. This increase was primarily due to higher direct costs generally consistent with increases in the related lines of revenue and included higher processing and pass through costs. Also contributing to the increase were higher internal licenses and fees from increased deployments and pricing in the current quarter partially offset by an increase in labor cost deferral. Cost of revenue decreased 3% as a percentage of total revenue compared to the prior fiscal year quarter.</w:t>
      </w:r>
    </w:p>
    <w:p>
      <w:pPr>
        <w:spacing w:after="0" w:line="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Cost of revenue for the nine months ended March 31, 2025, increased 4.6% compared to the same period in fiscal 2024. Reducing cost of revenue for deconversion costs from each period, which were $2,228 for the current fiscal year period and $1,562 for the prior fiscal year period, results in a 4.5% increase period over period. This increase was primarily due to higher direct costs generally consistent with increases in the related lines of revenue, compensation increases in the trailing twelve months, and higher internal licenses and fees from increased deployments and pricing. Also contributing to the increase were higher amortization of intangibles and increased cloud migration and consumption fees, partially offset by a decrease in license and hardware costs and increased labor cost deferral. Cost of revenue decreased 1% as a percentage of total revenue compared to the prior fiscal year period.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Research and Development</w:t>
            </w:r>
          </w:p>
        </w:tc>
        <w:tc>
          <w:tcPr>
            <w:tcW w:w="120" w:type="dxa"/>
            <w:vAlign w:val="bottom"/>
          </w:tcPr>
          <w:p>
            <w:pPr>
              <w:spacing w:after="0"/>
              <w:rPr>
                <w:sz w:val="17"/>
                <w:szCs w:val="17"/>
                <w:color w:val="auto"/>
              </w:rPr>
            </w:pPr>
          </w:p>
        </w:tc>
        <w:tc>
          <w:tcPr>
            <w:tcW w:w="2780" w:type="dxa"/>
            <w:vAlign w:val="bottom"/>
            <w:gridSpan w:val="8"/>
            <w:vMerge w:val="restart"/>
          </w:tcPr>
          <w:p>
            <w:pPr>
              <w:spacing w:after="0"/>
              <w:rPr>
                <w:sz w:val="20"/>
                <w:szCs w:val="20"/>
                <w:color w:val="auto"/>
              </w:rPr>
            </w:pPr>
            <w:r>
              <w:rPr>
                <w:rFonts w:ascii="Arial" w:cs="Arial" w:eastAsia="Arial" w:hAnsi="Arial"/>
                <w:sz w:val="18"/>
                <w:szCs w:val="18"/>
                <w:color w:val="auto"/>
              </w:rPr>
              <w:t>Three Months Ended March 31,</w:t>
            </w: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0" w:type="dxa"/>
            <w:vAlign w:val="bottom"/>
            <w:gridSpan w:val="8"/>
            <w:vMerge w:val="restart"/>
          </w:tcPr>
          <w:p>
            <w:pPr>
              <w:ind w:left="60"/>
              <w:spacing w:after="0"/>
              <w:rPr>
                <w:sz w:val="20"/>
                <w:szCs w:val="20"/>
                <w:color w:val="auto"/>
              </w:rPr>
            </w:pPr>
            <w:r>
              <w:rPr>
                <w:rFonts w:ascii="Arial" w:cs="Arial" w:eastAsia="Arial" w:hAnsi="Arial"/>
                <w:sz w:val="18"/>
                <w:szCs w:val="18"/>
                <w:color w:val="auto"/>
              </w:rPr>
              <w:t>Nine Months Ended March 31,</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80" w:type="dxa"/>
            <w:vAlign w:val="bottom"/>
            <w:gridSpan w:val="8"/>
            <w:vMerge w:val="continue"/>
          </w:tcPr>
          <w:p>
            <w:pPr>
              <w:spacing w:after="0"/>
              <w:rPr>
                <w:sz w:val="21"/>
                <w:szCs w:val="21"/>
                <w:color w:val="auto"/>
              </w:rPr>
            </w:pPr>
          </w:p>
        </w:tc>
        <w:tc>
          <w:tcPr>
            <w:tcW w:w="1360" w:type="dxa"/>
            <w:vAlign w:val="bottom"/>
            <w:gridSpan w:val="3"/>
          </w:tcPr>
          <w:p>
            <w:pPr>
              <w:jc w:val="center"/>
              <w:ind w:right="280"/>
              <w:spacing w:after="0"/>
              <w:rPr>
                <w:sz w:val="20"/>
                <w:szCs w:val="20"/>
                <w:color w:val="auto"/>
              </w:rPr>
            </w:pPr>
            <w:r>
              <w:rPr>
                <w:rFonts w:ascii="Arial" w:cs="Arial" w:eastAsia="Arial" w:hAnsi="Arial"/>
                <w:sz w:val="18"/>
                <w:szCs w:val="18"/>
                <w:color w:val="auto"/>
              </w:rPr>
              <w:t>Change</w:t>
            </w:r>
          </w:p>
        </w:tc>
        <w:tc>
          <w:tcPr>
            <w:tcW w:w="2800" w:type="dxa"/>
            <w:vAlign w:val="bottom"/>
            <w:gridSpan w:val="8"/>
            <w:vMerge w:val="continue"/>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183"/>
        </w:trPr>
        <w:tc>
          <w:tcPr>
            <w:tcW w:w="30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3"/>
          </w:tcPr>
          <w:p>
            <w:pPr>
              <w:jc w:val="right"/>
              <w:ind w:right="520"/>
              <w:spacing w:after="0" w:line="182" w:lineRule="exact"/>
              <w:rPr>
                <w:sz w:val="20"/>
                <w:szCs w:val="20"/>
                <w:color w:val="auto"/>
              </w:rPr>
            </w:pPr>
            <w:r>
              <w:rPr>
                <w:rFonts w:ascii="Arial" w:cs="Arial" w:eastAsia="Arial" w:hAnsi="Arial"/>
                <w:sz w:val="18"/>
                <w:szCs w:val="18"/>
                <w:b w:val="1"/>
                <w:bCs w:val="1"/>
                <w:color w:val="auto"/>
              </w:rPr>
              <w:t>2025</w:t>
            </w:r>
          </w:p>
        </w:tc>
        <w:tc>
          <w:tcPr>
            <w:tcW w:w="3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3"/>
          </w:tcPr>
          <w:p>
            <w:pPr>
              <w:jc w:val="right"/>
              <w:ind w:right="460"/>
              <w:spacing w:after="0" w:line="182" w:lineRule="exact"/>
              <w:rPr>
                <w:sz w:val="20"/>
                <w:szCs w:val="20"/>
                <w:color w:val="auto"/>
              </w:rPr>
            </w:pPr>
            <w:r>
              <w:rPr>
                <w:rFonts w:ascii="Arial" w:cs="Arial" w:eastAsia="Arial" w:hAnsi="Arial"/>
                <w:sz w:val="18"/>
                <w:szCs w:val="18"/>
                <w:color w:val="auto"/>
              </w:rPr>
              <w:t>2024</w:t>
            </w: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2025</w:t>
            </w:r>
          </w:p>
        </w:tc>
        <w:tc>
          <w:tcPr>
            <w:tcW w:w="3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2024</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39,411</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35,993</w:t>
            </w:r>
          </w:p>
        </w:tc>
        <w:tc>
          <w:tcPr>
            <w:tcW w:w="12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9.5 %  $</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120,192</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108,363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10.9 %</w:t>
            </w:r>
          </w:p>
        </w:tc>
        <w:tc>
          <w:tcPr>
            <w:tcW w:w="0" w:type="dxa"/>
            <w:vAlign w:val="bottom"/>
          </w:tcPr>
          <w:p>
            <w:pPr>
              <w:spacing w:after="0"/>
              <w:rPr>
                <w:sz w:val="1"/>
                <w:szCs w:val="1"/>
                <w:color w:val="auto"/>
              </w:rPr>
            </w:pPr>
          </w:p>
        </w:tc>
      </w:tr>
      <w:tr>
        <w:trPr>
          <w:trHeight w:val="247"/>
        </w:trPr>
        <w:tc>
          <w:tcPr>
            <w:tcW w:w="308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120" w:type="dxa"/>
            <w:vAlign w:val="bottom"/>
          </w:tcPr>
          <w:p>
            <w:pPr>
              <w:spacing w:after="0"/>
              <w:rPr>
                <w:sz w:val="21"/>
                <w:szCs w:val="21"/>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7 %</w:t>
            </w:r>
          </w:p>
        </w:tc>
        <w:tc>
          <w:tcPr>
            <w:tcW w:w="360" w:type="dxa"/>
            <w:vAlign w:val="bottom"/>
          </w:tcPr>
          <w:p>
            <w:pPr>
              <w:spacing w:after="0"/>
              <w:rPr>
                <w:sz w:val="21"/>
                <w:szCs w:val="21"/>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7 %</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7 %</w:t>
            </w:r>
          </w:p>
        </w:tc>
        <w:tc>
          <w:tcPr>
            <w:tcW w:w="360" w:type="dxa"/>
            <w:vAlign w:val="bottom"/>
          </w:tcPr>
          <w:p>
            <w:pPr>
              <w:spacing w:after="0"/>
              <w:rPr>
                <w:sz w:val="21"/>
                <w:szCs w:val="21"/>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 increased 9.5% for the third quarter of fiscal 2025 compared to the prior fiscal year third quarter. This increase was primarily due to higher personnel costs (net of capitalization) from compensation increases and employee headcount additions in the trailing twelve months. Deconversion and non-recurring costs did not significantly affect research and development expenses quarter over quarter. Research and development expense remained consistent as a percentage of total revenue compared to the prior fiscal year quarter.</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 increased 10.9% for the nine months ended March 31, 2025, compared to the same period in fiscal 2024. This increase was primarily due to higher personnel costs (net of capitalization) from compensation increases and employee headcount additions in the trailing twelve months. Deconversion and non-recurring costs did not significantly affect research and development expenses period over period. Research and development expense remained consistent as a percentage of total revenue compared to the prior fiscal year period.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Selling, General, and</w:t>
            </w:r>
          </w:p>
        </w:tc>
        <w:tc>
          <w:tcPr>
            <w:tcW w:w="120" w:type="dxa"/>
            <w:vAlign w:val="bottom"/>
          </w:tcPr>
          <w:p>
            <w:pPr>
              <w:spacing w:after="0"/>
              <w:rPr>
                <w:sz w:val="17"/>
                <w:szCs w:val="17"/>
                <w:color w:val="auto"/>
              </w:rPr>
            </w:pPr>
          </w:p>
        </w:tc>
        <w:tc>
          <w:tcPr>
            <w:tcW w:w="2760" w:type="dxa"/>
            <w:vAlign w:val="bottom"/>
            <w:gridSpan w:val="8"/>
            <w:vMerge w:val="restart"/>
          </w:tcPr>
          <w:p>
            <w:pPr>
              <w:spacing w:after="0"/>
              <w:rPr>
                <w:sz w:val="20"/>
                <w:szCs w:val="20"/>
                <w:color w:val="auto"/>
              </w:rPr>
            </w:pPr>
            <w:r>
              <w:rPr>
                <w:rFonts w:ascii="Arial" w:cs="Arial" w:eastAsia="Arial" w:hAnsi="Arial"/>
                <w:sz w:val="18"/>
                <w:szCs w:val="18"/>
                <w:color w:val="auto"/>
              </w:rPr>
              <w:t>Three Months Ended March 31,</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0" w:type="dxa"/>
            <w:vAlign w:val="bottom"/>
            <w:gridSpan w:val="7"/>
            <w:vMerge w:val="restart"/>
          </w:tcPr>
          <w:p>
            <w:pPr>
              <w:ind w:left="40"/>
              <w:spacing w:after="0"/>
              <w:rPr>
                <w:sz w:val="20"/>
                <w:szCs w:val="20"/>
                <w:color w:val="auto"/>
              </w:rPr>
            </w:pPr>
            <w:r>
              <w:rPr>
                <w:rFonts w:ascii="Arial" w:cs="Arial" w:eastAsia="Arial" w:hAnsi="Arial"/>
                <w:sz w:val="18"/>
                <w:szCs w:val="18"/>
                <w:color w:val="auto"/>
              </w:rPr>
              <w:t>Nine Months Ended March 31,</w:t>
            </w: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Administrative</w:t>
            </w:r>
          </w:p>
        </w:tc>
        <w:tc>
          <w:tcPr>
            <w:tcW w:w="120" w:type="dxa"/>
            <w:vAlign w:val="bottom"/>
          </w:tcPr>
          <w:p>
            <w:pPr>
              <w:spacing w:after="0"/>
              <w:rPr>
                <w:sz w:val="20"/>
                <w:szCs w:val="20"/>
                <w:color w:val="auto"/>
              </w:rPr>
            </w:pPr>
          </w:p>
        </w:tc>
        <w:tc>
          <w:tcPr>
            <w:tcW w:w="2760" w:type="dxa"/>
            <w:vAlign w:val="bottom"/>
            <w:gridSpan w:val="8"/>
            <w:vMerge w:val="continue"/>
          </w:tcPr>
          <w:p>
            <w:pPr>
              <w:spacing w:after="0"/>
              <w:rPr>
                <w:sz w:val="20"/>
                <w:szCs w:val="20"/>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color w:val="auto"/>
              </w:rPr>
              <w:t>Change</w:t>
            </w:r>
          </w:p>
        </w:tc>
        <w:tc>
          <w:tcPr>
            <w:tcW w:w="2800" w:type="dxa"/>
            <w:vAlign w:val="bottom"/>
            <w:gridSpan w:val="7"/>
            <w:vMerge w:val="continue"/>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183"/>
        </w:trPr>
        <w:tc>
          <w:tcPr>
            <w:tcW w:w="3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2025</w:t>
            </w:r>
          </w:p>
        </w:tc>
        <w:tc>
          <w:tcPr>
            <w:tcW w:w="3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3"/>
          </w:tcPr>
          <w:p>
            <w:pPr>
              <w:jc w:val="right"/>
              <w:ind w:right="460"/>
              <w:spacing w:after="0" w:line="182" w:lineRule="exact"/>
              <w:rPr>
                <w:sz w:val="20"/>
                <w:szCs w:val="20"/>
                <w:color w:val="auto"/>
              </w:rPr>
            </w:pPr>
            <w:r>
              <w:rPr>
                <w:rFonts w:ascii="Arial" w:cs="Arial" w:eastAsia="Arial" w:hAnsi="Arial"/>
                <w:sz w:val="18"/>
                <w:szCs w:val="18"/>
                <w:color w:val="auto"/>
              </w:rPr>
              <w:t>2024</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2025</w:t>
            </w:r>
          </w:p>
        </w:tc>
        <w:tc>
          <w:tcPr>
            <w:tcW w:w="5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2"/>
          </w:tcPr>
          <w:p>
            <w:pPr>
              <w:jc w:val="right"/>
              <w:ind w:right="500"/>
              <w:spacing w:after="0" w:line="182" w:lineRule="exact"/>
              <w:rPr>
                <w:sz w:val="20"/>
                <w:szCs w:val="20"/>
                <w:color w:val="auto"/>
              </w:rPr>
            </w:pPr>
            <w:r>
              <w:rPr>
                <w:rFonts w:ascii="Arial" w:cs="Arial" w:eastAsia="Arial" w:hAnsi="Arial"/>
                <w:sz w:val="18"/>
                <w:szCs w:val="18"/>
                <w:color w:val="auto"/>
                <w:w w:val="94"/>
              </w:rPr>
              <w:t>2024</w:t>
            </w:r>
          </w:p>
        </w:tc>
        <w:tc>
          <w:tcPr>
            <w:tcW w:w="1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66,350</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62,246</w:t>
            </w:r>
          </w:p>
        </w:tc>
        <w:tc>
          <w:tcPr>
            <w:tcW w:w="10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6.6 %  $</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209,839</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211,298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0" w:type="dxa"/>
            <w:vAlign w:val="bottom"/>
          </w:tcPr>
          <w:p>
            <w:pPr>
              <w:spacing w:after="0"/>
              <w:rPr>
                <w:sz w:val="1"/>
                <w:szCs w:val="1"/>
                <w:color w:val="auto"/>
              </w:rPr>
            </w:pPr>
          </w:p>
        </w:tc>
      </w:tr>
      <w:tr>
        <w:trPr>
          <w:trHeight w:val="247"/>
        </w:trPr>
        <w:tc>
          <w:tcPr>
            <w:tcW w:w="310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120" w:type="dxa"/>
            <w:vAlign w:val="bottom"/>
          </w:tcPr>
          <w:p>
            <w:pPr>
              <w:spacing w:after="0"/>
              <w:rPr>
                <w:sz w:val="21"/>
                <w:szCs w:val="21"/>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11 %</w:t>
            </w:r>
          </w:p>
        </w:tc>
        <w:tc>
          <w:tcPr>
            <w:tcW w:w="340" w:type="dxa"/>
            <w:vAlign w:val="bottom"/>
          </w:tcPr>
          <w:p>
            <w:pPr>
              <w:spacing w:after="0"/>
              <w:rPr>
                <w:sz w:val="21"/>
                <w:szCs w:val="21"/>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12 %</w:t>
            </w:r>
          </w:p>
        </w:tc>
        <w:tc>
          <w:tcPr>
            <w:tcW w:w="54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 increased 6.6% in the third quarter of fiscal 2025 compared to the same quarter in the prior fiscal year. Reducing selling, general, and administrative expense for deconversion costs from each quarter, which were $920 for the current fiscal year quarter and $178 for the prior fiscal year quarter results in a 5.4% increase quarter over quarter. This increase was primarily due to compensation increases related to an increase in employee headcount in the trailing twelve months and higher commission expense. Selling, general, and administrative expense decreased 1% as a percentage of total revenue compared to the prior fiscal year quarter.</w:t>
      </w:r>
    </w:p>
    <w:p>
      <w:pPr>
        <w:spacing w:after="0" w:line="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 decreased 0.7% in the nine months ended March 31, 2025, compared to the same period in 2024. Reducing selling, general, and administrative expense for deconversion costs from each period, which were $1,458 for the current fiscal year period and $747 for the prior fiscal year period and for VEDIP program expense of $16,443 in the prior fiscal year period, results in a 7.4% increase period over period. This increase was primarily due to compensation increases related to an increase in employee headcount in the trailing twelve months and higher commissions expense. Selling, general, and administrative expense decreased 1% as a percentage of total revenue compared to the prior fiscal year period.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INTEREST INCOME (EXPENSE)</w:t>
            </w:r>
          </w:p>
        </w:tc>
        <w:tc>
          <w:tcPr>
            <w:tcW w:w="2740" w:type="dxa"/>
            <w:vAlign w:val="bottom"/>
            <w:gridSpan w:val="8"/>
            <w:vMerge w:val="restart"/>
          </w:tcPr>
          <w:p>
            <w:pPr>
              <w:ind w:left="60"/>
              <w:spacing w:after="0"/>
              <w:rPr>
                <w:sz w:val="20"/>
                <w:szCs w:val="20"/>
                <w:color w:val="auto"/>
              </w:rPr>
            </w:pPr>
            <w:r>
              <w:rPr>
                <w:rFonts w:ascii="Arial" w:cs="Arial" w:eastAsia="Arial" w:hAnsi="Arial"/>
                <w:sz w:val="18"/>
                <w:szCs w:val="18"/>
                <w:color w:val="auto"/>
              </w:rPr>
              <w:t>Three Months Ended March 31,</w:t>
            </w:r>
          </w:p>
        </w:tc>
        <w:tc>
          <w:tcPr>
            <w:tcW w:w="11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760" w:type="dxa"/>
            <w:vAlign w:val="bottom"/>
            <w:gridSpan w:val="9"/>
            <w:vMerge w:val="restart"/>
          </w:tcPr>
          <w:p>
            <w:pPr>
              <w:ind w:left="120"/>
              <w:spacing w:after="0"/>
              <w:rPr>
                <w:sz w:val="20"/>
                <w:szCs w:val="20"/>
                <w:color w:val="auto"/>
              </w:rPr>
            </w:pPr>
            <w:r>
              <w:rPr>
                <w:rFonts w:ascii="Arial" w:cs="Arial" w:eastAsia="Arial" w:hAnsi="Arial"/>
                <w:sz w:val="18"/>
                <w:szCs w:val="18"/>
                <w:color w:val="auto"/>
              </w:rPr>
              <w:t>Nine Months Ended March 31,</w:t>
            </w:r>
          </w:p>
        </w:tc>
        <w:tc>
          <w:tcPr>
            <w:tcW w:w="11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1"/>
                <w:szCs w:val="21"/>
                <w:color w:val="auto"/>
              </w:rPr>
            </w:pPr>
          </w:p>
        </w:tc>
        <w:tc>
          <w:tcPr>
            <w:tcW w:w="2740" w:type="dxa"/>
            <w:vAlign w:val="bottom"/>
            <w:gridSpan w:val="8"/>
            <w:vMerge w:val="continue"/>
          </w:tcPr>
          <w:p>
            <w:pPr>
              <w:spacing w:after="0"/>
              <w:rPr>
                <w:sz w:val="21"/>
                <w:szCs w:val="21"/>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Change</w:t>
            </w:r>
          </w:p>
        </w:tc>
        <w:tc>
          <w:tcPr>
            <w:tcW w:w="2760" w:type="dxa"/>
            <w:vAlign w:val="bottom"/>
            <w:gridSpan w:val="9"/>
            <w:vMerge w:val="continue"/>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183"/>
        </w:trPr>
        <w:tc>
          <w:tcPr>
            <w:tcW w:w="34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2025</w:t>
            </w:r>
          </w:p>
        </w:tc>
        <w:tc>
          <w:tcPr>
            <w:tcW w:w="4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2"/>
          </w:tcPr>
          <w:p>
            <w:pPr>
              <w:jc w:val="right"/>
              <w:ind w:right="420"/>
              <w:spacing w:after="0" w:line="182" w:lineRule="exact"/>
              <w:rPr>
                <w:sz w:val="20"/>
                <w:szCs w:val="20"/>
                <w:color w:val="auto"/>
              </w:rPr>
            </w:pPr>
            <w:r>
              <w:rPr>
                <w:rFonts w:ascii="Arial" w:cs="Arial" w:eastAsia="Arial" w:hAnsi="Arial"/>
                <w:sz w:val="18"/>
                <w:szCs w:val="18"/>
                <w:color w:val="auto"/>
                <w:w w:val="94"/>
              </w:rPr>
              <w:t>2024</w:t>
            </w:r>
          </w:p>
        </w:tc>
        <w:tc>
          <w:tcPr>
            <w:tcW w:w="1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b w:val="1"/>
                <w:bCs w:val="1"/>
                <w:color w:val="auto"/>
              </w:rPr>
              <w:t>2025</w:t>
            </w:r>
          </w:p>
        </w:tc>
        <w:tc>
          <w:tcPr>
            <w:tcW w:w="3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3"/>
          </w:tcPr>
          <w:p>
            <w:pPr>
              <w:jc w:val="right"/>
              <w:ind w:right="440"/>
              <w:spacing w:after="0" w:line="182" w:lineRule="exact"/>
              <w:rPr>
                <w:sz w:val="20"/>
                <w:szCs w:val="20"/>
                <w:color w:val="auto"/>
              </w:rPr>
            </w:pPr>
            <w:r>
              <w:rPr>
                <w:rFonts w:ascii="Arial" w:cs="Arial" w:eastAsia="Arial" w:hAnsi="Arial"/>
                <w:sz w:val="18"/>
                <w:szCs w:val="18"/>
                <w:color w:val="auto"/>
              </w:rPr>
              <w:t>2024</w:t>
            </w: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4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5,899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6,499</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21,406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16,365</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30.8 %</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(2,731)</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(4,433)</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(8,336)</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(12,495)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Interest income decreased due to lower interest-earning balances for the three months ended March 31, 2025, compared to the three months ended March 31, 2024. Interest income increased due to higher interest-earning balances for the nine months ended March 31, 2025 compared to the nine months ended March 31, 2024.</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Interest expense decreased for the three and nine months ended March 31, 2025, compared to the three and nine months ended March 31, 2024 primarily due to a decrease in average outstanding debt period over period. There was $170,000 outstanding under the revolving credit and term loan facilities at March 31, 2025, and $250,000 outstanding under the revolving credit and term loan facilities at March 31, 2024.</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140" w:type="dxa"/>
            <w:vAlign w:val="bottom"/>
          </w:tcPr>
          <w:p>
            <w:pPr>
              <w:spacing w:after="0"/>
              <w:rPr>
                <w:sz w:val="17"/>
                <w:szCs w:val="17"/>
                <w:color w:val="auto"/>
              </w:rPr>
            </w:pPr>
          </w:p>
        </w:tc>
        <w:tc>
          <w:tcPr>
            <w:tcW w:w="2780" w:type="dxa"/>
            <w:vAlign w:val="bottom"/>
            <w:gridSpan w:val="8"/>
            <w:vMerge w:val="restart"/>
          </w:tcPr>
          <w:p>
            <w:pPr>
              <w:spacing w:after="0"/>
              <w:rPr>
                <w:sz w:val="20"/>
                <w:szCs w:val="20"/>
                <w:color w:val="auto"/>
              </w:rPr>
            </w:pPr>
            <w:r>
              <w:rPr>
                <w:rFonts w:ascii="Arial" w:cs="Arial" w:eastAsia="Arial" w:hAnsi="Arial"/>
                <w:sz w:val="18"/>
                <w:szCs w:val="18"/>
                <w:color w:val="auto"/>
              </w:rPr>
              <w:t>Three Months Ended March 31,</w:t>
            </w: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80" w:type="dxa"/>
            <w:vAlign w:val="bottom"/>
            <w:gridSpan w:val="7"/>
            <w:vMerge w:val="restart"/>
          </w:tcPr>
          <w:p>
            <w:pPr>
              <w:ind w:left="40"/>
              <w:spacing w:after="0"/>
              <w:rPr>
                <w:sz w:val="20"/>
                <w:szCs w:val="20"/>
                <w:color w:val="auto"/>
              </w:rPr>
            </w:pPr>
            <w:r>
              <w:rPr>
                <w:rFonts w:ascii="Arial" w:cs="Arial" w:eastAsia="Arial" w:hAnsi="Arial"/>
                <w:sz w:val="18"/>
                <w:szCs w:val="18"/>
                <w:color w:val="auto"/>
              </w:rPr>
              <w:t>Nine Months Ended March 31,</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3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8"/>
            <w:vMerge w:val="continue"/>
          </w:tcPr>
          <w:p>
            <w:pPr>
              <w:spacing w:after="0"/>
              <w:rPr>
                <w:sz w:val="20"/>
                <w:szCs w:val="20"/>
                <w:color w:val="auto"/>
              </w:rPr>
            </w:pPr>
          </w:p>
        </w:tc>
        <w:tc>
          <w:tcPr>
            <w:tcW w:w="1360" w:type="dxa"/>
            <w:vAlign w:val="bottom"/>
            <w:gridSpan w:val="3"/>
          </w:tcPr>
          <w:p>
            <w:pPr>
              <w:jc w:val="center"/>
              <w:ind w:right="260"/>
              <w:spacing w:after="0"/>
              <w:rPr>
                <w:sz w:val="20"/>
                <w:szCs w:val="20"/>
                <w:color w:val="auto"/>
              </w:rPr>
            </w:pPr>
            <w:r>
              <w:rPr>
                <w:rFonts w:ascii="Arial" w:cs="Arial" w:eastAsia="Arial" w:hAnsi="Arial"/>
                <w:sz w:val="18"/>
                <w:szCs w:val="18"/>
                <w:color w:val="auto"/>
                <w:w w:val="98"/>
              </w:rPr>
              <w:t>Change</w:t>
            </w:r>
          </w:p>
        </w:tc>
        <w:tc>
          <w:tcPr>
            <w:tcW w:w="2780" w:type="dxa"/>
            <w:vAlign w:val="bottom"/>
            <w:gridSpan w:val="7"/>
            <w:vMerge w:val="continue"/>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183"/>
        </w:trPr>
        <w:tc>
          <w:tcPr>
            <w:tcW w:w="30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2025</w:t>
            </w:r>
          </w:p>
        </w:tc>
        <w:tc>
          <w:tcPr>
            <w:tcW w:w="5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2024</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2025</w:t>
            </w:r>
          </w:p>
        </w:tc>
        <w:tc>
          <w:tcPr>
            <w:tcW w:w="5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2"/>
          </w:tcPr>
          <w:p>
            <w:pPr>
              <w:jc w:val="right"/>
              <w:ind w:right="480"/>
              <w:spacing w:after="0" w:line="182" w:lineRule="exact"/>
              <w:rPr>
                <w:sz w:val="20"/>
                <w:szCs w:val="20"/>
                <w:color w:val="auto"/>
              </w:rPr>
            </w:pPr>
            <w:r>
              <w:rPr>
                <w:rFonts w:ascii="Arial" w:cs="Arial" w:eastAsia="Arial" w:hAnsi="Arial"/>
                <w:sz w:val="18"/>
                <w:szCs w:val="18"/>
                <w:color w:val="auto"/>
                <w:w w:val="94"/>
              </w:rPr>
              <w:t>2024</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340" w:type="dxa"/>
            <w:vAlign w:val="bottom"/>
          </w:tcPr>
          <w:p>
            <w:pPr>
              <w:spacing w:after="0"/>
              <w:rPr>
                <w:sz w:val="21"/>
                <w:szCs w:val="21"/>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30,800</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27,066</w:t>
            </w:r>
          </w:p>
        </w:tc>
        <w:tc>
          <w:tcPr>
            <w:tcW w:w="100" w:type="dxa"/>
            <w:vAlign w:val="bottom"/>
          </w:tcPr>
          <w:p>
            <w:pPr>
              <w:spacing w:after="0"/>
              <w:rPr>
                <w:sz w:val="21"/>
                <w:szCs w:val="21"/>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13.8 %  $</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97,943</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86,892</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12.7 %</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Rate</w:t>
            </w:r>
          </w:p>
        </w:tc>
        <w:tc>
          <w:tcPr>
            <w:tcW w:w="1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21.7 %</w:t>
            </w:r>
          </w:p>
        </w:tc>
        <w:tc>
          <w:tcPr>
            <w:tcW w:w="3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23.7 %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23.0 %</w:t>
            </w:r>
          </w:p>
        </w:tc>
        <w:tc>
          <w:tcPr>
            <w:tcW w:w="5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provision for income taxes increased 13.8% for the third quarter of fiscal 2025, compared to the third quarter of fiscal 2024. Removing from the provision for income taxes the effect of taxes on deconversion net income of $1,644 for the current fiscal quarter and on deconversion net loss of $1 for the prior fiscal year third quarter results in an increase of 7.7%, quarter over quarter. This increase was primarily driven by the increase in income before income taxes partially offset by a decrease in the Company's effective tax rate due to the timing of filing our Federal tax return and recognition of return-to -provision adjustments. The effective tax rate for the current fiscal third quarter was 21.7% compared to 23.7% for the same quarter a year ago.</w:t>
      </w:r>
    </w:p>
    <w:p>
      <w:pPr>
        <w:spacing w:after="0" w:line="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provision for income taxes increased 12.7% for the nine months ended March 31, 2025, compared to the same period in fiscal 2024. Removing from the provision for income taxes the effect of taxes on deconversion net income of $2,334 for the nine months ended March 31, 2025 and $1,812 for the nine months ended March 31, 2024 and the tax benefit on VEDIP expense of $3,946 for the prior fiscal year period results in an increase of 7.4%, period over period. This increase was primarily driven by the increase in income before income taxes partially offset by a decrease in the Company's effective tax rate due to the timing of filing our Federal tax return and recognition of return-to-provision adjustments. The effective tax rate for the current fiscal year period was 23.0% compared to 23.6% for the same period a year ago.</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740" w:type="dxa"/>
            <w:vAlign w:val="bottom"/>
            <w:gridSpan w:val="9"/>
            <w:vMerge w:val="restart"/>
          </w:tcPr>
          <w:p>
            <w:pPr>
              <w:ind w:left="40"/>
              <w:spacing w:after="0"/>
              <w:rPr>
                <w:sz w:val="20"/>
                <w:szCs w:val="20"/>
                <w:color w:val="auto"/>
              </w:rPr>
            </w:pPr>
            <w:r>
              <w:rPr>
                <w:rFonts w:ascii="Arial" w:cs="Arial" w:eastAsia="Arial" w:hAnsi="Arial"/>
                <w:sz w:val="18"/>
                <w:szCs w:val="18"/>
                <w:color w:val="auto"/>
              </w:rPr>
              <w:t>Three Months Ended March 31,</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gridSpan w:val="9"/>
          </w:tcPr>
          <w:p>
            <w:pPr>
              <w:ind w:left="100"/>
              <w:spacing w:after="0"/>
              <w:rPr>
                <w:sz w:val="20"/>
                <w:szCs w:val="20"/>
                <w:color w:val="auto"/>
              </w:rPr>
            </w:pPr>
            <w:r>
              <w:rPr>
                <w:rFonts w:ascii="Arial" w:cs="Arial" w:eastAsia="Arial" w:hAnsi="Arial"/>
                <w:sz w:val="18"/>
                <w:szCs w:val="18"/>
                <w:color w:val="auto"/>
              </w:rPr>
              <w:t>Nine Months Ended March</w:t>
            </w: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4"/>
        </w:trPr>
        <w:tc>
          <w:tcPr>
            <w:tcW w:w="3540" w:type="dxa"/>
            <w:vAlign w:val="bottom"/>
          </w:tcPr>
          <w:p>
            <w:pPr>
              <w:spacing w:after="0"/>
              <w:rPr>
                <w:sz w:val="16"/>
                <w:szCs w:val="16"/>
                <w:color w:val="auto"/>
              </w:rPr>
            </w:pPr>
          </w:p>
        </w:tc>
        <w:tc>
          <w:tcPr>
            <w:tcW w:w="2740" w:type="dxa"/>
            <w:vAlign w:val="bottom"/>
            <w:gridSpan w:val="9"/>
            <w:vMerge w:val="continue"/>
          </w:tcPr>
          <w:p>
            <w:pPr>
              <w:spacing w:after="0"/>
              <w:rPr>
                <w:sz w:val="16"/>
                <w:szCs w:val="16"/>
                <w:color w:val="auto"/>
              </w:rPr>
            </w:pPr>
          </w:p>
        </w:tc>
        <w:tc>
          <w:tcPr>
            <w:tcW w:w="1320" w:type="dxa"/>
            <w:vAlign w:val="bottom"/>
            <w:gridSpan w:val="4"/>
          </w:tcPr>
          <w:p>
            <w:pPr>
              <w:jc w:val="center"/>
              <w:ind w:right="100"/>
              <w:spacing w:after="0" w:line="195" w:lineRule="exact"/>
              <w:rPr>
                <w:sz w:val="20"/>
                <w:szCs w:val="20"/>
                <w:color w:val="auto"/>
              </w:rPr>
            </w:pPr>
            <w:r>
              <w:rPr>
                <w:rFonts w:ascii="Arial" w:cs="Arial" w:eastAsia="Arial" w:hAnsi="Arial"/>
                <w:sz w:val="18"/>
                <w:szCs w:val="18"/>
                <w:color w:val="auto"/>
                <w:w w:val="98"/>
              </w:rPr>
              <w:t>Change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jc w:val="right"/>
              <w:ind w:right="70"/>
              <w:spacing w:after="0" w:line="195" w:lineRule="exact"/>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b w:val="1"/>
                <w:bCs w:val="1"/>
                <w:color w:val="auto"/>
                <w:w w:val="94"/>
              </w:rPr>
              <w:t>2025</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gridSpan w:val="3"/>
          </w:tcPr>
          <w:p>
            <w:pPr>
              <w:jc w:val="right"/>
              <w:ind w:right="420"/>
              <w:spacing w:after="0" w:line="182" w:lineRule="exact"/>
              <w:rPr>
                <w:sz w:val="20"/>
                <w:szCs w:val="20"/>
                <w:color w:val="auto"/>
              </w:rPr>
            </w:pPr>
            <w:r>
              <w:rPr>
                <w:rFonts w:ascii="Arial" w:cs="Arial" w:eastAsia="Arial" w:hAnsi="Arial"/>
                <w:sz w:val="18"/>
                <w:szCs w:val="18"/>
                <w:color w:val="auto"/>
              </w:rPr>
              <w:t>2024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3"/>
          </w:tcPr>
          <w:p>
            <w:pPr>
              <w:jc w:val="right"/>
              <w:ind w:right="260"/>
              <w:spacing w:after="0" w:line="182" w:lineRule="exact"/>
              <w:rPr>
                <w:sz w:val="20"/>
                <w:szCs w:val="20"/>
                <w:color w:val="auto"/>
              </w:rPr>
            </w:pPr>
            <w:r>
              <w:rPr>
                <w:rFonts w:ascii="Arial" w:cs="Arial" w:eastAsia="Arial" w:hAnsi="Arial"/>
                <w:sz w:val="18"/>
                <w:szCs w:val="18"/>
                <w:b w:val="1"/>
                <w:bCs w:val="1"/>
                <w:color w:val="auto"/>
              </w:rPr>
              <w:t>2025</w:t>
            </w:r>
          </w:p>
        </w:tc>
        <w:tc>
          <w:tcPr>
            <w:tcW w:w="420" w:type="dxa"/>
            <w:vAlign w:val="bottom"/>
          </w:tcPr>
          <w:p>
            <w:pPr>
              <w:spacing w:after="0"/>
              <w:rPr>
                <w:sz w:val="15"/>
                <w:szCs w:val="15"/>
                <w:color w:val="auto"/>
              </w:rPr>
            </w:pPr>
          </w:p>
        </w:tc>
        <w:tc>
          <w:tcPr>
            <w:tcW w:w="860" w:type="dxa"/>
            <w:vAlign w:val="bottom"/>
            <w:gridSpan w:val="3"/>
          </w:tcPr>
          <w:p>
            <w:pPr>
              <w:jc w:val="right"/>
              <w:ind w:right="340"/>
              <w:spacing w:after="0" w:line="182" w:lineRule="exact"/>
              <w:rPr>
                <w:sz w:val="20"/>
                <w:szCs w:val="20"/>
                <w:color w:val="auto"/>
              </w:rPr>
            </w:pPr>
            <w:r>
              <w:rPr>
                <w:rFonts w:ascii="Arial" w:cs="Arial" w:eastAsia="Arial" w:hAnsi="Arial"/>
                <w:sz w:val="18"/>
                <w:szCs w:val="18"/>
                <w:color w:val="auto"/>
              </w:rPr>
              <w:t>2024</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6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111,108</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87,099</w:t>
            </w:r>
          </w:p>
        </w:tc>
        <w:tc>
          <w:tcPr>
            <w:tcW w:w="12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27.6 %</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gridSpan w:val="3"/>
          </w:tcPr>
          <w:p>
            <w:pPr>
              <w:jc w:val="right"/>
              <w:spacing w:after="0"/>
              <w:rPr>
                <w:sz w:val="20"/>
                <w:szCs w:val="20"/>
                <w:color w:val="auto"/>
              </w:rPr>
            </w:pPr>
            <w:r>
              <w:rPr>
                <w:rFonts w:ascii="Arial" w:cs="Arial" w:eastAsia="Arial" w:hAnsi="Arial"/>
                <w:sz w:val="18"/>
                <w:szCs w:val="18"/>
                <w:b w:val="1"/>
                <w:bCs w:val="1"/>
                <w:color w:val="auto"/>
              </w:rPr>
              <w:t>328,144</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280,743</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16.9 %</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1.52</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27.6 %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4.49</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16.8 %</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increased 27.6% to $111,108, or $1.52 per diluted share, for the third quarter of fiscal 2025 compared to $87,099, or $1.19 per diluted share, in the same quarter of fiscal 2024. Removing from total net income the effects of deconversion net income of $ 5,207 for the current fiscal quarter and deconversion net loss of $5 for the prior fiscal year quarter, results in a 21.6% increase quarter over quarter. This increase was primarily due to net organic growth in our lines of revenue for the third quarter of fiscal 2025 partially offset by higher operating expenses and the increased provision for income taxes compared to the same quarter last fiscal year.</w:t>
      </w:r>
    </w:p>
    <w:p>
      <w:pPr>
        <w:spacing w:after="0" w:line="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income increased 16.9% to $328,144, or $4.49 per diluted share, for the nine months ended March 31, 2025 compared to $280,743, or $3.85 per diluted share, in the same period of fiscal 2024. Removing from total net income the effects of deconversion net income of $ 7,390 for the current fiscal year period and $5,739 for the prior fiscal year period, and the VEDIP program net loss of $ 12,497 for the prior fiscal year period, results in an 11.6% increase period over period. This increase was primarily due to net organic growth in our lines of revenue for the nine months ended March 31, 2025, partially offset by higher operating expenses and the increased provision for income taxes compared to the same period last fiscal year.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 DISCUSSION</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is a well-rounded financial technology company and is a leading provider of technology solutions and payment processing services primarily to community and regional financial institutions.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operations are classified into four reportable segments: Core, Payments, Complementary, and Corporate and Other. The Core segment provides core information processing platforms to banks and credit unions, which consist of integrated applications required to process deposit, loan, and general ledger transactions, and maintain centralized customer/member information. The Payments segment provides secure payment processing tools and services, including ATM, debit, and credit card processing services, online and mobile bill pay solutions, ACH origination and remote deposit capture processing, and risk management products and services. The Complementary segment provides additional software, hosted processing platforms, and services, including digital/mobile banking, treasury services, online account opening, fraud/anti-money laundering ("AML") and lending/deposit solutions that can be integrated with the Company's Core solutions, and many can be used independently. The Corporate and Other segment includes revenue and costs from hardware and other products not attributed to any of the other three segments, as well as operating expenses not directly attributable to the other three segments.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 Company evaluates the performance of its segments and allocates resources to them based on various factors, including performance against trend, budget, and forecast. Only revenue and costs of revenue are considered in the evaluation for each segment.</w:t>
      </w:r>
    </w:p>
    <w:p>
      <w:pPr>
        <w:spacing w:after="0" w:line="4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Immaterial adjustments have been made between segments to reclassify cost of revenue that was recognized for the three and nine months ended March 31, 2024. These reclasses were made to be consistent with the current allocation of cost of revenue by segment. Cost of revenue reclassed for the three and nine months ended March 31, 2024, from Complementary to Corporate and Other, was $1,195 and $3,710,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Core</w:t>
            </w:r>
          </w:p>
        </w:tc>
        <w:tc>
          <w:tcPr>
            <w:tcW w:w="2760" w:type="dxa"/>
            <w:vAlign w:val="bottom"/>
            <w:gridSpan w:val="9"/>
          </w:tcPr>
          <w:p>
            <w:pPr>
              <w:ind w:left="60"/>
              <w:spacing w:after="0"/>
              <w:rPr>
                <w:sz w:val="20"/>
                <w:szCs w:val="20"/>
                <w:color w:val="auto"/>
              </w:rPr>
            </w:pPr>
            <w:r>
              <w:rPr>
                <w:rFonts w:ascii="Arial" w:cs="Arial" w:eastAsia="Arial" w:hAnsi="Arial"/>
                <w:sz w:val="18"/>
                <w:szCs w:val="18"/>
                <w:color w:val="auto"/>
              </w:rPr>
              <w:t>Three Months Ended March 31,</w:t>
            </w:r>
          </w:p>
        </w:tc>
        <w:tc>
          <w:tcPr>
            <w:tcW w:w="1240" w:type="dxa"/>
            <w:vAlign w:val="bottom"/>
            <w:gridSpan w:val="2"/>
          </w:tcPr>
          <w:p>
            <w:pPr>
              <w:ind w:left="140"/>
              <w:spacing w:after="0"/>
              <w:rPr>
                <w:sz w:val="20"/>
                <w:szCs w:val="20"/>
                <w:color w:val="auto"/>
              </w:rPr>
            </w:pPr>
            <w:r>
              <w:rPr>
                <w:rFonts w:ascii="Arial" w:cs="Arial" w:eastAsia="Arial" w:hAnsi="Arial"/>
                <w:sz w:val="18"/>
                <w:szCs w:val="18"/>
                <w:color w:val="auto"/>
              </w:rPr>
              <w:t>% Change</w:t>
            </w:r>
          </w:p>
        </w:tc>
        <w:tc>
          <w:tcPr>
            <w:tcW w:w="2740" w:type="dxa"/>
            <w:vAlign w:val="bottom"/>
            <w:gridSpan w:val="7"/>
          </w:tcPr>
          <w:p>
            <w:pPr>
              <w:ind w:left="100"/>
              <w:spacing w:after="0"/>
              <w:rPr>
                <w:sz w:val="20"/>
                <w:szCs w:val="20"/>
                <w:color w:val="auto"/>
              </w:rPr>
            </w:pPr>
            <w:r>
              <w:rPr>
                <w:rFonts w:ascii="Arial" w:cs="Arial" w:eastAsia="Arial" w:hAnsi="Arial"/>
                <w:sz w:val="18"/>
                <w:szCs w:val="18"/>
                <w:color w:val="auto"/>
              </w:rPr>
              <w:t>Nine Months Ended March 31,</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 Change</w:t>
            </w:r>
          </w:p>
        </w:tc>
      </w:tr>
      <w:tr>
        <w:trPr>
          <w:trHeight w:val="183"/>
        </w:trPr>
        <w:tc>
          <w:tcPr>
            <w:tcW w:w="33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2025</w:t>
            </w:r>
          </w:p>
        </w:tc>
        <w:tc>
          <w:tcPr>
            <w:tcW w:w="4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2024</w:t>
            </w: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2"/>
          </w:tcPr>
          <w:p>
            <w:pPr>
              <w:jc w:val="right"/>
              <w:ind w:right="460"/>
              <w:spacing w:after="0" w:line="182" w:lineRule="exact"/>
              <w:rPr>
                <w:sz w:val="20"/>
                <w:szCs w:val="20"/>
                <w:color w:val="auto"/>
              </w:rPr>
            </w:pPr>
            <w:r>
              <w:rPr>
                <w:rFonts w:ascii="Arial" w:cs="Arial" w:eastAsia="Arial" w:hAnsi="Arial"/>
                <w:sz w:val="18"/>
                <w:szCs w:val="18"/>
                <w:b w:val="1"/>
                <w:bCs w:val="1"/>
                <w:color w:val="auto"/>
                <w:w w:val="94"/>
              </w:rPr>
              <w:t>2025</w:t>
            </w:r>
          </w:p>
        </w:tc>
        <w:tc>
          <w:tcPr>
            <w:tcW w:w="5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2024</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20"/>
        </w:trPr>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3360" w:type="dxa"/>
            <w:vAlign w:val="bottom"/>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180,725</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166,655</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8.4 %</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549,523</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518,696</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5.9 %</w:t>
            </w: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75,258</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72,153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227,417</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217,449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r>
    </w:tbl>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in the Core segment increased 8.4% and cost of revenue increased 4.3% for the three months ended March 31, 2025, compared to the three months ended March 31, 2024. Reducing Core revenue for deconversion revenue in both quarters, which totaled $ 4,838 for the three months ended March 31, 2025, and $1,291 for the three months ended March 31, 2024, results in a 6.4% increase quarter over quarter. This increase was primarily driven by organic growth in our Core revenue lines including data processing and hosting revenues within private and public cloud, as new and existing clients migrate to our private cloud and processing volumes expand, partially offset by a decrease in maintenance fee and credit union hardware revenues. Reducing Core cost of revenue for deconversion costs in both quarters, which totaled $1,240 for the three months ended March 31, 2025, and $225 for the three months ended March 31, 2024, results in a 2.9% increase quarter over quarter. This increase was primarily due to higher direct costs generally consistent with increases in related lines of revenue. Core cost of revenue decreased 2% as a percentage of Core revenue for the third quarter of fiscal 2025 compared to the same quarter in fiscal 2024.</w:t>
      </w:r>
    </w:p>
    <w:p>
      <w:pPr>
        <w:spacing w:after="0" w:line="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in the Core segment increased 5.9% and cost of revenue increased 4.6% for the nine months ended March 31, 2025, compared to the nine months ended March 31, 2024. Reducing Core revenue for deconversion revenue in both periods, which totaled $ 6,105 for the nine months ended March 31, 2025, and $4,885 for the nine months ended March 31, 2024, results in a 5.8% increase period over period. This increase was primarily driven by organic growth in our Core revenue lines including data processing and hosting revenues within private and public cloud as new and existing clients migrate to our private cloud and processing volumes expand, partially offset by a decrease in maintenance fees and software usage revenues. Reducing Core cost of revenue for deconversion costs in both periods, which totaled $1,365 for the nine months ended March 31, 2025 and $650 for the nine months ended March 31, 2024, results in a 4.3% increase period over period. This increase was primarily due to higher direct costs generally consistent with increases in related lines of revenue. Core cost of revenue decreased 1% as a percentage of Core revenue for the nine months ended March 31, 2025 compared to the same period in fiscal 2024.</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Payments</w:t>
            </w:r>
          </w:p>
        </w:tc>
        <w:tc>
          <w:tcPr>
            <w:tcW w:w="2760" w:type="dxa"/>
            <w:vAlign w:val="bottom"/>
            <w:gridSpan w:val="9"/>
          </w:tcPr>
          <w:p>
            <w:pPr>
              <w:ind w:left="60"/>
              <w:spacing w:after="0"/>
              <w:rPr>
                <w:sz w:val="20"/>
                <w:szCs w:val="20"/>
                <w:color w:val="auto"/>
              </w:rPr>
            </w:pPr>
            <w:r>
              <w:rPr>
                <w:rFonts w:ascii="Arial" w:cs="Arial" w:eastAsia="Arial" w:hAnsi="Arial"/>
                <w:sz w:val="18"/>
                <w:szCs w:val="18"/>
                <w:color w:val="auto"/>
              </w:rPr>
              <w:t>Three Months Ended March 31,</w:t>
            </w:r>
          </w:p>
        </w:tc>
        <w:tc>
          <w:tcPr>
            <w:tcW w:w="1240" w:type="dxa"/>
            <w:vAlign w:val="bottom"/>
            <w:gridSpan w:val="2"/>
          </w:tcPr>
          <w:p>
            <w:pPr>
              <w:ind w:left="140"/>
              <w:spacing w:after="0"/>
              <w:rPr>
                <w:sz w:val="20"/>
                <w:szCs w:val="20"/>
                <w:color w:val="auto"/>
              </w:rPr>
            </w:pPr>
            <w:r>
              <w:rPr>
                <w:rFonts w:ascii="Arial" w:cs="Arial" w:eastAsia="Arial" w:hAnsi="Arial"/>
                <w:sz w:val="18"/>
                <w:szCs w:val="18"/>
                <w:color w:val="auto"/>
              </w:rPr>
              <w:t>% Change</w:t>
            </w:r>
          </w:p>
        </w:tc>
        <w:tc>
          <w:tcPr>
            <w:tcW w:w="2740" w:type="dxa"/>
            <w:vAlign w:val="bottom"/>
            <w:gridSpan w:val="7"/>
          </w:tcPr>
          <w:p>
            <w:pPr>
              <w:ind w:left="100"/>
              <w:spacing w:after="0"/>
              <w:rPr>
                <w:sz w:val="20"/>
                <w:szCs w:val="20"/>
                <w:color w:val="auto"/>
              </w:rPr>
            </w:pPr>
            <w:r>
              <w:rPr>
                <w:rFonts w:ascii="Arial" w:cs="Arial" w:eastAsia="Arial" w:hAnsi="Arial"/>
                <w:sz w:val="18"/>
                <w:szCs w:val="18"/>
                <w:color w:val="auto"/>
              </w:rPr>
              <w:t>Nine Months Ended March 31,</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 Change</w:t>
            </w:r>
          </w:p>
        </w:tc>
      </w:tr>
      <w:tr>
        <w:trPr>
          <w:trHeight w:val="183"/>
        </w:trPr>
        <w:tc>
          <w:tcPr>
            <w:tcW w:w="33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2025</w:t>
            </w:r>
          </w:p>
        </w:tc>
        <w:tc>
          <w:tcPr>
            <w:tcW w:w="4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2024</w:t>
            </w: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2"/>
          </w:tcPr>
          <w:p>
            <w:pPr>
              <w:jc w:val="right"/>
              <w:ind w:right="460"/>
              <w:spacing w:after="0" w:line="182" w:lineRule="exact"/>
              <w:rPr>
                <w:sz w:val="20"/>
                <w:szCs w:val="20"/>
                <w:color w:val="auto"/>
              </w:rPr>
            </w:pPr>
            <w:r>
              <w:rPr>
                <w:rFonts w:ascii="Arial" w:cs="Arial" w:eastAsia="Arial" w:hAnsi="Arial"/>
                <w:sz w:val="18"/>
                <w:szCs w:val="18"/>
                <w:b w:val="1"/>
                <w:bCs w:val="1"/>
                <w:color w:val="auto"/>
                <w:w w:val="94"/>
              </w:rPr>
              <w:t>2025</w:t>
            </w:r>
          </w:p>
        </w:tc>
        <w:tc>
          <w:tcPr>
            <w:tcW w:w="5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2024</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20"/>
        </w:trPr>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3360" w:type="dxa"/>
            <w:vAlign w:val="bottom"/>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217,449</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201,919</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7.7 %</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644,207</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605,115</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6.5 %</w:t>
            </w: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116,266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109,848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344,023</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330,297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r>
    </w:tbl>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in the Payments segment increased 7.7% and cost of revenue increased 5.8% for the third quarter of fiscal 2025 compared to the equivalent quarter of the prior fiscal year. Reducing Payments revenue for deconversion revenue in both quarters, which totaled $2,394 for the third quarter of fiscal 2025 and $ 910 for the third quarter of fiscal 2024, results in a 7.0% increase quarter over quarter. This increase was primarily due to higher card revenue from an increase in volumes and higher payment processing revenues, including PayCenter products — Zelle, RTP, and FedNow — from an increase in volumes and new client revenue. The Payments cost of revenue increase was primarily due to higher direct costs generally consistent with increases in lines of revenue. Deconversion and non-recurring costs did not significantly affect the Payments cost of revenue comparison. Payments cost of revenue as a percentage of Payments revenue decreased 1% for the third quarter of fiscal 2025 compared to the same quarter in fiscal 2024.</w:t>
      </w:r>
    </w:p>
    <w:p>
      <w:pPr>
        <w:spacing w:after="0" w:line="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Revenue in the Payments segment increased 6.5% and cost of revenue increased 4.2% for the nine months ended March 31, 2025, compared to the equivalent period of the prior fiscal year. Reducing Payments revenue for deconversion revenue in both periods, which totaled $4,341 for the nine months ended March 31, 2025 and $3,470</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nine months ended March 31, 2024, results in a 6.4% increase period over period. This increase was primarily due to higher card revenue from an increase in volumes, higher payment processing revenues, including PayCenter products — Zelle, RTP, and FedNow — from an increase in volumes and new client revenue, and increased remote capture and ACH revenue. The Payments cost of revenue increase was primarily due to higher direct costs generally consistent with increases in lines of revenue and higher compensation costs in the trailing twelve months. Deconversion and non-recurring costs did not significantly affect the Payments cost of revenue comparison. Payments cost of revenue as a percentage of Payments revenue decreased 1% for the nine months ended March 31, 2025 compared to the same period in fiscal 2024.</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Complementary</w:t>
            </w:r>
          </w:p>
        </w:tc>
        <w:tc>
          <w:tcPr>
            <w:tcW w:w="2740" w:type="dxa"/>
            <w:vAlign w:val="bottom"/>
            <w:gridSpan w:val="8"/>
          </w:tcPr>
          <w:p>
            <w:pPr>
              <w:ind w:left="60"/>
              <w:spacing w:after="0"/>
              <w:rPr>
                <w:sz w:val="20"/>
                <w:szCs w:val="20"/>
                <w:color w:val="auto"/>
              </w:rPr>
            </w:pPr>
            <w:r>
              <w:rPr>
                <w:rFonts w:ascii="Arial" w:cs="Arial" w:eastAsia="Arial" w:hAnsi="Arial"/>
                <w:sz w:val="18"/>
                <w:szCs w:val="18"/>
                <w:color w:val="auto"/>
              </w:rPr>
              <w:t>Three Months Ended March 31,</w:t>
            </w:r>
          </w:p>
        </w:tc>
        <w:tc>
          <w:tcPr>
            <w:tcW w:w="1220" w:type="dxa"/>
            <w:vAlign w:val="bottom"/>
            <w:gridSpan w:val="2"/>
          </w:tcPr>
          <w:p>
            <w:pPr>
              <w:ind w:left="140"/>
              <w:spacing w:after="0"/>
              <w:rPr>
                <w:sz w:val="20"/>
                <w:szCs w:val="20"/>
                <w:color w:val="auto"/>
              </w:rPr>
            </w:pPr>
            <w:r>
              <w:rPr>
                <w:rFonts w:ascii="Arial" w:cs="Arial" w:eastAsia="Arial" w:hAnsi="Arial"/>
                <w:sz w:val="18"/>
                <w:szCs w:val="18"/>
                <w:color w:val="auto"/>
              </w:rPr>
              <w:t>% Change</w:t>
            </w:r>
          </w:p>
        </w:tc>
        <w:tc>
          <w:tcPr>
            <w:tcW w:w="2760" w:type="dxa"/>
            <w:vAlign w:val="bottom"/>
            <w:gridSpan w:val="9"/>
          </w:tcPr>
          <w:p>
            <w:pPr>
              <w:ind w:left="120"/>
              <w:spacing w:after="0"/>
              <w:rPr>
                <w:sz w:val="20"/>
                <w:szCs w:val="20"/>
                <w:color w:val="auto"/>
              </w:rPr>
            </w:pPr>
            <w:r>
              <w:rPr>
                <w:rFonts w:ascii="Arial" w:cs="Arial" w:eastAsia="Arial" w:hAnsi="Arial"/>
                <w:sz w:val="18"/>
                <w:szCs w:val="18"/>
                <w:color w:val="auto"/>
              </w:rPr>
              <w:t>Nine Months Ended March 31,</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 Change</w:t>
            </w:r>
          </w:p>
        </w:tc>
      </w:tr>
      <w:tr>
        <w:trPr>
          <w:trHeight w:val="183"/>
        </w:trPr>
        <w:tc>
          <w:tcPr>
            <w:tcW w:w="34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2025</w:t>
            </w:r>
          </w:p>
        </w:tc>
        <w:tc>
          <w:tcPr>
            <w:tcW w:w="4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2"/>
          </w:tcPr>
          <w:p>
            <w:pPr>
              <w:jc w:val="right"/>
              <w:ind w:right="420"/>
              <w:spacing w:after="0" w:line="182" w:lineRule="exact"/>
              <w:rPr>
                <w:sz w:val="20"/>
                <w:szCs w:val="20"/>
                <w:color w:val="auto"/>
              </w:rPr>
            </w:pPr>
            <w:r>
              <w:rPr>
                <w:rFonts w:ascii="Arial" w:cs="Arial" w:eastAsia="Arial" w:hAnsi="Arial"/>
                <w:sz w:val="18"/>
                <w:szCs w:val="18"/>
                <w:color w:val="auto"/>
                <w:w w:val="94"/>
              </w:rPr>
              <w:t>2024</w:t>
            </w:r>
          </w:p>
        </w:tc>
        <w:tc>
          <w:tcPr>
            <w:tcW w:w="1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3"/>
          </w:tcPr>
          <w:p>
            <w:pPr>
              <w:jc w:val="right"/>
              <w:ind w:right="460"/>
              <w:spacing w:after="0" w:line="182" w:lineRule="exact"/>
              <w:rPr>
                <w:sz w:val="20"/>
                <w:szCs w:val="20"/>
                <w:color w:val="auto"/>
              </w:rPr>
            </w:pPr>
            <w:r>
              <w:rPr>
                <w:rFonts w:ascii="Arial" w:cs="Arial" w:eastAsia="Arial" w:hAnsi="Arial"/>
                <w:sz w:val="18"/>
                <w:szCs w:val="18"/>
                <w:b w:val="1"/>
                <w:bCs w:val="1"/>
                <w:color w:val="auto"/>
              </w:rPr>
              <w:t>2025</w:t>
            </w:r>
          </w:p>
        </w:tc>
        <w:tc>
          <w:tcPr>
            <w:tcW w:w="3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3"/>
          </w:tcPr>
          <w:p>
            <w:pPr>
              <w:jc w:val="right"/>
              <w:ind w:right="440"/>
              <w:spacing w:after="0" w:line="182" w:lineRule="exact"/>
              <w:rPr>
                <w:sz w:val="20"/>
                <w:szCs w:val="20"/>
                <w:color w:val="auto"/>
              </w:rPr>
            </w:pPr>
            <w:r>
              <w:rPr>
                <w:rFonts w:ascii="Arial" w:cs="Arial" w:eastAsia="Arial" w:hAnsi="Arial"/>
                <w:sz w:val="18"/>
                <w:szCs w:val="18"/>
                <w:color w:val="auto"/>
              </w:rPr>
              <w:t>2024</w:t>
            </w: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r>
        <w:trPr>
          <w:trHeight w:val="20"/>
        </w:trPr>
        <w:tc>
          <w:tcPr>
            <w:tcW w:w="3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3400" w:type="dxa"/>
            <w:vAlign w:val="bottom"/>
          </w:tcPr>
          <w:p>
            <w:pPr>
              <w:ind w:left="20"/>
              <w:spacing w:after="0"/>
              <w:rPr>
                <w:sz w:val="20"/>
                <w:szCs w:val="20"/>
                <w:color w:val="auto"/>
              </w:rPr>
            </w:pPr>
            <w:r>
              <w:rPr>
                <w:rFonts w:ascii="Arial" w:cs="Arial" w:eastAsia="Arial" w:hAnsi="Arial"/>
                <w:sz w:val="18"/>
                <w:szCs w:val="18"/>
                <w:color w:val="auto"/>
              </w:rPr>
              <w:t>Revenue</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167,442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149,231</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12.2 %</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500,080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463,064</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8.0 %</w:t>
            </w: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67,836</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64,219</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197,188</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188,002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r>
    </w:tbl>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in the Complementary segment increased 12.2% and cost of revenue increased 5.6% for the third quarter of fiscal 2025 compared to the equivalent quarter of the prior fiscal year. Reducing Complementary revenue for deconversion revenue, which totaled $2,324 for the third quarter of fiscal 2025 and $(1,366) for the third quarter of fiscal 2024, results in a 9.6% increase quarter over quarter. This increase was primarily driven by increased Jack Henry digital revenue (including Banno) as the number of active users increased and volumes expanded and from the ramping up of add-on products and organic growth in hosting revenues as new and existing clients continued to migrate to our private cloud and processing volumes expanded. Reducing Complementary cost of revenue for deconversion costs in both quarters, which totaled $519 for the third quarter of fiscal 2025 and $348 for the third quarter of fiscal 2024, results in a 5.4% increase quarter over quarter. This increase was primarily driven by higher direct costs generally consistent with increases in related lines of revenue. Complementary cost of revenue as a percentage of Complementary revenue decreased 3% for the third quarter of fiscal 2025 compared to the same quarter in fiscal 2024.</w:t>
      </w:r>
    </w:p>
    <w:p>
      <w:pPr>
        <w:spacing w:after="0" w:line="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in the Complementary segment increased 8.0% and cost of revenue increased 4.9% for the nine months ended March 31, 2025, compared to the equivalent period of the prior fiscal year. Reducing Complementary revenue for deconversion revenue in both periods, which totaled $2,857 for the nine months ended March 31, 2025, and $ 1,440 for the nine months ended March 31, 2024, results in a 7.7% increase period over period. This increase was primarily driven by organic growth in hosting revenues as new and existing clients continued to migrate to our private cloud and processing volumes expanded, increased Jack Henry digital revenue (including Banno) as the number of active users increased and volumes expanded and from the ramping up of add-on products, and higher maintenance fee revenue. The Complementary cost of revenue increase was primarily driven by higher direct costs generally consistent with increases in related lines of revenue, compensation increases in the trailing twelve months, and increased amortization of capitalized software from capital software development projects. Deconversion and non-recurring costs did not significantly affect the Complementary cost of revenue comparison. Complementary cost of revenue as a percentage of Complementary revenue decreased 1% for the nine months ended March 31, 2025, compared to the same period in fiscal 2024.</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Corporate and Other</w:t>
            </w:r>
          </w:p>
        </w:tc>
        <w:tc>
          <w:tcPr>
            <w:tcW w:w="2720" w:type="dxa"/>
            <w:vAlign w:val="bottom"/>
            <w:gridSpan w:val="8"/>
          </w:tcPr>
          <w:p>
            <w:pPr>
              <w:ind w:left="40"/>
              <w:spacing w:after="0"/>
              <w:rPr>
                <w:sz w:val="20"/>
                <w:szCs w:val="20"/>
                <w:color w:val="auto"/>
              </w:rPr>
            </w:pPr>
            <w:r>
              <w:rPr>
                <w:rFonts w:ascii="Arial" w:cs="Arial" w:eastAsia="Arial" w:hAnsi="Arial"/>
                <w:sz w:val="18"/>
                <w:szCs w:val="18"/>
                <w:color w:val="auto"/>
              </w:rPr>
              <w:t>Three Months Ended March 31,</w:t>
            </w:r>
          </w:p>
        </w:tc>
        <w:tc>
          <w:tcPr>
            <w:tcW w:w="1260" w:type="dxa"/>
            <w:vAlign w:val="bottom"/>
            <w:gridSpan w:val="2"/>
          </w:tcPr>
          <w:p>
            <w:pPr>
              <w:ind w:left="160"/>
              <w:spacing w:after="0"/>
              <w:rPr>
                <w:sz w:val="20"/>
                <w:szCs w:val="20"/>
                <w:color w:val="auto"/>
              </w:rPr>
            </w:pPr>
            <w:r>
              <w:rPr>
                <w:rFonts w:ascii="Arial" w:cs="Arial" w:eastAsia="Arial" w:hAnsi="Arial"/>
                <w:sz w:val="18"/>
                <w:szCs w:val="18"/>
                <w:color w:val="auto"/>
              </w:rPr>
              <w:t>% Change</w:t>
            </w:r>
          </w:p>
        </w:tc>
        <w:tc>
          <w:tcPr>
            <w:tcW w:w="2740" w:type="dxa"/>
            <w:vAlign w:val="bottom"/>
            <w:gridSpan w:val="7"/>
          </w:tcPr>
          <w:p>
            <w:pPr>
              <w:ind w:left="100"/>
              <w:spacing w:after="0"/>
              <w:rPr>
                <w:sz w:val="20"/>
                <w:szCs w:val="20"/>
                <w:color w:val="auto"/>
              </w:rPr>
            </w:pPr>
            <w:r>
              <w:rPr>
                <w:rFonts w:ascii="Arial" w:cs="Arial" w:eastAsia="Arial" w:hAnsi="Arial"/>
                <w:sz w:val="18"/>
                <w:szCs w:val="18"/>
                <w:color w:val="auto"/>
              </w:rPr>
              <w:t>Nine Months Ended March 31,</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 Change</w:t>
            </w:r>
          </w:p>
        </w:tc>
      </w:tr>
      <w:tr>
        <w:trPr>
          <w:trHeight w:val="183"/>
        </w:trPr>
        <w:tc>
          <w:tcPr>
            <w:tcW w:w="338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2025</w:t>
            </w:r>
          </w:p>
        </w:tc>
        <w:tc>
          <w:tcPr>
            <w:tcW w:w="4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3"/>
          </w:tcPr>
          <w:p>
            <w:pPr>
              <w:jc w:val="right"/>
              <w:ind w:right="420"/>
              <w:spacing w:after="0" w:line="182" w:lineRule="exact"/>
              <w:rPr>
                <w:sz w:val="20"/>
                <w:szCs w:val="20"/>
                <w:color w:val="auto"/>
              </w:rPr>
            </w:pPr>
            <w:r>
              <w:rPr>
                <w:rFonts w:ascii="Arial" w:cs="Arial" w:eastAsia="Arial" w:hAnsi="Arial"/>
                <w:sz w:val="18"/>
                <w:szCs w:val="18"/>
                <w:color w:val="auto"/>
              </w:rPr>
              <w:t>2024</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2"/>
          </w:tcPr>
          <w:p>
            <w:pPr>
              <w:jc w:val="right"/>
              <w:ind w:right="460"/>
              <w:spacing w:after="0" w:line="182" w:lineRule="exact"/>
              <w:rPr>
                <w:sz w:val="20"/>
                <w:szCs w:val="20"/>
                <w:color w:val="auto"/>
              </w:rPr>
            </w:pPr>
            <w:r>
              <w:rPr>
                <w:rFonts w:ascii="Arial" w:cs="Arial" w:eastAsia="Arial" w:hAnsi="Arial"/>
                <w:sz w:val="18"/>
                <w:szCs w:val="18"/>
                <w:b w:val="1"/>
                <w:bCs w:val="1"/>
                <w:color w:val="auto"/>
                <w:w w:val="94"/>
              </w:rPr>
              <w:t>2025</w:t>
            </w:r>
          </w:p>
        </w:tc>
        <w:tc>
          <w:tcPr>
            <w:tcW w:w="5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2024</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20"/>
        </w:trPr>
        <w:tc>
          <w:tcPr>
            <w:tcW w:w="3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3380" w:type="dxa"/>
            <w:vAlign w:val="bottom"/>
          </w:tcPr>
          <w:p>
            <w:pPr>
              <w:ind w:left="20"/>
              <w:spacing w:after="0"/>
              <w:rPr>
                <w:sz w:val="20"/>
                <w:szCs w:val="20"/>
                <w:color w:val="auto"/>
              </w:rPr>
            </w:pPr>
            <w:r>
              <w:rPr>
                <w:rFonts w:ascii="Arial" w:cs="Arial" w:eastAsia="Arial" w:hAnsi="Arial"/>
                <w:sz w:val="18"/>
                <w:szCs w:val="18"/>
                <w:color w:val="auto"/>
              </w:rPr>
              <w:t>Revenue</w:t>
            </w:r>
          </w:p>
        </w:tc>
        <w:tc>
          <w:tcPr>
            <w:tcW w:w="4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19,471</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20,757</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66,106</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68,756</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81,226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82,004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248,240</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236,457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r>
    </w:tbl>
    <w:p>
      <w:pPr>
        <w:spacing w:after="0" w:line="2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classified in the Corporate and Other segment includes revenues from other products and services and hardware not specifically attributed to the other three segments. Revenue in the Corporate and Other segment decreased 6.2% for the third quarter of fiscal 2025 compared to the equivalent quarter of the prior fiscal year. Reducing Corporate and Other revenue for deconversion revenue in both quarters, which totaled $88 for the third quarter of fiscal 2025 and $8 for the third quarter of fiscal 2024, results in a 6.6% decrease quarter over quarter. This decrease was primarily due to lower hardware revenue quarter over quarter. Cost of revenue for the Corporate and Other segment includes operating expenses not directly attributable to the other three segments. The Corporate and Other cost of revenue in the third quarter of fiscal 2025 decreased 0.9% when compared to the prior fiscal year quarter. This decrease was primarily due to lower hardware costs in line with lower hardware revenues, decreased personnel costs, and increased shared services chargeback, partially offset by higher direct costs and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increased cloud consumption costs. Deconversion and non-recurring costs did not significantly affect the Corporate and Other cost of revenue comparison.</w:t>
      </w:r>
    </w:p>
    <w:p>
      <w:pPr>
        <w:spacing w:after="0" w:line="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in the Corporate and Other segment decreased 3.9% for the nine months ended March 31, 2025, compared to the equivalent period of the prior fiscal year. The Corporate and Other revenue decrease was primarily due to lower hardware revenue partially offset by higher subscription and software usage revenue, increased processing revenue, and higher data processing and hosting revenue within private and public cloud. Deconversion revenue did not significantly affect the Corporate and Other revenue comparison. The Corporate and Other cost of revenue in the nine months ended March 31, 2025, increased 5.0% when compared to the prior fiscal year period. This increase was primarily due to increased direct costs, higher cloud consumption costs, and increased internal licenses and fees partially offset by lower cost of hardware in line with lower hardware revenue. Deconversion and non-recurring costs did not significantly affect the Corporate and Other cost of revenue comparison.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Company's cash and cash equivalents increased to $39,870 at March 31, 2025, from $38,284 at June 30, 2024.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cash from operating activities in the statement of cash flows: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60" w:type="dxa"/>
            <w:vAlign w:val="bottom"/>
            <w:gridSpan w:val="4"/>
          </w:tcPr>
          <w:p>
            <w:pPr>
              <w:jc w:val="right"/>
              <w:ind w:right="550"/>
              <w:spacing w:after="0"/>
              <w:rPr>
                <w:sz w:val="20"/>
                <w:szCs w:val="20"/>
                <w:color w:val="auto"/>
              </w:rPr>
            </w:pPr>
            <w:r>
              <w:rPr>
                <w:rFonts w:ascii="Arial" w:cs="Arial" w:eastAsia="Arial" w:hAnsi="Arial"/>
                <w:sz w:val="18"/>
                <w:szCs w:val="18"/>
                <w:color w:val="auto"/>
              </w:rPr>
              <w:t>Nine Months Ended</w:t>
            </w:r>
          </w:p>
        </w:tc>
      </w:tr>
      <w:tr>
        <w:trPr>
          <w:trHeight w:val="235"/>
        </w:trPr>
        <w:tc>
          <w:tcPr>
            <w:tcW w:w="8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960" w:type="dxa"/>
            <w:vAlign w:val="bottom"/>
            <w:tcBorders>
              <w:bottom w:val="single" w:sz="8" w:color="auto"/>
            </w:tcBorders>
          </w:tcPr>
          <w:p>
            <w:pPr>
              <w:spacing w:after="0"/>
              <w:rPr>
                <w:sz w:val="20"/>
                <w:szCs w:val="20"/>
                <w:color w:val="auto"/>
              </w:rPr>
            </w:pPr>
          </w:p>
        </w:tc>
      </w:tr>
      <w:tr>
        <w:trPr>
          <w:trHeight w:val="223"/>
        </w:trPr>
        <w:tc>
          <w:tcPr>
            <w:tcW w:w="83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2024</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328,144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280,743</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Non-cash expenses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162,907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156,565</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receivables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50,871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97,835</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Change in deferred revenue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(167,104)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(185,784)</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other assets and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(60,426)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(13,117)</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314,392</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336,242</w:t>
            </w:r>
          </w:p>
        </w:tc>
      </w:tr>
      <w:tr>
        <w:trPr>
          <w:trHeight w:val="20"/>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Cash provided by operating activities for the first nine months of fiscal 2025 decreased 6% compared to the same period last year primarily due to the decrease in the change in receivables period over period. We collected significantly more annual maintenance dollars in the fourth quarter of fiscal 2024 than we have historically collected in the fourth quarter, leaving less to be collected in the current fiscal year period. Cash from operations is primarily used to repay debt, pay dividends, repurchase stock, for capital expenditures, and acquisitions.</w:t>
      </w:r>
    </w:p>
    <w:p>
      <w:pPr>
        <w:spacing w:after="0" w:line="5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Cash used in investing activities for the first nine months of fiscal 2025 totaled $176,317 and included: $130,298 for the ongoing enhancement and development of existing and new product and service offerings; capital expenditures on facilities and equipment of $41,186; $3,833 for the purchase and development of internal use software; and the purchase of investment of $2,000. Cash uses were partially offset by proceeds from investments of $1,000. Cash used in investing activities for the first nine months of fiscal 2024 totaled $164,505 and included: $125,351 for the development of software; $ 34,347 for capital expenditures; $4,561 for the purchase and development of internal use software; and $1,146 for the purchase of investment. Cash uses were partially offset by proceeds from dispositions of $900.</w:t>
      </w:r>
    </w:p>
    <w:p>
      <w:pPr>
        <w:spacing w:after="0" w:line="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Financing activities used cash of $136,489 for the first nine months of fiscal 2025 and included: payments on credit facilities of $235,000; dividends paid to stockholders of $122,464; and the purchase of treasury stock of $35,052. Cash uses were partially offset by borrowings on credit facilities of $255,000 and $ 1,027 net cash inflow from the issuance of stock and tax withholding related to stock-based compensation. Financing activities used cash of $156,726 in the first nine months of fiscal 2024 and included: repayments on credit facilities of $360,000; $115,792 for the payment of dividends; and the purchase of treasury stock of $20,000. Cash uses were partially offset by borrowings on credit facilities of $335,000 and $4,066 net cash inflow from the issuance of stock and tax withholding related to stock-based compensation.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 and Resources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generally uses existing resources and funds generated from operations to meet its capital requirements. Capital expenditures totaling $41,186 and $34,347 for the nine months ended March 31, 2025, and March 31, 2024, respectively, were made primarily for additional equipment and the improvement of existing facilities. These additions were funded from cash generated by operations. Total consolidated capital expenditures on facilities and equipment for the Company for fiscal year 2025 are expected to be approximately $68,000 and have been or will be funded from our credit facilities and cash generated by operations.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Contractual obligations are discussed in our Annual Report on Form 10-K for the year ended June 30, 2024. There have been no material contractual obligations added for the nine months ended March 31, 2025.</w:t>
      </w:r>
    </w:p>
    <w:p>
      <w:pPr>
        <w:spacing w:after="0" w:line="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Board of Directors has authorized the Company to repurchase shares of its common stock. Under this authorization, the Company may finance its share repurchases with available cash reserves or borrowings on its existing line of credit. The share repurchase program does not include specific price targets or timetables and may be suspended at any time. At March 31, 2025, there were 31,580 shares in treasury stock and the Company had the remaining authority to repurchase up to 3,411 additional shares. The total cost of treasury shares at March 31, 2025, was $1,895,225, and the Company repurchased 207 shares during the first nine months of fiscal 2025. At June 30, 2024, there were 31,373 shares in treasury stock and the Company had the remaining authority to repurchase up to 3,618 additional shares. The total cost of treasury shares at June 30, 2024, was $1,860,173 and the Company repurchased 129 shares during the first nine months of fiscal 2024.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1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August 31, 2022, the Company entered into a five-year senior, unsecured amended and restated credit agreement that replaced a prior credit facility that was entered into on February 10, 2020. The credit agreement allows for borrowings of up to $600,000, which may be increased to $1,000,000 by the Company at any time until maturity. The credit agreement bears interest at a variable rate equal to (a) a rate based on an adjusted Secured Overnight Financing Rate (“SOFR”) term rate or (b) an alternate base rate (the highest of (i) 0%, (ii) the Prime Rate for such day, (iii) the sum of the Federal Funds Effective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per annum and (iv) the Adjusted Term SOFR Screen Rate (without giving effect to the Applicable Margin) for a one 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1.0%), </w:t>
      </w:r>
      <w:r>
        <w:rPr>
          <w:rFonts w:ascii="Arial" w:cs="Arial" w:eastAsia="Arial" w:hAnsi="Arial"/>
          <w:sz w:val="18"/>
          <w:szCs w:val="18"/>
          <w:i w:val="1"/>
          <w:iCs w:val="1"/>
          <w:color w:val="auto"/>
        </w:rPr>
        <w:t>plus</w:t>
      </w:r>
      <w:r>
        <w:rPr>
          <w:rFonts w:ascii="Arial" w:cs="Arial" w:eastAsia="Arial" w:hAnsi="Arial"/>
          <w:sz w:val="18"/>
          <w:szCs w:val="18"/>
          <w:color w:val="auto"/>
        </w:rPr>
        <w:t xml:space="preserve"> an applicable percentage in each case determined by the Company's leverage ratio. The credit agreement is guaranteed by certain subsidiaries of the Company and is subject to various financial covenants that require the Company to maintain certain financial ratios as defined in the credit agreement. As of March 31, 2025, the Company was in compliance with all such covenants. The amended and restated credit facility terminates August 31, 2027. There was $80,000 and $60,000 outstanding under the amended and restated credit facility at March 31, 2025 and June 30, 2024, respectively.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May 16, 2023, the Company entered into a term loan credit agreement with a syndicate of financial institutions, with an original principal balance of $180,000. Borrowings under the term loan facility bear interest at a variable rate equal to (a) a rate based on an adjusted SOFR term rate or (b) an alternate base rate (the highest of (i) 0%, (ii) the Prime Rate for such day, (iii) the sum of the Federal Funds Effective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per annum and (iv) the Adjusted Term SOFR Screen Rate (without giving effect to the Applicable Margin) for a one 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0.75%), </w:t>
      </w:r>
      <w:r>
        <w:rPr>
          <w:rFonts w:ascii="Arial" w:cs="Arial" w:eastAsia="Arial" w:hAnsi="Arial"/>
          <w:sz w:val="18"/>
          <w:szCs w:val="18"/>
          <w:i w:val="1"/>
          <w:iCs w:val="1"/>
          <w:color w:val="auto"/>
        </w:rPr>
        <w:t>plus</w:t>
      </w:r>
      <w:r>
        <w:rPr>
          <w:rFonts w:ascii="Arial" w:cs="Arial" w:eastAsia="Arial" w:hAnsi="Arial"/>
          <w:sz w:val="18"/>
          <w:szCs w:val="18"/>
          <w:color w:val="auto"/>
        </w:rPr>
        <w:t xml:space="preserve"> an applicable percentage in each case determined by the Company's leverage ratio. The term loan credit agreement is guaranteed by certain subsidiaries of the Company and is subject to various financial covenants that require the Company to maintain certain financial ratios as defined in the term loan credit agreement. As of March 31, 2025, the Company was in compliance with all such covenants. The term loan credit agreement has a maturity date of May 16, 2025, and the Company intends to repay the outstanding balance of the term loan with a combination of cash on hand and a borrowing under its revolving credit facility. There was $90,000 outstanding under the term loan at March 31, 2025 and June 30, 2024.</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lines of credit</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Company has an unsecured bank credit line, which provides for funding of up to $5,000 and bears interest at the prime rate </w:t>
      </w:r>
      <w:r>
        <w:rPr>
          <w:rFonts w:ascii="Arial" w:cs="Arial" w:eastAsia="Arial" w:hAnsi="Arial"/>
          <w:sz w:val="18"/>
          <w:szCs w:val="18"/>
          <w:i w:val="1"/>
          <w:iCs w:val="1"/>
          <w:color w:val="auto"/>
        </w:rPr>
        <w:t>less</w:t>
      </w:r>
      <w:r>
        <w:rPr>
          <w:rFonts w:ascii="Arial" w:cs="Arial" w:eastAsia="Arial" w:hAnsi="Arial"/>
          <w:sz w:val="18"/>
          <w:szCs w:val="18"/>
          <w:color w:val="auto"/>
        </w:rPr>
        <w:t xml:space="preserve"> 1.0%.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credit line expired on April 30, 2025. There was no balance outstanding at March 31, 2025, or June 30, 2024.</w:t>
      </w:r>
    </w:p>
    <w:p>
      <w:pPr>
        <w:spacing w:after="0" w:line="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On October 31, 2024, the Company entered into a discretionary line of credit demand note, which provides for funding of up to $50,000 and bears interest at the prime rate </w:t>
      </w:r>
      <w:r>
        <w:rPr>
          <w:rFonts w:ascii="Arial" w:cs="Arial" w:eastAsia="Arial" w:hAnsi="Arial"/>
          <w:sz w:val="18"/>
          <w:szCs w:val="18"/>
          <w:i w:val="1"/>
          <w:iCs w:val="1"/>
          <w:color w:val="auto"/>
        </w:rPr>
        <w:t>less</w:t>
      </w:r>
      <w:r>
        <w:rPr>
          <w:rFonts w:ascii="Arial" w:cs="Arial" w:eastAsia="Arial" w:hAnsi="Arial"/>
          <w:sz w:val="18"/>
          <w:szCs w:val="18"/>
          <w:color w:val="auto"/>
        </w:rPr>
        <w:t xml:space="preserve"> 2.0%. The note does not constitute a committed line of credit. The line of credit expires on October 31, 2025. There was no balance outstanding at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right="4240"/>
        <w:spacing w:after="0" w:line="352"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color w:val="auto"/>
        </w:rPr>
        <w:t>Dollar amounts in this item are in thousands.</w:t>
      </w:r>
    </w:p>
    <w:p>
      <w:pPr>
        <w:jc w:val="both"/>
        <w:spacing w:after="0" w:line="262" w:lineRule="auto"/>
        <w:rPr>
          <w:sz w:val="20"/>
          <w:szCs w:val="20"/>
          <w:color w:val="auto"/>
        </w:rPr>
      </w:pPr>
      <w:r>
        <w:rPr>
          <w:rFonts w:ascii="Arial" w:cs="Arial" w:eastAsia="Arial" w:hAnsi="Arial"/>
          <w:sz w:val="18"/>
          <w:szCs w:val="18"/>
          <w:color w:val="auto"/>
        </w:rPr>
        <w:t>Market risk refers to the risk that a change in the level of one or more market prices, interest rates, indices, volatilities, correlations or other market factors such as liquidity, will result in losses for a certain financial instrument or group of financial instruments. We are currently exposed to credit risk on credit extended to clients and interest risk on outstanding debt. We do not currently use any derivative financial instruments. We actively monitor these risks through a variety of controlled procedures involving senior management.</w:t>
      </w:r>
    </w:p>
    <w:p>
      <w:pPr>
        <w:spacing w:after="0" w:line="5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Based on the controls in place and the credit worthiness of the client base, we believe the credit risk associated with the extension of credit to our clients will not have a material adverse effect on our consolidated financial position, results of operations, or cash flows.</w:t>
      </w:r>
    </w:p>
    <w:p>
      <w:pPr>
        <w:spacing w:after="0" w:line="3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had $170,000 outstanding debt with variable interest rates as of March 31, 2025, and a 1% increase in our borrowing rate would increase our annual interest expense by $1,700.</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the end of the period covered by this Quarterly Report on Form 10-Q, an evaluation was carried out under the supervision and with the participation of our management, including the Company's Chief Executive Officer (“CEO”) and Chief Financial Officer (“CFO”), of the effectiveness of the design and operation of our disclosure controls and procedures as defined in Exchange Act Rules 13a-15(e) and 15d-15(e). Based upon that evaluation (required in Exchange Act Rules 13a-15(b) and 15d-15(b)), the CEO and CFO concluded that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For this purpose, disclosure controls and procedures include controls and procedures designed to ensure that information required to be disclosed under the Exchange Act is accumulated and communicated to the Company's management, including the CEO and CFO, as appropriate, to allow timely decisions regarding required disclosure.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fiscal quarter ended March 31, 2025, there were no changes in the Company's internal control over financial reporting which were identified in connection with management’s evaluation required by Rules 13a-15(d) and 15d-15(d) under the Exchange Act, that have materially affected, or are reasonably likely to materially affect, the Company’s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tab/>
        <w:t>LEGAL PROCEEDINGS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various routine legal proceedings and claims arising in the ordinary course of our business. In the opinion of management, any liabilities resulting from current lawsuits are not expected, either individually or in the aggregate, to have a material adverse effect on our consolidated financial statements.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tabs>
          <w:tab w:leader="none" w:pos="860" w:val="left"/>
        </w:tabs>
        <w:rPr>
          <w:sz w:val="20"/>
          <w:szCs w:val="20"/>
          <w:color w:val="auto"/>
        </w:rPr>
      </w:pPr>
      <w:r>
        <w:rPr>
          <w:rFonts w:ascii="Arial" w:cs="Arial" w:eastAsia="Arial" w:hAnsi="Arial"/>
          <w:sz w:val="18"/>
          <w:szCs w:val="18"/>
          <w:b w:val="1"/>
          <w:bCs w:val="1"/>
          <w:color w:val="auto"/>
        </w:rPr>
        <w:t>ITEM 2.</w:t>
        <w:tab/>
        <w:t>UNREGISTERED SALES OF EQUITY SECURITIES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shares of the Company were repurchased during the quarter ended March 31, 2025:</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Total Number of Shares</w:t>
            </w:r>
          </w:p>
        </w:tc>
        <w:tc>
          <w:tcPr>
            <w:tcW w:w="2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Maximum Number of</w:t>
            </w:r>
          </w:p>
        </w:tc>
        <w:tc>
          <w:tcPr>
            <w:tcW w:w="0" w:type="dxa"/>
            <w:vAlign w:val="bottom"/>
          </w:tcPr>
          <w:p>
            <w:pPr>
              <w:spacing w:after="0"/>
              <w:rPr>
                <w:sz w:val="1"/>
                <w:szCs w:val="1"/>
                <w:color w:val="auto"/>
              </w:rPr>
            </w:pPr>
          </w:p>
        </w:tc>
      </w:tr>
      <w:tr>
        <w:trPr>
          <w:trHeight w:val="68"/>
        </w:trPr>
        <w:tc>
          <w:tcPr>
            <w:tcW w:w="3620" w:type="dxa"/>
            <w:vAlign w:val="bottom"/>
          </w:tcPr>
          <w:p>
            <w:pPr>
              <w:spacing w:after="0"/>
              <w:rPr>
                <w:sz w:val="5"/>
                <w:szCs w:val="5"/>
                <w:color w:val="auto"/>
              </w:rPr>
            </w:pPr>
          </w:p>
        </w:tc>
        <w:tc>
          <w:tcPr>
            <w:tcW w:w="1620" w:type="dxa"/>
            <w:vAlign w:val="bottom"/>
            <w:gridSpan w:val="2"/>
            <w:vMerge w:val="restart"/>
          </w:tcPr>
          <w:p>
            <w:pPr>
              <w:jc w:val="center"/>
              <w:ind w:right="100"/>
              <w:spacing w:after="0" w:line="181" w:lineRule="exact"/>
              <w:rPr>
                <w:sz w:val="20"/>
                <w:szCs w:val="20"/>
                <w:color w:val="auto"/>
              </w:rPr>
            </w:pPr>
            <w:r>
              <w:rPr>
                <w:rFonts w:ascii="Arial" w:cs="Arial" w:eastAsia="Arial" w:hAnsi="Arial"/>
                <w:sz w:val="18"/>
                <w:szCs w:val="18"/>
                <w:b w:val="1"/>
                <w:bCs w:val="1"/>
                <w:color w:val="auto"/>
                <w:w w:val="98"/>
              </w:rPr>
              <w:t>Total Number of</w:t>
            </w:r>
          </w:p>
        </w:tc>
        <w:tc>
          <w:tcPr>
            <w:tcW w:w="160" w:type="dxa"/>
            <w:vAlign w:val="bottom"/>
          </w:tcPr>
          <w:p>
            <w:pPr>
              <w:spacing w:after="0"/>
              <w:rPr>
                <w:sz w:val="5"/>
                <w:szCs w:val="5"/>
                <w:color w:val="auto"/>
              </w:rPr>
            </w:pPr>
          </w:p>
        </w:tc>
        <w:tc>
          <w:tcPr>
            <w:tcW w:w="1080" w:type="dxa"/>
            <w:vAlign w:val="bottom"/>
            <w:gridSpan w:val="2"/>
            <w:vMerge w:val="restart"/>
          </w:tcPr>
          <w:p>
            <w:pPr>
              <w:jc w:val="center"/>
              <w:ind w:right="280"/>
              <w:spacing w:after="0" w:line="181" w:lineRule="exact"/>
              <w:rPr>
                <w:sz w:val="20"/>
                <w:szCs w:val="20"/>
                <w:color w:val="auto"/>
              </w:rPr>
            </w:pPr>
            <w:r>
              <w:rPr>
                <w:rFonts w:ascii="Arial" w:cs="Arial" w:eastAsia="Arial" w:hAnsi="Arial"/>
                <w:sz w:val="18"/>
                <w:szCs w:val="18"/>
                <w:b w:val="1"/>
                <w:bCs w:val="1"/>
                <w:color w:val="auto"/>
              </w:rPr>
              <w:t>Average</w:t>
            </w:r>
          </w:p>
        </w:tc>
        <w:tc>
          <w:tcPr>
            <w:tcW w:w="2300" w:type="dxa"/>
            <w:vAlign w:val="bottom"/>
            <w:gridSpan w:val="2"/>
            <w:vMerge w:val="restart"/>
          </w:tcPr>
          <w:p>
            <w:pPr>
              <w:jc w:val="center"/>
              <w:ind w:right="120"/>
              <w:spacing w:after="0" w:line="181" w:lineRule="exact"/>
              <w:rPr>
                <w:sz w:val="20"/>
                <w:szCs w:val="20"/>
                <w:color w:val="auto"/>
              </w:rPr>
            </w:pPr>
            <w:r>
              <w:rPr>
                <w:rFonts w:ascii="Arial" w:cs="Arial" w:eastAsia="Arial" w:hAnsi="Arial"/>
                <w:sz w:val="18"/>
                <w:szCs w:val="18"/>
                <w:b w:val="1"/>
                <w:bCs w:val="1"/>
                <w:color w:val="auto"/>
                <w:w w:val="99"/>
              </w:rPr>
              <w:t>Purchased as Part of</w:t>
            </w: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362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2300" w:type="dxa"/>
            <w:vAlign w:val="bottom"/>
            <w:gridSpan w:val="2"/>
            <w:vMerge w:val="continue"/>
          </w:tcPr>
          <w:p>
            <w:pPr>
              <w:spacing w:after="0"/>
              <w:rPr>
                <w:sz w:val="9"/>
                <w:szCs w:val="9"/>
                <w:color w:val="auto"/>
              </w:rPr>
            </w:pPr>
          </w:p>
        </w:tc>
        <w:tc>
          <w:tcPr>
            <w:tcW w:w="2420" w:type="dxa"/>
            <w:vAlign w:val="bottom"/>
            <w:vMerge w:val="restart"/>
          </w:tcPr>
          <w:p>
            <w:pPr>
              <w:jc w:val="center"/>
              <w:spacing w:after="0" w:line="181" w:lineRule="exact"/>
              <w:rPr>
                <w:sz w:val="20"/>
                <w:szCs w:val="20"/>
                <w:color w:val="auto"/>
              </w:rPr>
            </w:pPr>
            <w:r>
              <w:rPr>
                <w:rFonts w:ascii="Arial" w:cs="Arial" w:eastAsia="Arial" w:hAnsi="Arial"/>
                <w:sz w:val="18"/>
                <w:szCs w:val="18"/>
                <w:b w:val="1"/>
                <w:bCs w:val="1"/>
                <w:color w:val="auto"/>
                <w:w w:val="99"/>
              </w:rPr>
              <w:t>Shares that May Yet Be</w:t>
            </w:r>
          </w:p>
        </w:tc>
        <w:tc>
          <w:tcPr>
            <w:tcW w:w="0" w:type="dxa"/>
            <w:vAlign w:val="bottom"/>
          </w:tcPr>
          <w:p>
            <w:pPr>
              <w:spacing w:after="0"/>
              <w:rPr>
                <w:sz w:val="1"/>
                <w:szCs w:val="1"/>
                <w:color w:val="auto"/>
              </w:rPr>
            </w:pPr>
          </w:p>
        </w:tc>
      </w:tr>
      <w:tr>
        <w:trPr>
          <w:trHeight w:val="68"/>
        </w:trPr>
        <w:tc>
          <w:tcPr>
            <w:tcW w:w="3620" w:type="dxa"/>
            <w:vAlign w:val="bottom"/>
          </w:tcPr>
          <w:p>
            <w:pPr>
              <w:spacing w:after="0"/>
              <w:rPr>
                <w:sz w:val="5"/>
                <w:szCs w:val="5"/>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9"/>
              </w:rPr>
              <w:t>Shares</w:t>
            </w:r>
          </w:p>
        </w:tc>
        <w:tc>
          <w:tcPr>
            <w:tcW w:w="160" w:type="dxa"/>
            <w:vAlign w:val="bottom"/>
          </w:tcPr>
          <w:p>
            <w:pPr>
              <w:spacing w:after="0"/>
              <w:rPr>
                <w:sz w:val="5"/>
                <w:szCs w:val="5"/>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9"/>
              </w:rPr>
              <w:t>Price of</w:t>
            </w:r>
          </w:p>
        </w:tc>
        <w:tc>
          <w:tcPr>
            <w:tcW w:w="23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9"/>
              </w:rPr>
              <w:t>Publicly Announced</w:t>
            </w: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362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300" w:type="dxa"/>
            <w:vAlign w:val="bottom"/>
            <w:gridSpan w:val="2"/>
            <w:vMerge w:val="continue"/>
          </w:tcPr>
          <w:p>
            <w:pPr>
              <w:spacing w:after="0"/>
              <w:rPr>
                <w:sz w:val="15"/>
                <w:szCs w:val="15"/>
                <w:color w:val="auto"/>
              </w:rPr>
            </w:pPr>
          </w:p>
        </w:tc>
        <w:tc>
          <w:tcPr>
            <w:tcW w:w="24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Purchased Under the Plans</w:t>
            </w:r>
          </w:p>
        </w:tc>
        <w:tc>
          <w:tcPr>
            <w:tcW w:w="0" w:type="dxa"/>
            <w:vAlign w:val="bottom"/>
          </w:tcPr>
          <w:p>
            <w:pPr>
              <w:spacing w:after="0"/>
              <w:rPr>
                <w:sz w:val="1"/>
                <w:szCs w:val="1"/>
                <w:color w:val="auto"/>
              </w:rPr>
            </w:pPr>
          </w:p>
        </w:tc>
      </w:tr>
      <w:tr>
        <w:trPr>
          <w:trHeight w:val="247"/>
        </w:trPr>
        <w:tc>
          <w:tcPr>
            <w:tcW w:w="3620" w:type="dxa"/>
            <w:vAlign w:val="bottom"/>
          </w:tcPr>
          <w:p>
            <w:pPr>
              <w:spacing w:after="0"/>
              <w:rPr>
                <w:sz w:val="21"/>
                <w:szCs w:val="21"/>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Purchased</w:t>
            </w:r>
          </w:p>
        </w:tc>
        <w:tc>
          <w:tcPr>
            <w:tcW w:w="160" w:type="dxa"/>
            <w:vAlign w:val="bottom"/>
          </w:tcPr>
          <w:p>
            <w:pPr>
              <w:spacing w:after="0"/>
              <w:rPr>
                <w:sz w:val="21"/>
                <w:szCs w:val="21"/>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Share</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Plans</w:t>
            </w:r>
          </w:p>
        </w:tc>
        <w:tc>
          <w:tcPr>
            <w:tcW w:w="2420" w:type="dxa"/>
            <w:vAlign w:val="bottom"/>
          </w:tcPr>
          <w:p>
            <w:pPr>
              <w:jc w:val="center"/>
              <w:spacing w:after="0"/>
              <w:rPr>
                <w:sz w:val="20"/>
                <w:szCs w:val="20"/>
                <w:color w:val="auto"/>
              </w:rPr>
            </w:pP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r>
        <w:trPr>
          <w:trHeight w:val="23"/>
        </w:trPr>
        <w:tc>
          <w:tcPr>
            <w:tcW w:w="36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January 1 — January 31, 2025</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3,518,264</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b w:val="1"/>
                <w:bCs w:val="1"/>
                <w:color w:val="auto"/>
              </w:rPr>
              <w:t>February 1 — February 28, 2025</w:t>
            </w:r>
          </w:p>
        </w:tc>
        <w:tc>
          <w:tcPr>
            <w:tcW w:w="1500" w:type="dxa"/>
            <w:vAlign w:val="bottom"/>
          </w:tcPr>
          <w:p>
            <w:pPr>
              <w:jc w:val="right"/>
              <w:spacing w:after="0"/>
              <w:rPr>
                <w:sz w:val="20"/>
                <w:szCs w:val="20"/>
                <w:color w:val="auto"/>
              </w:rPr>
            </w:pPr>
            <w:r>
              <w:rPr>
                <w:rFonts w:ascii="Arial" w:cs="Arial" w:eastAsia="Arial" w:hAnsi="Arial"/>
                <w:sz w:val="18"/>
                <w:szCs w:val="18"/>
                <w:color w:val="auto"/>
              </w:rPr>
              <w:t>107,246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167.86</w:t>
            </w:r>
          </w:p>
        </w:tc>
        <w:tc>
          <w:tcPr>
            <w:tcW w:w="12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107,246</w:t>
            </w:r>
          </w:p>
        </w:tc>
        <w:tc>
          <w:tcPr>
            <w:tcW w:w="10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3,411,018</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March 1 — March 31, 2025</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3,411,018</w:t>
            </w:r>
          </w:p>
        </w:tc>
        <w:tc>
          <w:tcPr>
            <w:tcW w:w="0" w:type="dxa"/>
            <w:vAlign w:val="bottom"/>
          </w:tcPr>
          <w:p>
            <w:pPr>
              <w:spacing w:after="0"/>
              <w:rPr>
                <w:sz w:val="1"/>
                <w:szCs w:val="1"/>
                <w:color w:val="auto"/>
              </w:rPr>
            </w:pPr>
          </w:p>
        </w:tc>
      </w:tr>
      <w:tr>
        <w:trPr>
          <w:trHeight w:val="247"/>
        </w:trPr>
        <w:tc>
          <w:tcPr>
            <w:tcW w:w="36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107,246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167.86</w:t>
            </w:r>
          </w:p>
        </w:tc>
        <w:tc>
          <w:tcPr>
            <w:tcW w:w="12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107,246</w:t>
            </w:r>
          </w:p>
        </w:tc>
        <w:tc>
          <w:tcPr>
            <w:tcW w:w="100" w:type="dxa"/>
            <w:vAlign w:val="bottom"/>
          </w:tcPr>
          <w:p>
            <w:pPr>
              <w:spacing w:after="0"/>
              <w:rPr>
                <w:sz w:val="21"/>
                <w:szCs w:val="21"/>
                <w:color w:val="auto"/>
              </w:rPr>
            </w:pP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3,411,018</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8"/>
        <w:spacing w:after="0" w:line="238" w:lineRule="auto"/>
        <w:tabs>
          <w:tab w:leader="none" w:pos="197"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Total stock repurchase authorizations approved by the Company's Board of Directors as of May 14, 2021, were for 35,000,000 shares. Under these authorizations, the Company has repurchased and not re-issued 31,579,598 shares and has repurchased and re-issued 9,384 shares. These authorizations have no specific dollar or share price targets and no expiration dates.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Trading Plans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During the three months ended March 31, 2025,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0" w:name="page31"/>
    <w:bookmarkEnd w:id="30"/>
    <w:p>
      <w:pPr>
        <w:spacing w:after="0"/>
        <w:tabs>
          <w:tab w:leader="none" w:pos="860" w:val="left"/>
        </w:tabs>
        <w:rPr>
          <w:sz w:val="20"/>
          <w:szCs w:val="20"/>
          <w:color w:val="auto"/>
        </w:rPr>
      </w:pPr>
      <w:r>
        <w:rPr>
          <w:rFonts w:ascii="Arial" w:cs="Arial" w:eastAsia="Arial" w:hAnsi="Arial"/>
          <w:sz w:val="18"/>
          <w:szCs w:val="18"/>
          <w:b w:val="1"/>
          <w:bCs w:val="1"/>
          <w:color w:val="auto"/>
        </w:rPr>
        <w:t>ITEM 6.</w:t>
        <w:tab/>
        <w:t>EXHIBITS</w:t>
      </w:r>
    </w:p>
    <w:p>
      <w:pPr>
        <w:spacing w:after="0" w:line="23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u w:val="single" w:color="auto"/>
          <w:color w:val="0000FF"/>
        </w:rPr>
        <w:t>Certification of the Chief Executive Officer.</w:t>
      </w:r>
    </w:p>
    <w:p>
      <w:pPr>
        <w:spacing w:after="0" w:line="23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u w:val="single" w:color="auto"/>
          <w:color w:val="0000FF"/>
        </w:rPr>
        <w:t>Certification of the Chief Financial Officer.</w:t>
      </w:r>
    </w:p>
    <w:p>
      <w:pPr>
        <w:spacing w:after="0" w:line="25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7"/>
          <w:szCs w:val="17"/>
          <w:u w:val="single" w:color="auto"/>
          <w:color w:val="0000FF"/>
        </w:rPr>
        <w:t>Certification of the Chief Executive Officer Pursuant to 18 U.S.C. Section 1350.</w:t>
      </w:r>
    </w:p>
    <w:p>
      <w:pPr>
        <w:spacing w:after="0" w:line="25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7"/>
          <w:szCs w:val="17"/>
          <w:u w:val="single" w:color="auto"/>
          <w:color w:val="0000FF"/>
        </w:rPr>
        <w:t>Certification of the Chief Financial Officer Pursuant to 18 U.S.C. Section 1350.</w:t>
      </w:r>
    </w:p>
    <w:p>
      <w:pPr>
        <w:sectPr>
          <w:pgSz w:w="11900" w:h="16838" w:orient="portrait"/>
          <w:cols w:equalWidth="0" w:num="1">
            <w:col w:w="11240"/>
          </w:cols>
          <w:pgMar w:left="320" w:top="890" w:right="3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101.INS*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40" w:hanging="375"/>
        <w:spacing w:after="0" w:line="287" w:lineRule="auto"/>
        <w:rPr>
          <w:sz w:val="20"/>
          <w:szCs w:val="20"/>
          <w:color w:val="auto"/>
        </w:rPr>
      </w:pPr>
      <w:r>
        <w:rPr>
          <w:rFonts w:ascii="Arial" w:cs="Arial" w:eastAsia="Arial" w:hAnsi="Arial"/>
          <w:sz w:val="18"/>
          <w:szCs w:val="18"/>
          <w:color w:val="auto"/>
        </w:rPr>
        <w:t>XBRL Instance Document- the instance document does not appear in the Interactive Data File as its XBRL tags are embedded within the Inline XBRL document</w:t>
      </w:r>
    </w:p>
    <w:p>
      <w:pPr>
        <w:spacing w:after="0" w:line="180" w:lineRule="exact"/>
        <w:rPr>
          <w:sz w:val="20"/>
          <w:szCs w:val="20"/>
          <w:color w:val="auto"/>
        </w:rPr>
      </w:pPr>
    </w:p>
    <w:p>
      <w:pPr>
        <w:sectPr>
          <w:pgSz w:w="11900" w:h="16838" w:orient="portrait"/>
          <w:cols w:equalWidth="0" w:num="2">
            <w:col w:w="720" w:space="580"/>
            <w:col w:w="9940"/>
          </w:cols>
          <w:pgMar w:left="320" w:top="890" w:right="339" w:bottom="1440" w:gutter="0" w:footer="0" w:header="0"/>
          <w:type w:val="continuous"/>
        </w:sectPr>
      </w:pPr>
    </w:p>
    <w:p>
      <w:pPr>
        <w:spacing w:after="0"/>
        <w:rPr>
          <w:sz w:val="20"/>
          <w:szCs w:val="20"/>
          <w:color w:val="auto"/>
        </w:rPr>
      </w:pPr>
      <w:r>
        <w:rPr>
          <w:rFonts w:ascii="Arial" w:cs="Arial" w:eastAsia="Arial" w:hAnsi="Arial"/>
          <w:sz w:val="17"/>
          <w:szCs w:val="17"/>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XBRL Taxonomy Extension Schema Document</w:t>
      </w:r>
    </w:p>
    <w:p>
      <w:pPr>
        <w:spacing w:after="0" w:line="200" w:lineRule="exact"/>
        <w:rPr>
          <w:sz w:val="20"/>
          <w:szCs w:val="20"/>
          <w:color w:val="auto"/>
        </w:rPr>
      </w:pPr>
    </w:p>
    <w:p>
      <w:pPr>
        <w:sectPr>
          <w:pgSz w:w="11900" w:h="16838" w:orient="portrait"/>
          <w:cols w:equalWidth="0" w:num="2">
            <w:col w:w="800" w:space="200"/>
            <w:col w:w="10240"/>
          </w:cols>
          <w:pgMar w:left="320" w:top="890" w:right="3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101.CAL*</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Calculation Linkbase Document</w:t>
      </w:r>
    </w:p>
    <w:p>
      <w:pPr>
        <w:spacing w:after="0" w:line="211" w:lineRule="exact"/>
        <w:rPr>
          <w:sz w:val="20"/>
          <w:szCs w:val="20"/>
          <w:color w:val="auto"/>
        </w:rPr>
      </w:pPr>
    </w:p>
    <w:p>
      <w:pPr>
        <w:sectPr>
          <w:pgSz w:w="11900" w:h="16838" w:orient="portrait"/>
          <w:cols w:equalWidth="0" w:num="2">
            <w:col w:w="780" w:space="200"/>
            <w:col w:w="10260"/>
          </w:cols>
          <w:pgMar w:left="320" w:top="890" w:right="3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Definition Linkbase Document</w:t>
      </w:r>
    </w:p>
    <w:p>
      <w:pPr>
        <w:spacing w:after="0" w:line="200" w:lineRule="exact"/>
        <w:rPr>
          <w:sz w:val="20"/>
          <w:szCs w:val="20"/>
          <w:color w:val="auto"/>
        </w:rPr>
      </w:pPr>
    </w:p>
    <w:p>
      <w:pPr>
        <w:sectPr>
          <w:pgSz w:w="11900" w:h="16838" w:orient="portrait"/>
          <w:cols w:equalWidth="0" w:num="2">
            <w:col w:w="780" w:space="200"/>
            <w:col w:w="10260"/>
          </w:cols>
          <w:pgMar w:left="320" w:top="890" w:right="3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101.LAB*</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Label Linkbase Document</w:t>
      </w:r>
    </w:p>
    <w:p>
      <w:pPr>
        <w:spacing w:after="0" w:line="200" w:lineRule="exact"/>
        <w:rPr>
          <w:sz w:val="20"/>
          <w:szCs w:val="20"/>
          <w:color w:val="auto"/>
        </w:rPr>
      </w:pPr>
    </w:p>
    <w:p>
      <w:pPr>
        <w:sectPr>
          <w:pgSz w:w="11900" w:h="16838" w:orient="portrait"/>
          <w:cols w:equalWidth="0" w:num="2">
            <w:col w:w="760" w:space="200"/>
            <w:col w:w="10280"/>
          </w:cols>
          <w:pgMar w:left="320" w:top="890" w:right="3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101.PRE*</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Presentation Linkbase Document</w:t>
      </w:r>
    </w:p>
    <w:p>
      <w:pPr>
        <w:spacing w:after="0" w:line="211" w:lineRule="exact"/>
        <w:rPr>
          <w:sz w:val="20"/>
          <w:szCs w:val="20"/>
          <w:color w:val="auto"/>
        </w:rPr>
      </w:pPr>
    </w:p>
    <w:p>
      <w:pPr>
        <w:sectPr>
          <w:pgSz w:w="11900" w:h="16838" w:orient="portrait"/>
          <w:cols w:equalWidth="0" w:num="2">
            <w:col w:w="800" w:space="200"/>
            <w:col w:w="10240"/>
          </w:cols>
          <w:pgMar w:left="320" w:top="890" w:right="339" w:bottom="1440" w:gutter="0" w:footer="0" w:header="0"/>
          <w:type w:val="continuous"/>
        </w:sectPr>
      </w:pPr>
    </w:p>
    <w:p>
      <w:pPr>
        <w:spacing w:after="0" w:line="3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104*</w:t>
        <w:tab/>
        <w:t>Cover Page Interactive Data File (formatted as Inline XBRL and contained in Exhibit 101)</w:t>
      </w:r>
    </w:p>
    <w:p>
      <w:pPr>
        <w:spacing w:after="0" w:line="252" w:lineRule="exact"/>
        <w:rPr>
          <w:sz w:val="20"/>
          <w:szCs w:val="20"/>
          <w:color w:val="auto"/>
        </w:rPr>
      </w:pPr>
    </w:p>
    <w:p>
      <w:pPr>
        <w:jc w:val="both"/>
        <w:ind w:firstLine="8"/>
        <w:spacing w:after="0" w:line="257" w:lineRule="auto"/>
        <w:tabs>
          <w:tab w:leader="none" w:pos="165" w:val="left"/>
        </w:tabs>
        <w:numPr>
          <w:ilvl w:val="0"/>
          <w:numId w:val="4"/>
        </w:numPr>
        <w:rPr>
          <w:rFonts w:ascii="Arial" w:cs="Arial" w:eastAsia="Arial" w:hAnsi="Arial"/>
          <w:sz w:val="18"/>
          <w:szCs w:val="18"/>
          <w:color w:val="auto"/>
        </w:rPr>
      </w:pPr>
      <w:r>
        <w:rPr>
          <w:rFonts w:ascii="Arial" w:cs="Arial" w:eastAsia="Arial" w:hAnsi="Arial"/>
          <w:sz w:val="18"/>
          <w:szCs w:val="18"/>
          <w:color w:val="auto"/>
        </w:rPr>
        <w:t>Furnished with this quarterly report on Form 10-Q are the following documents formatted in XBRL (Extensible Business Reporting Language): (i) the Condensed Consolidated Balance Sheets at March 31, 2025, and June 30, 2024, (ii) the Condensed Consolidated Statements of Income for the three and nine months ended March 31, 2025, and 2024, (iii) the Condensed Consolidated Statements of Changes in Shareholders' Equity for the three and nine months ended March 31, 2025, and 2024, (iv) the Condensed Consolidated Statements of Cash Flows for the nine months ended March 31, 2025, and 2024, and (v) Notes to Condensed Consolidated Financial Statements.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8"/>
          <w:szCs w:val="18"/>
          <w:color w:val="auto"/>
        </w:rPr>
        <w:t>SIGNATURES</w:t>
      </w:r>
    </w:p>
    <w:p>
      <w:pPr>
        <w:spacing w:after="0" w:line="200" w:lineRule="exact"/>
        <w:rPr>
          <w:sz w:val="20"/>
          <w:szCs w:val="20"/>
          <w:color w:val="auto"/>
        </w:rPr>
      </w:pPr>
    </w:p>
    <w:p>
      <w:pPr>
        <w:spacing w:after="0" w:line="228"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2" w:lineRule="exact"/>
        <w:rPr>
          <w:sz w:val="20"/>
          <w:szCs w:val="20"/>
          <w:color w:val="auto"/>
        </w:rPr>
      </w:pPr>
    </w:p>
    <w:tbl>
      <w:tblPr>
        <w:tblLayout w:type="fixed"/>
        <w:tblInd w:w="200" w:type="dxa"/>
        <w:tblCellMar>
          <w:top w:w="0" w:type="dxa"/>
          <w:left w:w="0" w:type="dxa"/>
          <w:bottom w:w="0" w:type="dxa"/>
          <w:right w:w="0" w:type="dxa"/>
        </w:tblCellMar>
      </w:tblPr>
      <w:tr>
        <w:trPr>
          <w:trHeight w:val="239"/>
        </w:trPr>
        <w:tc>
          <w:tcPr>
            <w:tcW w:w="6240" w:type="dxa"/>
            <w:vAlign w:val="bottom"/>
          </w:tcPr>
          <w:p>
            <w:pPr>
              <w:spacing w:after="0"/>
              <w:rPr>
                <w:sz w:val="20"/>
                <w:szCs w:val="20"/>
                <w:color w:val="auto"/>
              </w:rPr>
            </w:pPr>
          </w:p>
        </w:tc>
        <w:tc>
          <w:tcPr>
            <w:tcW w:w="3080" w:type="dxa"/>
            <w:vAlign w:val="bottom"/>
            <w:gridSpan w:val="3"/>
          </w:tcPr>
          <w:p>
            <w:pPr>
              <w:ind w:left="120"/>
              <w:spacing w:after="0"/>
              <w:rPr>
                <w:sz w:val="20"/>
                <w:szCs w:val="20"/>
                <w:color w:val="auto"/>
              </w:rPr>
            </w:pPr>
            <w:r>
              <w:rPr>
                <w:rFonts w:ascii="Arial" w:cs="Arial" w:eastAsia="Arial" w:hAnsi="Arial"/>
                <w:sz w:val="18"/>
                <w:szCs w:val="18"/>
                <w:color w:val="auto"/>
                <w:w w:val="98"/>
              </w:rPr>
              <w:t>JACK HENRY &amp; ASSOCIATES, INC.</w:t>
            </w:r>
          </w:p>
        </w:tc>
      </w:tr>
      <w:tr>
        <w:trPr>
          <w:trHeight w:val="441"/>
        </w:trPr>
        <w:tc>
          <w:tcPr>
            <w:tcW w:w="6240" w:type="dxa"/>
            <w:vAlign w:val="bottom"/>
          </w:tcPr>
          <w:p>
            <w:pPr>
              <w:spacing w:after="0"/>
              <w:rPr>
                <w:sz w:val="20"/>
                <w:szCs w:val="20"/>
                <w:color w:val="auto"/>
              </w:rPr>
            </w:pPr>
            <w:r>
              <w:rPr>
                <w:rFonts w:ascii="Arial" w:cs="Arial" w:eastAsia="Arial" w:hAnsi="Arial"/>
                <w:sz w:val="18"/>
                <w:szCs w:val="18"/>
                <w:color w:val="auto"/>
              </w:rPr>
              <w:t>Date: May 12, 2025</w:t>
            </w:r>
          </w:p>
        </w:tc>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/s/ Gregory R. Adelson</w:t>
            </w:r>
          </w:p>
        </w:tc>
        <w:tc>
          <w:tcPr>
            <w:tcW w:w="1260" w:type="dxa"/>
            <w:vAlign w:val="bottom"/>
          </w:tcPr>
          <w:p>
            <w:pPr>
              <w:spacing w:after="0"/>
              <w:rPr>
                <w:sz w:val="24"/>
                <w:szCs w:val="24"/>
                <w:color w:val="auto"/>
              </w:rPr>
            </w:pPr>
          </w:p>
        </w:tc>
      </w:tr>
      <w:tr>
        <w:trPr>
          <w:trHeight w:val="245"/>
        </w:trPr>
        <w:tc>
          <w:tcPr>
            <w:tcW w:w="6240" w:type="dxa"/>
            <w:vAlign w:val="bottom"/>
          </w:tcPr>
          <w:p>
            <w:pPr>
              <w:spacing w:after="0"/>
              <w:rPr>
                <w:sz w:val="21"/>
                <w:szCs w:val="21"/>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Gregory R. Adelson</w:t>
            </w:r>
          </w:p>
        </w:tc>
      </w:tr>
      <w:tr>
        <w:trPr>
          <w:trHeight w:val="239"/>
        </w:trPr>
        <w:tc>
          <w:tcPr>
            <w:tcW w:w="6240" w:type="dxa"/>
            <w:vAlign w:val="bottom"/>
          </w:tcPr>
          <w:p>
            <w:pPr>
              <w:spacing w:after="0"/>
              <w:rPr>
                <w:sz w:val="20"/>
                <w:szCs w:val="20"/>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Chief Executive Officer and President</w:t>
            </w:r>
          </w:p>
        </w:tc>
      </w:tr>
      <w:tr>
        <w:trPr>
          <w:trHeight w:val="441"/>
        </w:trPr>
        <w:tc>
          <w:tcPr>
            <w:tcW w:w="6240" w:type="dxa"/>
            <w:vAlign w:val="bottom"/>
          </w:tcPr>
          <w:p>
            <w:pPr>
              <w:spacing w:after="0"/>
              <w:rPr>
                <w:sz w:val="20"/>
                <w:szCs w:val="20"/>
                <w:color w:val="auto"/>
              </w:rPr>
            </w:pPr>
            <w:r>
              <w:rPr>
                <w:rFonts w:ascii="Arial" w:cs="Arial" w:eastAsia="Arial" w:hAnsi="Arial"/>
                <w:sz w:val="18"/>
                <w:szCs w:val="18"/>
                <w:color w:val="auto"/>
              </w:rPr>
              <w:t>Date: May 12, 2025</w:t>
            </w: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/s/ Mimi L. Carsley</w:t>
            </w:r>
          </w:p>
        </w:tc>
        <w:tc>
          <w:tcPr>
            <w:tcW w:w="1600" w:type="dxa"/>
            <w:vAlign w:val="bottom"/>
            <w:gridSpan w:val="2"/>
          </w:tcPr>
          <w:p>
            <w:pPr>
              <w:spacing w:after="0"/>
              <w:rPr>
                <w:sz w:val="24"/>
                <w:szCs w:val="24"/>
                <w:color w:val="auto"/>
              </w:rPr>
            </w:pPr>
          </w:p>
        </w:tc>
      </w:tr>
      <w:tr>
        <w:trPr>
          <w:trHeight w:val="245"/>
        </w:trPr>
        <w:tc>
          <w:tcPr>
            <w:tcW w:w="6240" w:type="dxa"/>
            <w:vAlign w:val="bottom"/>
          </w:tcPr>
          <w:p>
            <w:pPr>
              <w:spacing w:after="0"/>
              <w:rPr>
                <w:sz w:val="21"/>
                <w:szCs w:val="21"/>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Mimi L. Carsley</w:t>
            </w:r>
          </w:p>
        </w:tc>
      </w:tr>
      <w:tr>
        <w:trPr>
          <w:trHeight w:val="239"/>
        </w:trPr>
        <w:tc>
          <w:tcPr>
            <w:tcW w:w="6240" w:type="dxa"/>
            <w:vAlign w:val="bottom"/>
          </w:tcPr>
          <w:p>
            <w:pPr>
              <w:spacing w:after="0"/>
              <w:rPr>
                <w:sz w:val="20"/>
                <w:szCs w:val="20"/>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22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 Gregory R. Adelson, certify that:</w:t>
      </w:r>
    </w:p>
    <w:p>
      <w:pPr>
        <w:spacing w:after="0" w:line="77" w:lineRule="exact"/>
        <w:rPr>
          <w:sz w:val="20"/>
          <w:szCs w:val="20"/>
          <w:color w:val="auto"/>
        </w:rPr>
      </w:pPr>
    </w:p>
    <w:p>
      <w:pPr>
        <w:ind w:left="200" w:hanging="192"/>
        <w:spacing w:after="0"/>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Jack Henry &amp; Associates, Inc.;</w:t>
      </w:r>
    </w:p>
    <w:p>
      <w:pPr>
        <w:spacing w:after="0" w:line="90" w:lineRule="exact"/>
        <w:rPr>
          <w:rFonts w:ascii="Arial" w:cs="Arial" w:eastAsia="Arial" w:hAnsi="Arial"/>
          <w:sz w:val="18"/>
          <w:szCs w:val="18"/>
          <w:color w:val="auto"/>
        </w:rPr>
      </w:pPr>
    </w:p>
    <w:p>
      <w:pPr>
        <w:jc w:val="both"/>
        <w:ind w:firstLine="8"/>
        <w:spacing w:after="0" w:line="268" w:lineRule="auto"/>
        <w:tabs>
          <w:tab w:leader="none" w:pos="208"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 w:lineRule="exact"/>
        <w:rPr>
          <w:rFonts w:ascii="Arial" w:cs="Arial" w:eastAsia="Arial" w:hAnsi="Arial"/>
          <w:sz w:val="18"/>
          <w:szCs w:val="18"/>
          <w:color w:val="auto"/>
        </w:rPr>
      </w:pPr>
    </w:p>
    <w:p>
      <w:pPr>
        <w:ind w:firstLine="8"/>
        <w:spacing w:after="0" w:line="287" w:lineRule="auto"/>
        <w:tabs>
          <w:tab w:leader="none" w:pos="228"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8"/>
          <w:szCs w:val="18"/>
          <w:color w:val="auto"/>
        </w:rPr>
      </w:pPr>
    </w:p>
    <w:p>
      <w:pPr>
        <w:jc w:val="both"/>
        <w:ind w:firstLine="8"/>
        <w:spacing w:after="0" w:line="268" w:lineRule="auto"/>
        <w:tabs>
          <w:tab w:leader="none" w:pos="23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 w:lineRule="exact"/>
        <w:rPr>
          <w:sz w:val="20"/>
          <w:szCs w:val="20"/>
          <w:color w:val="auto"/>
        </w:rPr>
      </w:pPr>
    </w:p>
    <w:p>
      <w:pPr>
        <w:jc w:val="both"/>
        <w:ind w:right="20" w:firstLine="8"/>
        <w:spacing w:after="0" w:line="268" w:lineRule="auto"/>
        <w:tabs>
          <w:tab w:leader="none" w:pos="253"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 w:lineRule="exact"/>
        <w:rPr>
          <w:rFonts w:ascii="Arial" w:cs="Arial" w:eastAsia="Arial" w:hAnsi="Arial"/>
          <w:sz w:val="18"/>
          <w:szCs w:val="18"/>
          <w:color w:val="auto"/>
        </w:rPr>
      </w:pPr>
    </w:p>
    <w:p>
      <w:pPr>
        <w:jc w:val="both"/>
        <w:ind w:firstLine="8"/>
        <w:spacing w:after="0" w:line="268" w:lineRule="auto"/>
        <w:tabs>
          <w:tab w:leader="none" w:pos="223"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 w:lineRule="exact"/>
        <w:rPr>
          <w:rFonts w:ascii="Arial" w:cs="Arial" w:eastAsia="Arial" w:hAnsi="Arial"/>
          <w:sz w:val="18"/>
          <w:szCs w:val="18"/>
          <w:color w:val="auto"/>
        </w:rPr>
      </w:pPr>
    </w:p>
    <w:p>
      <w:pPr>
        <w:ind w:right="20" w:firstLine="8"/>
        <w:spacing w:after="0" w:line="287" w:lineRule="auto"/>
        <w:tabs>
          <w:tab w:leader="none" w:pos="211" w:val="left"/>
        </w:tabs>
        <w:numPr>
          <w:ilvl w:val="0"/>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Arial" w:cs="Arial" w:eastAsia="Arial" w:hAnsi="Arial"/>
          <w:sz w:val="18"/>
          <w:szCs w:val="18"/>
          <w:color w:val="auto"/>
        </w:rPr>
      </w:pPr>
    </w:p>
    <w:p>
      <w:pPr>
        <w:jc w:val="both"/>
        <w:ind w:firstLine="8"/>
        <w:spacing w:after="0" w:line="268" w:lineRule="auto"/>
        <w:tabs>
          <w:tab w:leader="none" w:pos="229"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 w:lineRule="exact"/>
        <w:rPr>
          <w:sz w:val="20"/>
          <w:szCs w:val="20"/>
          <w:color w:val="auto"/>
        </w:rPr>
      </w:pPr>
    </w:p>
    <w:p>
      <w:pPr>
        <w:jc w:val="both"/>
        <w:ind w:firstLine="8"/>
        <w:spacing w:after="0" w:line="268" w:lineRule="auto"/>
        <w:tabs>
          <w:tab w:leader="none" w:pos="23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 w:lineRule="exact"/>
        <w:rPr>
          <w:sz w:val="20"/>
          <w:szCs w:val="20"/>
          <w:color w:val="auto"/>
        </w:rPr>
      </w:pPr>
    </w:p>
    <w:p>
      <w:pPr>
        <w:ind w:right="20" w:firstLine="8"/>
        <w:spacing w:after="0" w:line="287" w:lineRule="auto"/>
        <w:tabs>
          <w:tab w:leader="none" w:pos="246"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right="20" w:firstLine="8"/>
        <w:spacing w:after="0" w:line="287" w:lineRule="auto"/>
        <w:tabs>
          <w:tab w:leader="none" w:pos="223"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Date: May 12, 2025</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Gregory R. Adelson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17780</wp:posOffset>
            </wp:positionV>
            <wp:extent cx="16370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Gregory R. Adelson</w:t>
      </w:r>
    </w:p>
    <w:p>
      <w:pPr>
        <w:spacing w:after="0" w:line="3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95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 Mimi L. Carsley, certify that:</w:t>
      </w:r>
    </w:p>
    <w:p>
      <w:pPr>
        <w:spacing w:after="0" w:line="77" w:lineRule="exact"/>
        <w:rPr>
          <w:sz w:val="20"/>
          <w:szCs w:val="20"/>
          <w:color w:val="auto"/>
        </w:rPr>
      </w:pPr>
    </w:p>
    <w:p>
      <w:pPr>
        <w:ind w:left="200" w:hanging="192"/>
        <w:spacing w:after="0"/>
        <w:tabs>
          <w:tab w:leader="none" w:pos="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Jack Henry &amp; Associates, Inc.;</w:t>
      </w:r>
    </w:p>
    <w:p>
      <w:pPr>
        <w:spacing w:after="0" w:line="90" w:lineRule="exact"/>
        <w:rPr>
          <w:rFonts w:ascii="Arial" w:cs="Arial" w:eastAsia="Arial" w:hAnsi="Arial"/>
          <w:sz w:val="18"/>
          <w:szCs w:val="18"/>
          <w:color w:val="auto"/>
        </w:rPr>
      </w:pPr>
    </w:p>
    <w:p>
      <w:pPr>
        <w:jc w:val="both"/>
        <w:ind w:firstLine="8"/>
        <w:spacing w:after="0" w:line="268" w:lineRule="auto"/>
        <w:tabs>
          <w:tab w:leader="none" w:pos="20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 w:lineRule="exact"/>
        <w:rPr>
          <w:rFonts w:ascii="Arial" w:cs="Arial" w:eastAsia="Arial" w:hAnsi="Arial"/>
          <w:sz w:val="18"/>
          <w:szCs w:val="18"/>
          <w:color w:val="auto"/>
        </w:rPr>
      </w:pPr>
    </w:p>
    <w:p>
      <w:pPr>
        <w:ind w:firstLine="8"/>
        <w:spacing w:after="0" w:line="287" w:lineRule="auto"/>
        <w:tabs>
          <w:tab w:leader="none" w:pos="22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8"/>
          <w:szCs w:val="18"/>
          <w:color w:val="auto"/>
        </w:rPr>
      </w:pPr>
    </w:p>
    <w:p>
      <w:pPr>
        <w:jc w:val="both"/>
        <w:ind w:firstLine="8"/>
        <w:spacing w:after="0" w:line="268" w:lineRule="auto"/>
        <w:tabs>
          <w:tab w:leader="none" w:pos="23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 w:lineRule="exact"/>
        <w:rPr>
          <w:sz w:val="20"/>
          <w:szCs w:val="20"/>
          <w:color w:val="auto"/>
        </w:rPr>
      </w:pPr>
    </w:p>
    <w:p>
      <w:pPr>
        <w:jc w:val="both"/>
        <w:ind w:right="20" w:firstLine="8"/>
        <w:spacing w:after="0" w:line="268" w:lineRule="auto"/>
        <w:tabs>
          <w:tab w:leader="none" w:pos="253"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 w:lineRule="exact"/>
        <w:rPr>
          <w:rFonts w:ascii="Arial" w:cs="Arial" w:eastAsia="Arial" w:hAnsi="Arial"/>
          <w:sz w:val="18"/>
          <w:szCs w:val="18"/>
          <w:color w:val="auto"/>
        </w:rPr>
      </w:pPr>
    </w:p>
    <w:p>
      <w:pPr>
        <w:jc w:val="both"/>
        <w:ind w:firstLine="8"/>
        <w:spacing w:after="0" w:line="268" w:lineRule="auto"/>
        <w:tabs>
          <w:tab w:leader="none" w:pos="223"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 w:lineRule="exact"/>
        <w:rPr>
          <w:rFonts w:ascii="Arial" w:cs="Arial" w:eastAsia="Arial" w:hAnsi="Arial"/>
          <w:sz w:val="18"/>
          <w:szCs w:val="18"/>
          <w:color w:val="auto"/>
        </w:rPr>
      </w:pPr>
    </w:p>
    <w:p>
      <w:pPr>
        <w:ind w:right="20" w:firstLine="8"/>
        <w:spacing w:after="0" w:line="287" w:lineRule="auto"/>
        <w:tabs>
          <w:tab w:leader="none" w:pos="2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Arial" w:cs="Arial" w:eastAsia="Arial" w:hAnsi="Arial"/>
          <w:sz w:val="18"/>
          <w:szCs w:val="18"/>
          <w:color w:val="auto"/>
        </w:rPr>
      </w:pPr>
    </w:p>
    <w:p>
      <w:pPr>
        <w:jc w:val="both"/>
        <w:ind w:firstLine="8"/>
        <w:spacing w:after="0" w:line="268" w:lineRule="auto"/>
        <w:tabs>
          <w:tab w:leader="none" w:pos="229"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 w:lineRule="exact"/>
        <w:rPr>
          <w:sz w:val="20"/>
          <w:szCs w:val="20"/>
          <w:color w:val="auto"/>
        </w:rPr>
      </w:pPr>
    </w:p>
    <w:p>
      <w:pPr>
        <w:jc w:val="both"/>
        <w:ind w:firstLine="8"/>
        <w:spacing w:after="0" w:line="268" w:lineRule="auto"/>
        <w:tabs>
          <w:tab w:leader="none" w:pos="23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 w:lineRule="exact"/>
        <w:rPr>
          <w:sz w:val="20"/>
          <w:szCs w:val="20"/>
          <w:color w:val="auto"/>
        </w:rPr>
      </w:pPr>
    </w:p>
    <w:p>
      <w:pPr>
        <w:ind w:right="20" w:firstLine="8"/>
        <w:spacing w:after="0" w:line="287" w:lineRule="auto"/>
        <w:tabs>
          <w:tab w:leader="none" w:pos="246"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right="20" w:firstLine="8"/>
        <w:spacing w:after="0" w:line="287" w:lineRule="auto"/>
        <w:tabs>
          <w:tab w:leader="none" w:pos="2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Date: May 12, 2025</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Mimi L. Carsley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17780</wp:posOffset>
            </wp:positionV>
            <wp:extent cx="16370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Mimi L. Carsley</w:t>
      </w:r>
    </w:p>
    <w:p>
      <w:pPr>
        <w:spacing w:after="0" w:line="3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95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Solely for the purposes of complying with 18 U.S.C. Section 1350, I, the undersigned Chief Executive Officer of Jack Henry &amp; Associates, Inc. (the "Company"), hereby certify that, to my knowledge, the Quarterly Report on Form 10 -Q of the Company for the nine month period ended March 31, 2025 (the "Report") fully complies with the requirements of Section 13(a) or 15(d) of the Securities Exchange Act of 1934, as amended, and that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Dated: May 12, 2025</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Gregory R. Adelson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17780</wp:posOffset>
            </wp:positionV>
            <wp:extent cx="16370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Gregory R. Adelson</w:t>
      </w:r>
    </w:p>
    <w:p>
      <w:pPr>
        <w:spacing w:after="0" w:line="3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Jack Henry &amp; Associates, Inc. and will be retained by Jack Henry &amp; Associates, Inc. and furnished to the Securities and Exchange Commission or its staff upon request.</w:t>
      </w:r>
    </w:p>
    <w:p>
      <w:pPr>
        <w:sectPr>
          <w:pgSz w:w="11900" w:h="16838" w:orient="portrait"/>
          <w:cols w:equalWidth="0" w:num="1">
            <w:col w:w="11240"/>
          </w:cols>
          <w:pgMar w:left="320" w:top="890"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EXHIBIT 32.2</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of the Chief Financial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Pursuant to 18 U.S.C. Section 1350</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Solely for the purposes of complying with 18 U.S.C. Section 1350, I, the undersigned Chief Financial Officer of Jack Henry &amp; Associates, Inc. (the "Company"), hereby certify that, to my knowledge, the Quarterly Report on Form 10-Q of the Company for the nine month period ended March 31, 2025 (the "Report") fully complies with the requirements of Section 13(a) or 15(d) of the Securities Exchange Act of 1934, as amended, and that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Dated: May 12, 2025</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Mimi L. Carsley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17780</wp:posOffset>
            </wp:positionV>
            <wp:extent cx="16370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Mimi L. Carsley</w:t>
      </w:r>
    </w:p>
    <w:p>
      <w:pPr>
        <w:spacing w:after="0" w:line="3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Jack Henry &amp; Associates, Inc. and will be retained by Jack Henry &amp; Associates, Inc.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decimal"/>
      <w:start w:val="5"/>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decimal"/>
      <w:start w:val="5"/>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2025-05-12T13:43:10Z</dcterms:created>
  <dcterms:modified xsi:type="dcterms:W3CDTF">2025-05-12T13:43:10Z</dcterms:modified>
</cp:coreProperties>
</file>