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72" w:lineRule="exact"/>
        <w:rPr>
          <w:sz w:val="24"/>
          <w:szCs w:val="24"/>
          <w:color w:val="auto"/>
        </w:rPr>
      </w:pPr>
    </w:p>
    <w:p>
      <w:pPr>
        <w:ind w:left="920" w:hanging="590"/>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QUARTERLY REPORT PURSUANT TO SECTION 13 OR 15(d) OF THE SECURITIES EXCHANGE ACT OF 1934</w:t>
      </w:r>
    </w:p>
    <w:p>
      <w:pPr>
        <w:spacing w:after="0" w:line="70" w:lineRule="exact"/>
        <w:rPr>
          <w:sz w:val="24"/>
          <w:szCs w:val="24"/>
          <w:color w:val="auto"/>
        </w:rPr>
      </w:pPr>
    </w:p>
    <w:p>
      <w:pPr>
        <w:spacing w:after="0"/>
        <w:rPr>
          <w:sz w:val="20"/>
          <w:szCs w:val="20"/>
          <w:color w:val="auto"/>
        </w:rPr>
      </w:pPr>
      <w:r>
        <w:rPr>
          <w:rFonts w:ascii="Arial" w:cs="Arial" w:eastAsia="Arial" w:hAnsi="Arial"/>
          <w:sz w:val="18"/>
          <w:szCs w:val="18"/>
          <w:color w:val="auto"/>
        </w:rPr>
        <w:t>For the quarterly period ended September 30, 2024</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OR</w:t>
      </w:r>
    </w:p>
    <w:p>
      <w:pPr>
        <w:spacing w:after="0" w:line="63" w:lineRule="exact"/>
        <w:rPr>
          <w:sz w:val="24"/>
          <w:szCs w:val="24"/>
          <w:color w:val="auto"/>
        </w:rPr>
      </w:pPr>
    </w:p>
    <w:p>
      <w:pPr>
        <w:ind w:left="900" w:right="1180" w:hanging="591"/>
        <w:spacing w:after="0" w:line="279" w:lineRule="auto"/>
        <w:tabs>
          <w:tab w:leader="none" w:pos="90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________________</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0-14112</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JACK HENRY &amp; ASSOCIATES,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440" w:type="dxa"/>
            <w:vAlign w:val="bottom"/>
            <w:gridSpan w:val="2"/>
          </w:tcPr>
          <w:p>
            <w:pPr>
              <w:jc w:val="center"/>
              <w:ind w:right="2680"/>
              <w:spacing w:after="0"/>
              <w:rPr>
                <w:sz w:val="20"/>
                <w:szCs w:val="20"/>
                <w:color w:val="auto"/>
              </w:rPr>
            </w:pPr>
            <w:r>
              <w:rPr>
                <w:rFonts w:ascii="Arial" w:cs="Arial" w:eastAsia="Arial" w:hAnsi="Arial"/>
                <w:sz w:val="18"/>
                <w:szCs w:val="18"/>
                <w:color w:val="auto"/>
                <w:w w:val="99"/>
              </w:rPr>
              <w:t>Delaware</w:t>
            </w:r>
          </w:p>
        </w:tc>
        <w:tc>
          <w:tcPr>
            <w:tcW w:w="4080" w:type="dxa"/>
            <w:vAlign w:val="bottom"/>
            <w:gridSpan w:val="3"/>
          </w:tcPr>
          <w:p>
            <w:pPr>
              <w:jc w:val="right"/>
              <w:ind w:right="920"/>
              <w:spacing w:after="0"/>
              <w:rPr>
                <w:sz w:val="20"/>
                <w:szCs w:val="20"/>
                <w:color w:val="auto"/>
              </w:rPr>
            </w:pPr>
            <w:r>
              <w:rPr>
                <w:rFonts w:ascii="Arial" w:cs="Arial" w:eastAsia="Arial" w:hAnsi="Arial"/>
                <w:sz w:val="18"/>
                <w:szCs w:val="18"/>
                <w:color w:val="auto"/>
              </w:rPr>
              <w:t>43-1128385</w:t>
            </w:r>
          </w:p>
        </w:tc>
      </w:tr>
      <w:tr>
        <w:trPr>
          <w:trHeight w:val="20"/>
        </w:trPr>
        <w:tc>
          <w:tcPr>
            <w:tcW w:w="1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4"/>
        </w:trPr>
        <w:tc>
          <w:tcPr>
            <w:tcW w:w="4800" w:type="dxa"/>
            <w:vAlign w:val="bottom"/>
            <w:gridSpan w:val="3"/>
          </w:tcPr>
          <w:p>
            <w:pPr>
              <w:jc w:val="center"/>
              <w:ind w:right="1300"/>
              <w:spacing w:after="0"/>
              <w:rPr>
                <w:sz w:val="20"/>
                <w:szCs w:val="20"/>
                <w:color w:val="auto"/>
              </w:rPr>
            </w:pPr>
            <w:r>
              <w:rPr>
                <w:rFonts w:ascii="Arial" w:cs="Arial" w:eastAsia="Arial" w:hAnsi="Arial"/>
                <w:sz w:val="18"/>
                <w:szCs w:val="18"/>
                <w:color w:val="auto"/>
                <w:w w:val="99"/>
              </w:rPr>
              <w:t>(State or Other Jurisdiction of Incorporation)</w:t>
            </w:r>
          </w:p>
        </w:tc>
        <w:tc>
          <w:tcPr>
            <w:tcW w:w="4080" w:type="dxa"/>
            <w:vAlign w:val="bottom"/>
            <w:gridSpan w:val="3"/>
          </w:tcPr>
          <w:p>
            <w:pPr>
              <w:jc w:val="center"/>
              <w:ind w:left="1210"/>
              <w:spacing w:after="0"/>
              <w:rPr>
                <w:sz w:val="20"/>
                <w:szCs w:val="20"/>
                <w:color w:val="auto"/>
              </w:rPr>
            </w:pPr>
            <w:r>
              <w:rPr>
                <w:rFonts w:ascii="Arial" w:cs="Arial" w:eastAsia="Arial" w:hAnsi="Arial"/>
                <w:sz w:val="18"/>
                <w:szCs w:val="18"/>
                <w:color w:val="auto"/>
              </w:rPr>
              <w:t>(I.R.S. Employer Identification No.)</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663 Highway 60, P.O. Box 807, Monett, MO 65708</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(Zip Code)</w:t>
      </w:r>
    </w:p>
    <w:p>
      <w:pPr>
        <w:jc w:val="center"/>
        <w:spacing w:after="0"/>
        <w:rPr>
          <w:sz w:val="20"/>
          <w:szCs w:val="20"/>
          <w:color w:val="auto"/>
        </w:rPr>
      </w:pPr>
      <w:r>
        <w:rPr>
          <w:rFonts w:ascii="Arial" w:cs="Arial" w:eastAsia="Arial" w:hAnsi="Arial"/>
          <w:sz w:val="20"/>
          <w:szCs w:val="20"/>
          <w:b w:val="1"/>
          <w:bCs w:val="1"/>
          <w:u w:val="single" w:color="auto"/>
          <w:color w:val="auto"/>
        </w:rPr>
        <w:t>417-235-6652</w:t>
      </w:r>
    </w:p>
    <w:p>
      <w:pPr>
        <w:spacing w:after="0" w:line="19" w:lineRule="exact"/>
        <w:rPr>
          <w:sz w:val="24"/>
          <w:szCs w:val="24"/>
          <w:color w:val="auto"/>
        </w:rPr>
      </w:pPr>
    </w:p>
    <w:p>
      <w:pPr>
        <w:ind w:left="3720"/>
        <w:spacing w:after="0"/>
        <w:rPr>
          <w:sz w:val="20"/>
          <w:szCs w:val="20"/>
          <w:color w:val="auto"/>
        </w:rPr>
      </w:pPr>
      <w:r>
        <w:rPr>
          <w:rFonts w:ascii="Arial" w:cs="Arial" w:eastAsia="Arial" w:hAnsi="Arial"/>
          <w:sz w:val="16"/>
          <w:szCs w:val="16"/>
          <w:color w:val="auto"/>
        </w:rPr>
        <w:t>(Registrant’s telephone number, including area code)</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7" w:lineRule="exact"/>
        <w:rPr>
          <w:sz w:val="24"/>
          <w:szCs w:val="24"/>
          <w:color w:val="auto"/>
        </w:rPr>
      </w:pPr>
    </w:p>
    <w:tbl>
      <w:tblPr>
        <w:tblLayout w:type="fixed"/>
        <w:tblInd w:w="92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Title of each class</w:t>
            </w:r>
          </w:p>
        </w:tc>
        <w:tc>
          <w:tcPr>
            <w:tcW w:w="1180" w:type="dxa"/>
            <w:vAlign w:val="bottom"/>
          </w:tcPr>
          <w:p>
            <w:pPr>
              <w:spacing w:after="0"/>
              <w:rPr>
                <w:sz w:val="17"/>
                <w:szCs w:val="17"/>
                <w:color w:val="auto"/>
              </w:rPr>
            </w:pPr>
          </w:p>
        </w:tc>
        <w:tc>
          <w:tcPr>
            <w:tcW w:w="2800" w:type="dxa"/>
            <w:vAlign w:val="bottom"/>
            <w:gridSpan w:val="3"/>
          </w:tcPr>
          <w:p>
            <w:pPr>
              <w:jc w:val="center"/>
              <w:ind w:right="360"/>
              <w:spacing w:after="0"/>
              <w:rPr>
                <w:sz w:val="20"/>
                <w:szCs w:val="20"/>
                <w:color w:val="auto"/>
              </w:rPr>
            </w:pPr>
            <w:r>
              <w:rPr>
                <w:rFonts w:ascii="Arial" w:cs="Arial" w:eastAsia="Arial" w:hAnsi="Arial"/>
                <w:sz w:val="18"/>
                <w:szCs w:val="18"/>
                <w:color w:val="auto"/>
                <w:w w:val="98"/>
              </w:rPr>
              <w:t>Trading Symbol</w:t>
            </w: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0"/>
        </w:trPr>
        <w:tc>
          <w:tcPr>
            <w:tcW w:w="6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54"/>
        </w:trPr>
        <w:tc>
          <w:tcPr>
            <w:tcW w:w="3220" w:type="dxa"/>
            <w:vAlign w:val="bottom"/>
            <w:gridSpan w:val="3"/>
          </w:tcPr>
          <w:p>
            <w:pPr>
              <w:jc w:val="center"/>
              <w:ind w:right="580"/>
              <w:spacing w:after="0"/>
              <w:rPr>
                <w:sz w:val="20"/>
                <w:szCs w:val="20"/>
                <w:color w:val="auto"/>
              </w:rPr>
            </w:pPr>
            <w:r>
              <w:rPr>
                <w:rFonts w:ascii="Arial" w:cs="Arial" w:eastAsia="Arial" w:hAnsi="Arial"/>
                <w:sz w:val="18"/>
                <w:szCs w:val="18"/>
                <w:color w:val="auto"/>
                <w:w w:val="99"/>
              </w:rPr>
              <w:t>Common Stock ($0.01 par value)</w:t>
            </w:r>
          </w:p>
        </w:tc>
        <w:tc>
          <w:tcPr>
            <w:tcW w:w="600" w:type="dxa"/>
            <w:vAlign w:val="bottom"/>
          </w:tcPr>
          <w:p>
            <w:pPr>
              <w:spacing w:after="0"/>
              <w:rPr>
                <w:sz w:val="22"/>
                <w:szCs w:val="22"/>
                <w:color w:val="auto"/>
              </w:rPr>
            </w:pPr>
          </w:p>
        </w:tc>
        <w:tc>
          <w:tcPr>
            <w:tcW w:w="2200" w:type="dxa"/>
            <w:vAlign w:val="bottom"/>
            <w:gridSpan w:val="2"/>
          </w:tcPr>
          <w:p>
            <w:pPr>
              <w:jc w:val="center"/>
              <w:ind w:right="940"/>
              <w:spacing w:after="0"/>
              <w:rPr>
                <w:sz w:val="20"/>
                <w:szCs w:val="20"/>
                <w:color w:val="auto"/>
              </w:rPr>
            </w:pPr>
            <w:r>
              <w:rPr>
                <w:rFonts w:ascii="Arial" w:cs="Arial" w:eastAsia="Arial" w:hAnsi="Arial"/>
                <w:sz w:val="18"/>
                <w:szCs w:val="18"/>
                <w:color w:val="auto"/>
                <w:w w:val="99"/>
              </w:rPr>
              <w:t>JKHY</w:t>
            </w: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31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8"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3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80" w:type="dxa"/>
            <w:vAlign w:val="bottom"/>
          </w:tcPr>
          <w:p>
            <w:pPr>
              <w:ind w:left="9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3060" w:type="dxa"/>
            <w:vAlign w:val="bottom"/>
          </w:tcPr>
          <w:p>
            <w:pPr>
              <w:spacing w:after="0"/>
              <w:rPr>
                <w:sz w:val="20"/>
                <w:szCs w:val="20"/>
                <w:color w:val="auto"/>
              </w:rPr>
            </w:pPr>
            <w:r>
              <w:rPr>
                <w:rFonts w:ascii="Arial" w:cs="Arial" w:eastAsia="Arial" w:hAnsi="Arial"/>
                <w:sz w:val="18"/>
                <w:szCs w:val="18"/>
                <w:color w:val="auto"/>
              </w:rPr>
              <w:t>Non-accelerated filer</w:t>
            </w:r>
          </w:p>
        </w:tc>
        <w:tc>
          <w:tcPr>
            <w:tcW w:w="4880" w:type="dxa"/>
            <w:vAlign w:val="bottom"/>
          </w:tcPr>
          <w:p>
            <w:pPr>
              <w:ind w:left="9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0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8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spacing w:after="0"/>
              <w:rPr>
                <w:sz w:val="24"/>
                <w:szCs w:val="24"/>
                <w:color w:val="auto"/>
              </w:rPr>
            </w:pPr>
          </w:p>
        </w:tc>
      </w:tr>
    </w:tbl>
    <w:p>
      <w:pPr>
        <w:spacing w:after="0" w:line="156" w:lineRule="exact"/>
        <w:rPr>
          <w:sz w:val="24"/>
          <w:szCs w:val="24"/>
          <w:color w:val="auto"/>
        </w:rPr>
      </w:pPr>
    </w:p>
    <w:p>
      <w:pPr>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28, 2024, the Registrant had 72,959,325 shares of Common Stock outstanding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94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186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color w:val="auto"/>
                <w:w w:val="99"/>
              </w:rPr>
              <w:t>Page Reference</w:t>
            </w:r>
          </w:p>
        </w:tc>
        <w:tc>
          <w:tcPr>
            <w:tcW w:w="0" w:type="dxa"/>
            <w:vAlign w:val="bottom"/>
          </w:tcPr>
          <w:p>
            <w:pPr>
              <w:spacing w:after="0"/>
              <w:rPr>
                <w:sz w:val="1"/>
                <w:szCs w:val="1"/>
                <w:color w:val="auto"/>
              </w:rPr>
            </w:pPr>
          </w:p>
        </w:tc>
      </w:tr>
      <w:tr>
        <w:trPr>
          <w:trHeight w:val="370"/>
        </w:trPr>
        <w:tc>
          <w:tcPr>
            <w:tcW w:w="9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380" w:type="dxa"/>
            <w:vAlign w:val="bottom"/>
          </w:tcPr>
          <w:p>
            <w:pPr>
              <w:ind w:left="320"/>
              <w:spacing w:after="0"/>
              <w:rPr>
                <w:sz w:val="20"/>
                <w:szCs w:val="20"/>
                <w:color w:val="auto"/>
              </w:rPr>
            </w:pPr>
            <w:r>
              <w:rPr>
                <w:rFonts w:ascii="Arial" w:cs="Arial" w:eastAsia="Arial" w:hAnsi="Arial"/>
                <w:sz w:val="18"/>
                <w:szCs w:val="18"/>
                <w:color w:val="0000FF"/>
              </w:rPr>
              <w:t>FINANCIAL INFORMATION</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Balance Sheets as of September 30, 2024, and June 30, 2024 (Unaudited)</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Income for the Three Months Ended September 30, 2024</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and 2023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Changes in Stockholders' Equity for the Three Months</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Ended September 30, 2024 and 2023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Cash Flows for the Three Months Ended September 30,</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2024 and 2023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Notes to Condensed Consolidated Financial Statements (Unaudited)</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32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8380" w:type="dxa"/>
            <w:vAlign w:val="bottom"/>
          </w:tcPr>
          <w:p>
            <w:pPr>
              <w:ind w:left="320"/>
              <w:spacing w:after="0"/>
              <w:rPr>
                <w:sz w:val="20"/>
                <w:szCs w:val="20"/>
                <w:color w:val="auto"/>
              </w:rPr>
            </w:pPr>
            <w:r>
              <w:rPr>
                <w:rFonts w:ascii="Arial" w:cs="Arial" w:eastAsia="Arial" w:hAnsi="Arial"/>
                <w:sz w:val="18"/>
                <w:szCs w:val="18"/>
                <w:color w:val="0000FF"/>
              </w:rPr>
              <w:t>Quantitative and Qualitative Disclosures about Market Risk</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8380" w:type="dxa"/>
            <w:vAlign w:val="bottom"/>
          </w:tcPr>
          <w:p>
            <w:pPr>
              <w:ind w:left="320"/>
              <w:spacing w:after="0"/>
              <w:rPr>
                <w:sz w:val="20"/>
                <w:szCs w:val="20"/>
                <w:color w:val="auto"/>
              </w:rPr>
            </w:pPr>
            <w:r>
              <w:rPr>
                <w:rFonts w:ascii="Arial" w:cs="Arial" w:eastAsia="Arial" w:hAnsi="Arial"/>
                <w:sz w:val="18"/>
                <w:szCs w:val="18"/>
                <w:color w:val="0000FF"/>
              </w:rPr>
              <w:t>Controls and Procedures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380" w:type="dxa"/>
            <w:vAlign w:val="bottom"/>
          </w:tcPr>
          <w:p>
            <w:pPr>
              <w:ind w:left="320"/>
              <w:spacing w:after="0"/>
              <w:rPr>
                <w:sz w:val="20"/>
                <w:szCs w:val="20"/>
                <w:color w:val="auto"/>
              </w:rPr>
            </w:pPr>
            <w:r>
              <w:rPr>
                <w:rFonts w:ascii="Arial" w:cs="Arial" w:eastAsia="Arial" w:hAnsi="Arial"/>
                <w:sz w:val="18"/>
                <w:szCs w:val="18"/>
                <w:color w:val="0000FF"/>
              </w:rPr>
              <w:t>OTHER INFORMATION</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320"/>
              <w:spacing w:after="0"/>
              <w:rPr>
                <w:sz w:val="20"/>
                <w:szCs w:val="20"/>
                <w:color w:val="auto"/>
              </w:rPr>
            </w:pPr>
            <w:r>
              <w:rPr>
                <w:rFonts w:ascii="Arial" w:cs="Arial" w:eastAsia="Arial" w:hAnsi="Arial"/>
                <w:sz w:val="18"/>
                <w:szCs w:val="18"/>
                <w:color w:val="0000FF"/>
              </w:rPr>
              <w:t>Legal Proceedings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320"/>
              <w:spacing w:after="0"/>
              <w:rPr>
                <w:sz w:val="20"/>
                <w:szCs w:val="20"/>
                <w:color w:val="auto"/>
              </w:rPr>
            </w:pPr>
            <w:r>
              <w:rPr>
                <w:rFonts w:ascii="Arial" w:cs="Arial" w:eastAsia="Arial" w:hAnsi="Arial"/>
                <w:sz w:val="18"/>
                <w:szCs w:val="18"/>
                <w:color w:val="0000FF"/>
              </w:rPr>
              <w:t>Unregistered Sales of Equity Securities and Use of Proceeds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8380" w:type="dxa"/>
            <w:vAlign w:val="bottom"/>
          </w:tcPr>
          <w:p>
            <w:pPr>
              <w:ind w:left="320"/>
              <w:spacing w:after="0"/>
              <w:rPr>
                <w:sz w:val="20"/>
                <w:szCs w:val="20"/>
                <w:color w:val="auto"/>
              </w:rPr>
            </w:pPr>
            <w:r>
              <w:rPr>
                <w:rFonts w:ascii="Arial" w:cs="Arial" w:eastAsia="Arial" w:hAnsi="Arial"/>
                <w:sz w:val="18"/>
                <w:szCs w:val="18"/>
                <w:color w:val="0000FF"/>
              </w:rPr>
              <w:t>Other Information</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8380" w:type="dxa"/>
            <w:vAlign w:val="bottom"/>
          </w:tcPr>
          <w:p>
            <w:pPr>
              <w:ind w:left="320"/>
              <w:spacing w:after="0"/>
              <w:rPr>
                <w:sz w:val="20"/>
                <w:szCs w:val="20"/>
                <w:color w:val="auto"/>
              </w:rPr>
            </w:pPr>
            <w:r>
              <w:rPr>
                <w:rFonts w:ascii="Arial" w:cs="Arial" w:eastAsia="Arial" w:hAnsi="Arial"/>
                <w:sz w:val="18"/>
                <w:szCs w:val="18"/>
                <w:color w:val="0000FF"/>
              </w:rPr>
              <w:t>Exhibits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Signatures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this report, all references to “Jack Henry,” the “Company,” “we,” “us,” and “our,” refer to Jack Henry &amp; Associates, Inc., and its wholly owned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 “Exchange Act”). Forward-looking statements may appear throughout this report, including without limitation, in Management's Discussion and Analysis of Financial Condition and Results of Operations. Forward-looking statements generally are identified by the words “believe,” “project,” “expect,” “seek,” “anticipate,” “estimate,” “future,” “intend,” “plan,” “strategy,” “predict,” “likely,” “should,” “will,” “would,” “could,” “can,” “may,” and similar expressions. Forward-looking statements are based only on management’s current beliefs, expectations and assumptions regarding the future of the Company, future plans and strategies, projections, anticipated events and trends, the economy and other future conditions. Because forward-looking statements relate to the future, they are subject to inherent risks and uncertainties that could cause actual results to differ materially from those expressed or implied by such statements. Such risks and uncertainties include, but are not limited to, those discussed in this Quarterly Report on Form 10-Q, those discussed in our Annual Report on Form 10-K for the fiscal year ended June 30, 2024, in particular, those included in Item 1A, “Risk Factors” of such report, and those discussed in other documents we file with the Securities and Exchange Commission (“SEC”). Any forward-looking statement made in this report speaks only as of the date of this report, and the Company expressly disclaims any obligation to publicly update or revise any forward-looking statement,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PART I. FINANCIAL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FINANCIAL STATEMENTS</w:t>
      </w:r>
    </w:p>
    <w:p>
      <w:pPr>
        <w:sectPr>
          <w:pgSz w:w="11900" w:h="16838" w:orient="portrait"/>
          <w:cols w:equalWidth="0" w:num="1">
            <w:col w:w="10139"/>
          </w:cols>
          <w:pgMar w:left="320" w:top="890" w:right="1440" w:bottom="10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0" w:right="1440" w:bottom="101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gridSpan w:val="2"/>
          </w:tcPr>
          <w:p>
            <w:pPr>
              <w:jc w:val="center"/>
              <w:ind w:left="315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gridSpan w:val="4"/>
          </w:tcPr>
          <w:p>
            <w:pPr>
              <w:jc w:val="center"/>
              <w:ind w:left="1590"/>
              <w:spacing w:after="0"/>
              <w:rPr>
                <w:sz w:val="20"/>
                <w:szCs w:val="20"/>
                <w:color w:val="auto"/>
              </w:rPr>
            </w:pPr>
            <w:r>
              <w:rPr>
                <w:rFonts w:ascii="Arial" w:cs="Arial" w:eastAsia="Arial" w:hAnsi="Arial"/>
                <w:sz w:val="18"/>
                <w:szCs w:val="18"/>
                <w:b w:val="1"/>
                <w:bCs w:val="1"/>
                <w:color w:val="auto"/>
                <w:w w:val="99"/>
              </w:rPr>
              <w:t>CONDENSED CONSOLIDATED BALANCE SHEETS (Unaudited)</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jc w:val="center"/>
              <w:ind w:left="3330"/>
              <w:spacing w:after="0"/>
              <w:rPr>
                <w:sz w:val="20"/>
                <w:szCs w:val="20"/>
                <w:color w:val="auto"/>
              </w:rPr>
            </w:pPr>
            <w:r>
              <w:rPr>
                <w:rFonts w:ascii="Arial" w:cs="Arial" w:eastAsia="Arial" w:hAnsi="Arial"/>
                <w:sz w:val="18"/>
                <w:szCs w:val="18"/>
                <w:color w:val="auto"/>
              </w:rPr>
              <w:t>(In Thousands, Except Share and Per Share Data)</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20" w:type="dxa"/>
            <w:vAlign w:val="bottom"/>
          </w:tcPr>
          <w:p>
            <w:pPr>
              <w:jc w:val="center"/>
              <w:ind w:left="3350"/>
              <w:spacing w:after="0"/>
              <w:rPr>
                <w:sz w:val="20"/>
                <w:szCs w:val="20"/>
                <w:color w:val="auto"/>
              </w:rPr>
            </w:pPr>
            <w:r>
              <w:rPr>
                <w:rFonts w:ascii="Arial" w:cs="Arial" w:eastAsia="Arial" w:hAnsi="Arial"/>
                <w:sz w:val="18"/>
                <w:szCs w:val="18"/>
                <w:color w:val="auto"/>
                <w:w w:val="99"/>
              </w:rPr>
              <w:t>(Unaudited)</w:t>
            </w:r>
          </w:p>
        </w:tc>
        <w:tc>
          <w:tcPr>
            <w:tcW w:w="200" w:type="dxa"/>
            <w:vAlign w:val="bottom"/>
          </w:tcPr>
          <w:p>
            <w:pPr>
              <w:spacing w:after="0"/>
              <w:rPr>
                <w:sz w:val="20"/>
                <w:szCs w:val="20"/>
                <w:color w:val="auto"/>
              </w:rPr>
            </w:pPr>
          </w:p>
        </w:tc>
        <w:tc>
          <w:tcPr>
            <w:tcW w:w="1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0"/>
                <w:szCs w:val="20"/>
                <w:color w:val="auto"/>
              </w:rPr>
            </w:pPr>
          </w:p>
        </w:tc>
        <w:tc>
          <w:tcPr>
            <w:tcW w:w="1360" w:type="dxa"/>
            <w:vAlign w:val="bottom"/>
            <w:vMerge w:val="restart"/>
          </w:tcPr>
          <w:p>
            <w:pPr>
              <w:jc w:val="right"/>
              <w:ind w:right="39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171"/>
        </w:trPr>
        <w:tc>
          <w:tcPr>
            <w:tcW w:w="7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8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74"/>
        </w:trPr>
        <w:tc>
          <w:tcPr>
            <w:tcW w:w="7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43,212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38,284</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306,660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333,033</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receivable</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190,537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168,768</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costs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84,082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85,784</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Assets held for sale</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634,503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632,018</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212,253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215,069</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Non-current deferred costs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186,891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183,307</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Computer software, net of amortization</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599,816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592,761</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413,758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417,621</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relationships, net of amortization</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54,678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56,757</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Other intangible assets, net of amortization</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21,815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22,151</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804,797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804,797</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other assets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2,081,755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2,077,394</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2,928,511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2,924,481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20,492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25,314</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180,201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200,770</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Accrued income taxes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31,020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 revenues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248,977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317,730</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570,690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633,814</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deferred revenues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70,597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71,202</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Deferred income tax liability</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239,435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243,522</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net of current maturities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72,761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73,579</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432,793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448,303</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1,003,483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1,082,117</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Preferred stock - $1 par value; 500,000 shares authorized, none issued</w:t>
            </w: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Common stock - $0.01 par value; 250,000,000 shares authorized;</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20" w:type="dxa"/>
            <w:vAlign w:val="bottom"/>
            <w:shd w:val="clear" w:color="auto" w:fill="CCEEFF"/>
          </w:tcPr>
          <w:p>
            <w:pPr>
              <w:ind w:left="400"/>
              <w:spacing w:after="0" w:line="183" w:lineRule="exact"/>
              <w:rPr>
                <w:sz w:val="20"/>
                <w:szCs w:val="20"/>
                <w:color w:val="auto"/>
              </w:rPr>
            </w:pPr>
            <w:r>
              <w:rPr>
                <w:rFonts w:ascii="Arial" w:cs="Arial" w:eastAsia="Arial" w:hAnsi="Arial"/>
                <w:sz w:val="18"/>
                <w:szCs w:val="18"/>
                <w:color w:val="auto"/>
              </w:rPr>
              <w:t>104,332,023 shares issued at September 30, 2024;</w:t>
            </w:r>
          </w:p>
        </w:tc>
        <w:tc>
          <w:tcPr>
            <w:tcW w:w="20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1,043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35"/>
        </w:trPr>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104,245,089 shares issued at June 30, 2024</w:t>
            </w:r>
          </w:p>
        </w:tc>
        <w:tc>
          <w:tcPr>
            <w:tcW w:w="200" w:type="dxa"/>
            <w:vAlign w:val="bottom"/>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623,381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619,805</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3,160,777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3,081,690</w:t>
            </w:r>
          </w:p>
        </w:tc>
        <w:tc>
          <w:tcPr>
            <w:tcW w:w="0" w:type="dxa"/>
            <w:vAlign w:val="bottom"/>
          </w:tcPr>
          <w:p>
            <w:pPr>
              <w:spacing w:after="0"/>
              <w:rPr>
                <w:sz w:val="1"/>
                <w:szCs w:val="1"/>
                <w:color w:val="auto"/>
              </w:rPr>
            </w:pPr>
          </w:p>
        </w:tc>
      </w:tr>
      <w:tr>
        <w:trPr>
          <w:trHeight w:val="176"/>
        </w:trPr>
        <w:tc>
          <w:tcPr>
            <w:tcW w:w="7820" w:type="dxa"/>
            <w:vAlign w:val="bottom"/>
          </w:tcPr>
          <w:p>
            <w:pPr>
              <w:ind w:left="140"/>
              <w:spacing w:after="0" w:line="176" w:lineRule="exact"/>
              <w:rPr>
                <w:sz w:val="20"/>
                <w:szCs w:val="20"/>
                <w:color w:val="auto"/>
              </w:rPr>
            </w:pPr>
            <w:r>
              <w:rPr>
                <w:rFonts w:ascii="Arial" w:cs="Arial" w:eastAsia="Arial" w:hAnsi="Arial"/>
                <w:sz w:val="18"/>
                <w:szCs w:val="18"/>
                <w:color w:val="auto"/>
              </w:rPr>
              <w:t>Less treasury stock at cost</w:t>
            </w: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20" w:type="dxa"/>
            <w:vAlign w:val="bottom"/>
          </w:tcPr>
          <w:p>
            <w:pPr>
              <w:ind w:left="400"/>
              <w:spacing w:after="0" w:line="183" w:lineRule="exact"/>
              <w:rPr>
                <w:sz w:val="20"/>
                <w:szCs w:val="20"/>
                <w:color w:val="auto"/>
              </w:rPr>
            </w:pPr>
            <w:r>
              <w:rPr>
                <w:rFonts w:ascii="Arial" w:cs="Arial" w:eastAsia="Arial" w:hAnsi="Arial"/>
                <w:sz w:val="18"/>
                <w:szCs w:val="18"/>
                <w:color w:val="auto"/>
              </w:rPr>
              <w:t>31,372,959 shares at September 30, 2024;</w:t>
            </w:r>
          </w:p>
        </w:tc>
        <w:tc>
          <w:tcPr>
            <w:tcW w:w="20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(1,860,173)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(1,860,173)</w:t>
            </w:r>
          </w:p>
        </w:tc>
        <w:tc>
          <w:tcPr>
            <w:tcW w:w="0" w:type="dxa"/>
            <w:vAlign w:val="bottom"/>
          </w:tcPr>
          <w:p>
            <w:pPr>
              <w:spacing w:after="0"/>
              <w:rPr>
                <w:sz w:val="1"/>
                <w:szCs w:val="1"/>
                <w:color w:val="auto"/>
              </w:rPr>
            </w:pPr>
          </w:p>
        </w:tc>
      </w:tr>
      <w:tr>
        <w:trPr>
          <w:trHeight w:val="235"/>
        </w:trPr>
        <w:tc>
          <w:tcPr>
            <w:tcW w:w="78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31,372,959 shares at June 30, 2024</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1,925,028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1,842,364</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liabilities and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2,928,511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2,924,481</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gridSpan w:val="3"/>
          </w:tcPr>
          <w:p>
            <w:pPr>
              <w:jc w:val="center"/>
              <w:ind w:left="295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gridSpan w:val="5"/>
          </w:tcPr>
          <w:p>
            <w:pPr>
              <w:jc w:val="center"/>
              <w:ind w:left="1590"/>
              <w:spacing w:after="0"/>
              <w:rPr>
                <w:sz w:val="20"/>
                <w:szCs w:val="20"/>
                <w:color w:val="auto"/>
              </w:rPr>
            </w:pPr>
            <w:r>
              <w:rPr>
                <w:rFonts w:ascii="Arial" w:cs="Arial" w:eastAsia="Arial" w:hAnsi="Arial"/>
                <w:sz w:val="18"/>
                <w:szCs w:val="18"/>
                <w:b w:val="1"/>
                <w:bCs w:val="1"/>
                <w:color w:val="auto"/>
                <w:w w:val="99"/>
              </w:rPr>
              <w:t>CONDENSED CONSOLIDATED STATEMENTS OF INCOME (Unaudited)</w:t>
            </w: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40" w:type="dxa"/>
            <w:vAlign w:val="bottom"/>
          </w:tcPr>
          <w:p>
            <w:pPr>
              <w:spacing w:after="0"/>
              <w:rPr>
                <w:sz w:val="20"/>
                <w:szCs w:val="20"/>
                <w:color w:val="auto"/>
              </w:rPr>
            </w:pPr>
          </w:p>
        </w:tc>
        <w:tc>
          <w:tcPr>
            <w:tcW w:w="4380" w:type="dxa"/>
            <w:vAlign w:val="bottom"/>
            <w:gridSpan w:val="2"/>
          </w:tcPr>
          <w:p>
            <w:pPr>
              <w:jc w:val="center"/>
              <w:ind w:right="730"/>
              <w:spacing w:after="0"/>
              <w:rPr>
                <w:sz w:val="20"/>
                <w:szCs w:val="20"/>
                <w:color w:val="auto"/>
              </w:rPr>
            </w:pPr>
            <w:r>
              <w:rPr>
                <w:rFonts w:ascii="Arial" w:cs="Arial" w:eastAsia="Arial" w:hAnsi="Arial"/>
                <w:sz w:val="18"/>
                <w:szCs w:val="18"/>
                <w:color w:val="auto"/>
              </w:rPr>
              <w:t>(In Thousands, Except Per Share Data)</w:t>
            </w:r>
          </w:p>
        </w:tc>
        <w:tc>
          <w:tcPr>
            <w:tcW w:w="3020" w:type="dxa"/>
            <w:vAlign w:val="bottom"/>
            <w:gridSpan w:val="4"/>
            <w:vMerge w:val="restart"/>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0"/>
        </w:trPr>
        <w:tc>
          <w:tcPr>
            <w:tcW w:w="38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8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2023</w:t>
            </w:r>
          </w:p>
        </w:tc>
        <w:tc>
          <w:tcPr>
            <w:tcW w:w="0" w:type="dxa"/>
            <w:vAlign w:val="bottom"/>
          </w:tcPr>
          <w:p>
            <w:pPr>
              <w:spacing w:after="0"/>
              <w:rPr>
                <w:sz w:val="1"/>
                <w:szCs w:val="1"/>
                <w:color w:val="auto"/>
              </w:rPr>
            </w:pPr>
          </w:p>
        </w:tc>
      </w:tr>
      <w:tr>
        <w:trPr>
          <w:trHeight w:val="250"/>
        </w:trPr>
        <w:tc>
          <w:tcPr>
            <w:tcW w:w="384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43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600,982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571,368</w:t>
            </w: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3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3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343,432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323,002</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39,686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36,892</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39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66,588</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78,774</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Expenses</w:t>
            </w:r>
          </w:p>
        </w:tc>
        <w:tc>
          <w:tcPr>
            <w:tcW w:w="39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449,706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438,668</w:t>
            </w:r>
          </w:p>
        </w:tc>
        <w:tc>
          <w:tcPr>
            <w:tcW w:w="0" w:type="dxa"/>
            <w:vAlign w:val="bottom"/>
          </w:tcPr>
          <w:p>
            <w:pPr>
              <w:spacing w:after="0"/>
              <w:rPr>
                <w:sz w:val="1"/>
                <w:szCs w:val="1"/>
                <w:color w:val="auto"/>
              </w:rPr>
            </w:pPr>
          </w:p>
        </w:tc>
      </w:tr>
      <w:tr>
        <w:trPr>
          <w:trHeight w:val="250"/>
        </w:trPr>
        <w:tc>
          <w:tcPr>
            <w:tcW w:w="384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151,276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132,700</w:t>
            </w: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 (EXPENSE)</w:t>
            </w:r>
          </w:p>
        </w:tc>
        <w:tc>
          <w:tcPr>
            <w:tcW w:w="3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8,347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9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(4,197)</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Interest Income (Expense)</w:t>
            </w:r>
          </w:p>
        </w:tc>
        <w:tc>
          <w:tcPr>
            <w:tcW w:w="39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50"/>
        </w:trPr>
        <w:tc>
          <w:tcPr>
            <w:tcW w:w="3840" w:type="dxa"/>
            <w:vAlign w:val="bottom"/>
            <w:shd w:val="clear" w:color="auto" w:fill="CCEEFF"/>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156,798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133,248</w:t>
            </w:r>
          </w:p>
        </w:tc>
        <w:tc>
          <w:tcPr>
            <w:tcW w:w="0" w:type="dxa"/>
            <w:vAlign w:val="bottom"/>
          </w:tcPr>
          <w:p>
            <w:pPr>
              <w:spacing w:after="0"/>
              <w:rPr>
                <w:sz w:val="1"/>
                <w:szCs w:val="1"/>
                <w:color w:val="auto"/>
              </w:rPr>
            </w:pPr>
          </w:p>
        </w:tc>
      </w:tr>
      <w:tr>
        <w:trPr>
          <w:trHeight w:val="270"/>
        </w:trPr>
        <w:tc>
          <w:tcPr>
            <w:tcW w:w="3840" w:type="dxa"/>
            <w:vAlign w:val="bottom"/>
            <w:shd w:val="clear" w:color="auto" w:fill="CCEEFF"/>
          </w:tcPr>
          <w:p>
            <w:pPr>
              <w:spacing w:after="0"/>
              <w:rPr>
                <w:sz w:val="23"/>
                <w:szCs w:val="23"/>
                <w:color w:val="auto"/>
              </w:rPr>
            </w:pPr>
          </w:p>
        </w:tc>
        <w:tc>
          <w:tcPr>
            <w:tcW w:w="39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3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37,607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31,569</w:t>
            </w:r>
          </w:p>
        </w:tc>
        <w:tc>
          <w:tcPr>
            <w:tcW w:w="0" w:type="dxa"/>
            <w:vAlign w:val="bottom"/>
          </w:tcPr>
          <w:p>
            <w:pPr>
              <w:spacing w:after="0"/>
              <w:rPr>
                <w:sz w:val="1"/>
                <w:szCs w:val="1"/>
                <w:color w:val="auto"/>
              </w:rPr>
            </w:pPr>
          </w:p>
        </w:tc>
      </w:tr>
      <w:tr>
        <w:trPr>
          <w:trHeight w:val="270"/>
        </w:trPr>
        <w:tc>
          <w:tcPr>
            <w:tcW w:w="3840" w:type="dxa"/>
            <w:vAlign w:val="bottom"/>
            <w:shd w:val="clear" w:color="auto" w:fill="CCEEFF"/>
          </w:tcPr>
          <w:p>
            <w:pPr>
              <w:spacing w:after="0"/>
              <w:rPr>
                <w:sz w:val="23"/>
                <w:szCs w:val="23"/>
                <w:color w:val="auto"/>
              </w:rPr>
            </w:pPr>
          </w:p>
        </w:tc>
        <w:tc>
          <w:tcPr>
            <w:tcW w:w="39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9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119,191</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101,679</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40" w:type="dxa"/>
            <w:vAlign w:val="bottom"/>
            <w:shd w:val="clear" w:color="auto" w:fill="CCEEFF"/>
          </w:tcPr>
          <w:p>
            <w:pPr>
              <w:spacing w:after="0"/>
              <w:rPr>
                <w:sz w:val="20"/>
                <w:szCs w:val="20"/>
                <w:color w:val="auto"/>
              </w:rPr>
            </w:pPr>
          </w:p>
        </w:tc>
        <w:tc>
          <w:tcPr>
            <w:tcW w:w="39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43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1.63</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3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72,905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72,869</w:t>
            </w: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43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7"/>
        </w:trPr>
        <w:tc>
          <w:tcPr>
            <w:tcW w:w="384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3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73,078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73,014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 xml:space="preserve">JACK HENRY &amp; ASSOCIATES, INC. AND SUBSIDIARIES CONDENSED CONSOLIDATED STATEMENTS OF CHANGES IN STOCKHOLDERS' EQUITY (Unaudited) </w:t>
      </w:r>
      <w:r>
        <w:rPr>
          <w:rFonts w:ascii="Arial" w:cs="Arial" w:eastAsia="Arial" w:hAnsi="Arial"/>
          <w:sz w:val="18"/>
          <w:szCs w:val="18"/>
          <w:color w:val="auto"/>
        </w:rPr>
        <w:t>(In Thousands, Except Share and Per Share Data)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r>
      <w:tr>
        <w:trPr>
          <w:trHeight w:val="235"/>
        </w:trPr>
        <w:tc>
          <w:tcPr>
            <w:tcW w:w="8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8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PREFERRED SHARES:</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Shares, beginning of period</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104,245,089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104,088,784</w:t>
            </w: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65,387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31,057</w:t>
            </w:r>
          </w:p>
        </w:tc>
      </w:tr>
      <w:tr>
        <w:trPr>
          <w:trHeight w:val="229"/>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24,708</w:t>
            </w:r>
          </w:p>
        </w:tc>
      </w:tr>
      <w:tr>
        <w:trPr>
          <w:trHeight w:val="248"/>
        </w:trPr>
        <w:tc>
          <w:tcPr>
            <w:tcW w:w="82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Shares, end of period</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104,332,023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104,144,549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 - PAR VALUE $0.01 PER SHARE: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1,042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1,041</w:t>
            </w: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r>
      <w:tr>
        <w:trPr>
          <w:trHeight w:val="250"/>
        </w:trPr>
        <w:tc>
          <w:tcPr>
            <w:tcW w:w="8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619,805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583,836</w:t>
            </w: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withholding related to share-based compensation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3,041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3,418</w:t>
            </w: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7,148</w:t>
            </w:r>
          </w:p>
        </w:tc>
      </w:tr>
      <w:tr>
        <w:trPr>
          <w:trHeight w:val="223"/>
        </w:trPr>
        <w:tc>
          <w:tcPr>
            <w:tcW w:w="826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623,381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591,458</w:t>
            </w:r>
          </w:p>
        </w:tc>
      </w:tr>
      <w:tr>
        <w:trPr>
          <w:trHeight w:val="250"/>
        </w:trPr>
        <w:tc>
          <w:tcPr>
            <w:tcW w:w="8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3,081,690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2,855,751</w:t>
            </w: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119,191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101,679</w:t>
            </w: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(40,104)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(37,863)</w:t>
            </w:r>
          </w:p>
        </w:tc>
      </w:tr>
      <w:tr>
        <w:trPr>
          <w:trHeight w:val="223"/>
        </w:trPr>
        <w:tc>
          <w:tcPr>
            <w:tcW w:w="826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3,160,777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2,919,567</w:t>
            </w:r>
          </w:p>
        </w:tc>
      </w:tr>
      <w:tr>
        <w:trPr>
          <w:trHeight w:val="250"/>
        </w:trPr>
        <w:tc>
          <w:tcPr>
            <w:tcW w:w="8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TREASURY STOCK:</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(1,860,173)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(1,832,118)</w:t>
            </w: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Purchase of treasury shares</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23"/>
        </w:trPr>
        <w:tc>
          <w:tcPr>
            <w:tcW w:w="826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(1,860,173)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(1,852,118)</w:t>
            </w:r>
          </w:p>
        </w:tc>
      </w:tr>
      <w:tr>
        <w:trPr>
          <w:trHeight w:val="250"/>
        </w:trPr>
        <w:tc>
          <w:tcPr>
            <w:tcW w:w="82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1,925,028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1,659,948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per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gridSpan w:val="2"/>
          </w:tcPr>
          <w:p>
            <w:pPr>
              <w:jc w:val="center"/>
              <w:ind w:left="295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gridSpan w:val="4"/>
          </w:tcPr>
          <w:p>
            <w:pPr>
              <w:jc w:val="center"/>
              <w:ind w:left="1570"/>
              <w:spacing w:after="0"/>
              <w:rPr>
                <w:sz w:val="20"/>
                <w:szCs w:val="20"/>
                <w:color w:val="auto"/>
              </w:rPr>
            </w:pPr>
            <w:r>
              <w:rPr>
                <w:rFonts w:ascii="Arial" w:cs="Arial" w:eastAsia="Arial" w:hAnsi="Arial"/>
                <w:sz w:val="18"/>
                <w:szCs w:val="18"/>
                <w:b w:val="1"/>
                <w:bCs w:val="1"/>
                <w:color w:val="auto"/>
                <w:w w:val="99"/>
              </w:rPr>
              <w:t>CONDENSED CONSOLIDATED STATEMENTS OF CASH FLOWS (Unaudited)</w:t>
            </w: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jc w:val="center"/>
              <w:ind w:left="3330"/>
              <w:spacing w:after="0"/>
              <w:rPr>
                <w:sz w:val="20"/>
                <w:szCs w:val="20"/>
                <w:color w:val="auto"/>
              </w:rPr>
            </w:pPr>
            <w:r>
              <w:rPr>
                <w:rFonts w:ascii="Arial" w:cs="Arial" w:eastAsia="Arial" w:hAnsi="Arial"/>
                <w:sz w:val="18"/>
                <w:szCs w:val="18"/>
                <w:color w:val="auto"/>
                <w:w w:val="99"/>
              </w:rPr>
              <w:t>(In Thousands)</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20" w:type="dxa"/>
            <w:vAlign w:val="bottom"/>
          </w:tcPr>
          <w:p>
            <w:pPr>
              <w:jc w:val="center"/>
              <w:ind w:left="3350"/>
              <w:spacing w:after="0"/>
              <w:rPr>
                <w:sz w:val="20"/>
                <w:szCs w:val="20"/>
                <w:color w:val="auto"/>
              </w:rPr>
            </w:pPr>
            <w:r>
              <w:rPr>
                <w:rFonts w:ascii="Arial" w:cs="Arial" w:eastAsia="Arial" w:hAnsi="Arial"/>
                <w:sz w:val="18"/>
                <w:szCs w:val="18"/>
                <w:color w:val="auto"/>
                <w:w w:val="99"/>
              </w:rPr>
              <w:t>(Unaudited)</w:t>
            </w:r>
          </w:p>
        </w:tc>
        <w:tc>
          <w:tcPr>
            <w:tcW w:w="400" w:type="dxa"/>
            <w:vAlign w:val="bottom"/>
          </w:tcPr>
          <w:p>
            <w:pPr>
              <w:spacing w:after="0"/>
              <w:rPr>
                <w:sz w:val="20"/>
                <w:szCs w:val="20"/>
                <w:color w:val="auto"/>
              </w:rPr>
            </w:pPr>
          </w:p>
        </w:tc>
        <w:tc>
          <w:tcPr>
            <w:tcW w:w="3020" w:type="dxa"/>
            <w:vAlign w:val="bottom"/>
            <w:gridSpan w:val="4"/>
            <w:vMerge w:val="restart"/>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0"/>
        </w:trPr>
        <w:tc>
          <w:tcPr>
            <w:tcW w:w="7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8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2023</w:t>
            </w:r>
          </w:p>
        </w:tc>
        <w:tc>
          <w:tcPr>
            <w:tcW w:w="0" w:type="dxa"/>
            <w:vAlign w:val="bottom"/>
          </w:tcPr>
          <w:p>
            <w:pPr>
              <w:spacing w:after="0"/>
              <w:rPr>
                <w:sz w:val="1"/>
                <w:szCs w:val="1"/>
                <w:color w:val="auto"/>
              </w:rPr>
            </w:pPr>
          </w:p>
        </w:tc>
      </w:tr>
      <w:tr>
        <w:trPr>
          <w:trHeight w:val="218"/>
        </w:trPr>
        <w:tc>
          <w:tcPr>
            <w:tcW w:w="78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119,191</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101,679</w:t>
            </w:r>
          </w:p>
        </w:tc>
        <w:tc>
          <w:tcPr>
            <w:tcW w:w="0" w:type="dxa"/>
            <w:vAlign w:val="bottom"/>
          </w:tcPr>
          <w:p>
            <w:pPr>
              <w:spacing w:after="0"/>
              <w:rPr>
                <w:sz w:val="1"/>
                <w:szCs w:val="1"/>
                <w:color w:val="auto"/>
              </w:rPr>
            </w:pPr>
          </w:p>
        </w:tc>
      </w:tr>
      <w:tr>
        <w:trPr>
          <w:trHeight w:val="176"/>
        </w:trPr>
        <w:tc>
          <w:tcPr>
            <w:tcW w:w="7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Adjustments to reconcile net income from operations</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 net cash from operating activities:</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11,273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12,052</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39,221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37,183</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deferred income taxes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(4,087)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(10,178)</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 for stock-based compensation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6,705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(Gain)/loss on disposal of assets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Change in receivables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26,373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72,519</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prepaid expenses, deferred costs and other</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(18,788)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(17,356)</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Change in accounts payable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(9,116)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accrued expenses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(23,067)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(17,285)</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income taxes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38,576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39,044</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deferred revenues</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(69,358)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(66,322)</w:t>
            </w:r>
          </w:p>
        </w:tc>
        <w:tc>
          <w:tcPr>
            <w:tcW w:w="0" w:type="dxa"/>
            <w:vAlign w:val="bottom"/>
          </w:tcPr>
          <w:p>
            <w:pPr>
              <w:spacing w:after="0"/>
              <w:rPr>
                <w:sz w:val="1"/>
                <w:szCs w:val="1"/>
                <w:color w:val="auto"/>
              </w:rPr>
            </w:pPr>
          </w:p>
        </w:tc>
      </w:tr>
      <w:tr>
        <w:trPr>
          <w:trHeight w:val="223"/>
        </w:trPr>
        <w:tc>
          <w:tcPr>
            <w:tcW w:w="7820" w:type="dxa"/>
            <w:vAlign w:val="bottom"/>
          </w:tcPr>
          <w:p>
            <w:pPr>
              <w:ind w:left="480"/>
              <w:spacing w:after="0"/>
              <w:rPr>
                <w:sz w:val="20"/>
                <w:szCs w:val="20"/>
                <w:color w:val="auto"/>
              </w:rPr>
            </w:pPr>
            <w:r>
              <w:rPr>
                <w:rFonts w:ascii="Arial" w:cs="Arial" w:eastAsia="Arial" w:hAnsi="Arial"/>
                <w:sz w:val="18"/>
                <w:szCs w:val="18"/>
                <w:b w:val="1"/>
                <w:bCs w:val="1"/>
                <w:color w:val="auto"/>
              </w:rPr>
              <w:t>Net cash from operating activities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116,896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157,139</w:t>
            </w:r>
          </w:p>
        </w:tc>
        <w:tc>
          <w:tcPr>
            <w:tcW w:w="0" w:type="dxa"/>
            <w:vAlign w:val="bottom"/>
          </w:tcPr>
          <w:p>
            <w:pPr>
              <w:spacing w:after="0"/>
              <w:rPr>
                <w:sz w:val="1"/>
                <w:szCs w:val="1"/>
                <w:color w:val="auto"/>
              </w:rPr>
            </w:pPr>
          </w:p>
        </w:tc>
      </w:tr>
      <w:tr>
        <w:trPr>
          <w:trHeight w:val="270"/>
        </w:trPr>
        <w:tc>
          <w:tcPr>
            <w:tcW w:w="7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(12,801)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Proceeds from dispositions</w:t>
            </w: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Purchased software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Computer software developed</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(42,259)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(41,486)</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investments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Purchase of investment</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investing activities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(58,736)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(50,526)</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Borrowings on credit facilities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75,000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Repayments on credit facilities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(85,000)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Purchase of treasury stock</w:t>
            </w: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paid</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(40,104)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(37,863)</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Proceeds from issuance of common stock upon exercise of stock options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withholding payments related to share-based compensation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(6,169)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Proceeds from sale of common stock</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(53,232)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(87,389)</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4,928</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19,224</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38,284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12,243</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43,212</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31,467</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left="340" w:right="2160"/>
        <w:spacing w:after="0" w:line="268" w:lineRule="auto"/>
        <w:rPr>
          <w:sz w:val="20"/>
          <w:szCs w:val="20"/>
          <w:color w:val="auto"/>
        </w:rPr>
      </w:pPr>
      <w:r>
        <w:rPr>
          <w:rFonts w:ascii="Arial" w:cs="Arial" w:eastAsia="Arial" w:hAnsi="Arial"/>
          <w:sz w:val="18"/>
          <w:szCs w:val="18"/>
          <w:b w:val="1"/>
          <w:bCs w:val="1"/>
          <w:color w:val="auto"/>
        </w:rPr>
        <w:t xml:space="preserve">JACK HENRY &amp; ASSOCIATES, INC. AND SUBSIDIARIES NOTES TO CONDENSED CONSOLIDATED FINANCIAL STATEMENTS (Unaudited) </w:t>
      </w:r>
      <w:r>
        <w:rPr>
          <w:rFonts w:ascii="Arial" w:cs="Arial" w:eastAsia="Arial" w:hAnsi="Arial"/>
          <w:sz w:val="18"/>
          <w:szCs w:val="18"/>
          <w:color w:val="auto"/>
        </w:rPr>
        <w:t>(In Thousands, Except Per Share Amounts)</w:t>
      </w:r>
    </w:p>
    <w:p>
      <w:pPr>
        <w:spacing w:after="0" w:line="198" w:lineRule="exact"/>
        <w:rPr>
          <w:sz w:val="20"/>
          <w:szCs w:val="20"/>
          <w:color w:val="auto"/>
        </w:rPr>
      </w:pPr>
    </w:p>
    <w:p>
      <w:pPr>
        <w:ind w:right="3060"/>
        <w:spacing w:after="0" w:line="352" w:lineRule="auto"/>
        <w:rPr>
          <w:sz w:val="20"/>
          <w:szCs w:val="20"/>
          <w:color w:val="auto"/>
        </w:rPr>
      </w:pPr>
      <w:r>
        <w:rPr>
          <w:rFonts w:ascii="Arial" w:cs="Arial" w:eastAsia="Arial" w:hAnsi="Arial"/>
          <w:sz w:val="18"/>
          <w:szCs w:val="18"/>
          <w:color w:val="auto"/>
        </w:rPr>
        <w:t xml:space="preserve">NOTE 1. NATURE OF OPERATIONS AND SUMMARY OF SIGNIFICANT ACCOUNTING POLICIES </w:t>
      </w:r>
      <w:r>
        <w:rPr>
          <w:rFonts w:ascii="Arial" w:cs="Arial" w:eastAsia="Arial" w:hAnsi="Arial"/>
          <w:sz w:val="18"/>
          <w:szCs w:val="18"/>
          <w:b w:val="1"/>
          <w:bCs w:val="1"/>
          <w:color w:val="auto"/>
        </w:rPr>
        <w:t>Description of the Company</w:t>
      </w:r>
    </w:p>
    <w:p>
      <w:pPr>
        <w:jc w:val="both"/>
        <w:spacing w:after="0" w:line="262" w:lineRule="auto"/>
        <w:rPr>
          <w:sz w:val="20"/>
          <w:szCs w:val="20"/>
          <w:color w:val="auto"/>
        </w:rPr>
      </w:pPr>
      <w:r>
        <w:rPr>
          <w:rFonts w:ascii="Arial" w:cs="Arial" w:eastAsia="Arial" w:hAnsi="Arial"/>
          <w:sz w:val="18"/>
          <w:szCs w:val="18"/>
          <w:color w:val="auto"/>
        </w:rPr>
        <w:t>Jack Henry &amp; Associates, Inc. and subsidiaries (“Jack Henry,” or the “Company”) is a well-rounded financial technology company. Jack Henry was founded in 1976 as a provider of core information processing solutions for banks. Today, the Company’s extensive array of products and services includes processing transactions, automating business processes, and managing information for approximately 7,500 financial institutions and diverse corporate entities.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0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condensed consolidated financial statements include the accounts of Jack Henry and all of its subsidiaries, which are wholly owned, and all intercompany accounts and transactions have been eliminated.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three months ended September 30, 2024 and 2023, equals the Company’s net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monitors trade and other receivable balances and contract assets and estimates the allowance for lifetime expected credit losses. Estimates of expected credit losses are based on historical collection experience and other factors, including those related to current market conditions and events.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allowance for credit losses activity for the three months ended September 30,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80" w:type="dxa"/>
            <w:vAlign w:val="bottom"/>
          </w:tcPr>
          <w:p>
            <w:pPr>
              <w:spacing w:after="0"/>
              <w:rPr>
                <w:sz w:val="20"/>
                <w:szCs w:val="20"/>
                <w:color w:val="auto"/>
              </w:rPr>
            </w:pPr>
          </w:p>
        </w:tc>
        <w:tc>
          <w:tcPr>
            <w:tcW w:w="3760" w:type="dxa"/>
            <w:vAlign w:val="bottom"/>
            <w:tcBorders>
              <w:bottom w:val="single" w:sz="8" w:color="auto"/>
            </w:tcBorders>
            <w:gridSpan w:val="9"/>
          </w:tcPr>
          <w:p>
            <w:pPr>
              <w:jc w:val="right"/>
              <w:ind w:right="330"/>
              <w:spacing w:after="0"/>
              <w:rPr>
                <w:sz w:val="20"/>
                <w:szCs w:val="20"/>
                <w:color w:val="auto"/>
              </w:rPr>
            </w:pPr>
            <w:r>
              <w:rPr>
                <w:rFonts w:ascii="Arial" w:cs="Arial" w:eastAsia="Arial" w:hAnsi="Arial"/>
                <w:sz w:val="18"/>
                <w:szCs w:val="18"/>
                <w:color w:val="auto"/>
              </w:rPr>
              <w:t>Three Months Ended September 30,</w:t>
            </w:r>
          </w:p>
        </w:tc>
      </w:tr>
      <w:tr>
        <w:trPr>
          <w:trHeight w:val="183"/>
        </w:trPr>
        <w:tc>
          <w:tcPr>
            <w:tcW w:w="7480" w:type="dxa"/>
            <w:vAlign w:val="bottom"/>
          </w:tcPr>
          <w:p>
            <w:pPr>
              <w:spacing w:after="0"/>
              <w:rPr>
                <w:sz w:val="15"/>
                <w:szCs w:val="15"/>
                <w:color w:val="auto"/>
              </w:rPr>
            </w:pPr>
          </w:p>
        </w:tc>
        <w:tc>
          <w:tcPr>
            <w:tcW w:w="1200" w:type="dxa"/>
            <w:vAlign w:val="bottom"/>
            <w:gridSpan w:val="3"/>
          </w:tcPr>
          <w:p>
            <w:pPr>
              <w:jc w:val="right"/>
              <w:ind w:right="80"/>
              <w:spacing w:after="0" w:line="182" w:lineRule="exact"/>
              <w:rPr>
                <w:sz w:val="20"/>
                <w:szCs w:val="20"/>
                <w:color w:val="auto"/>
              </w:rPr>
            </w:pPr>
            <w:r>
              <w:rPr>
                <w:rFonts w:ascii="Arial" w:cs="Arial" w:eastAsia="Arial" w:hAnsi="Arial"/>
                <w:sz w:val="18"/>
                <w:szCs w:val="18"/>
                <w:b w:val="1"/>
                <w:bCs w:val="1"/>
                <w:color w:val="auto"/>
              </w:rPr>
              <w:t>2024</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gridSpan w:val="3"/>
          </w:tcPr>
          <w:p>
            <w:pPr>
              <w:jc w:val="right"/>
              <w:ind w:right="630"/>
              <w:spacing w:after="0" w:line="182" w:lineRule="exact"/>
              <w:rPr>
                <w:sz w:val="20"/>
                <w:szCs w:val="20"/>
                <w:color w:val="auto"/>
              </w:rPr>
            </w:pPr>
            <w:r>
              <w:rPr>
                <w:rFonts w:ascii="Arial" w:cs="Arial" w:eastAsia="Arial" w:hAnsi="Arial"/>
                <w:sz w:val="18"/>
                <w:szCs w:val="18"/>
                <w:color w:val="auto"/>
              </w:rPr>
              <w:t>2023</w:t>
            </w:r>
          </w:p>
        </w:tc>
      </w:tr>
      <w:tr>
        <w:trPr>
          <w:trHeight w:val="20"/>
        </w:trPr>
        <w:tc>
          <w:tcPr>
            <w:tcW w:w="7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 - beginning balance</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7,955</w:t>
            </w:r>
          </w:p>
        </w:tc>
      </w:tr>
      <w:tr>
        <w:trPr>
          <w:trHeight w:val="229"/>
        </w:trPr>
        <w:tc>
          <w:tcPr>
            <w:tcW w:w="7480" w:type="dxa"/>
            <w:vAlign w:val="bottom"/>
          </w:tcPr>
          <w:p>
            <w:pPr>
              <w:ind w:left="240"/>
              <w:spacing w:after="0"/>
              <w:rPr>
                <w:sz w:val="20"/>
                <w:szCs w:val="20"/>
                <w:color w:val="auto"/>
              </w:rPr>
            </w:pPr>
            <w:r>
              <w:rPr>
                <w:rFonts w:ascii="Arial" w:cs="Arial" w:eastAsia="Arial" w:hAnsi="Arial"/>
                <w:sz w:val="18"/>
                <w:szCs w:val="18"/>
                <w:color w:val="auto"/>
              </w:rPr>
              <w:t>Current provision for expected credit losses</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480</w:t>
            </w:r>
          </w:p>
        </w:tc>
      </w:tr>
      <w:tr>
        <w:trPr>
          <w:trHeight w:val="230"/>
        </w:trPr>
        <w:tc>
          <w:tcPr>
            <w:tcW w:w="7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Write-offs charged against allowance</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74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Allowance for credit losses - ending balance</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8,204</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Property and equipment is recorded at cost and depreciated using the straight-line method over the estimated useful lives of the assets. Accumulated depreciation at September 30, 2024, totaled $485,051 and at June 30, 2024, totaled $486,168. During the three months ended September 30, 2024, the Company received an offer to purchase one of its facilities and management has committed to a plan to sell the facility. At September 30, 2024, the facility included assets with a carrying value of approximately $10,012. The Company expects to record a gain on the sale upon closing. Total assets held for sale by the Company at September 30, 2024 and June 30, 2024 were $10,012 and $0, respectively, and were included in assets held for sale on the Company's balance sheets and were not included in property and equipment, net.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Intangible assets consist of goodwill, customer relationships, computer software, and trade names acquired in business acquisitions in addition to internally developed computer software. The amounts are amortized, with the exception of those intangible assets with an indefinite life (such as goodwill), over an estimated economic benefit period, generally 3 to 20 years. Accumulated amortization of intangible assets totaled $1,318,719 and $1,279,499 at September 30, 2024, and June 30, 2024, respectively.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Investment</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2024, and June 30, 2024, the Company had $25,750 in non-current investments. These investments were recorded at cost and are included within other non-current assets on the Company's balance sheets. There have been no events or changes in circumstances that would indicate an impairment and no price changes resulting from observing a similar or identical investment. An impairment and/or an observable price change would be an adjustment to recorded cost. Fair value will not be estimated unless there are identified events or changes in circumstances that may have a significant adverse effect on the fair value of the investment.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borrowings on its existing line of credit. The share repurchase program does not include specific price targets or timetables and may be suspended at any time. At September 30, 2024, there were 31,373 shares in treasury stock and the Company had the remaining authority to repurchase up to 3,618 additional shares. The total cost of treasury shares at September 30, 2024, was $1,860,173. During the first three months of fiscal 2025, the Company repurchased no shares. At June 30, 2024, there were 31,373 shares in treasury stock and the Company had the remaining authority to repurchase up to 3,618 additional shares. The total cost of treasury shares at June 30, 2024, was $1,860,173 and the Company repurchased 129 shares during the first three months of fiscal 2024.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Deferred tax liabilities and assets are recognized for the tax effects of differences between the financial statement and tax basis of assets and liabilities. A valuation allowance would be established to reduce deferred tax assets if it is more likely than not that a deferred tax asset will not be realized.</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upon the technical merits of the position. The tax benefit recognized in the financial statements from such a position is measured based on the largest benefit that has a greater than 50% likelihood of being realized upon ultimate settlement. Also, interest and penalties expenses are recognized on the full amount of unrecognized benefits for uncertain tax positions. The Company's policy is to include interest and penalties related to unrecognized tax benefits in income tax expense.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Statements</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the instructions to Form 10-Q of the Securities and Exchange Commission (“SEC”) and in accordance with accounting principles generally accepted in the United States of America (“U.S. GAAP”) applicable to interim condensed consolidated financial statements, and do not include all of the information and footnotes required by accounting principles generally accepted in the United States of America for complete consolidated financial statements. The condensed consolidated financial statements should be read in conjunction with the Company’s audited consolidated financial statements and accompanying notes, which are included in its Annual Report on Form 10-K (“Form 10-K”) for the fiscal year ended June 30, 2024.</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the management of the Company, the accompanying unaudited condensed consolidated financial statements reflect all adjustments necessary (consisting of normal recurring adjustments) to state fairly in all material respects the financial position of the Company as of September 30, 2024, the results of its operations for the three months ended September 30, 2024 and 2023, changes in stockholders' equity for the three months ended September 30, 2024 and 2023, and its cash flows for the three months ended September 30, 2024 and 2023. The condensed consolidated balance sheet at June 30, 2024, was derived from audited annual financial statements, but does not contain all of the footnote disclosures from the annual financial statements.</w:t>
      </w:r>
    </w:p>
    <w:p>
      <w:pPr>
        <w:spacing w:after="0" w:line="4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results of operations for the three months ended September 30, 2024, are not necessarily indicative of the results to be expected for the entire fiscal year.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accounting policies followed by the Company are set forth in Note 1 to the Company's consolidated financial statements included in its Form 10-K for the fiscal year ended June 30, 2024. For the three months ended September 30, 2024, there have been no new or material changes to the significant accounting policies discussed in the Company’s Form 10-K for the fiscal year ended June 30, 2024, that are of significance, or potential significance, to the Company.</w:t>
      </w:r>
    </w:p>
    <w:p>
      <w:pPr>
        <w:spacing w:after="0" w:line="12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NOTE 2.</w:t>
      </w:r>
      <w:r>
        <w:rPr>
          <w:sz w:val="20"/>
          <w:szCs w:val="20"/>
          <w:color w:val="auto"/>
        </w:rPr>
        <w:tab/>
      </w:r>
      <w:r>
        <w:rPr>
          <w:rFonts w:ascii="Arial" w:cs="Arial" w:eastAsia="Arial" w:hAnsi="Arial"/>
          <w:sz w:val="17"/>
          <w:szCs w:val="17"/>
          <w:color w:val="auto"/>
        </w:rPr>
        <w:t>RECENT ACCOUNTING PRONOUNCEMENTS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2023, the FASB issued ASU No. 2023-07, Segment Reporting (Topic 280): Improvements to Reportable Segment Disclosures, which improves the disclosures about a public entity's reportable segments through enhanced disclosures about significant segment expenses that are regularly provided to the chief operating decision maker. The ASU is effective for fiscal years beginning after December 15, 2023, and interim periods within fiscal years beginning after December 15, 2024, and should be applied retrospectively to all prior periods presented in the financial statements. Early adoption is permitted. The Company is currently evaluating the impact of this ASU on its consolidated financial statements and related disclosures.</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which enhances the transparency and decision usefulness of income tax disclosures. The ASU requires additional disclosure related to rate reconciliation, income taxes paid, and other disclosures to improve the effectiveness of income tax disclosures. The ASU is effective for annual periods beginning after December 15, 2024, and applied on a prospective basis. Early adoption and retrospective application is permitted. The Company is currently evaluating the impact of this ASU on its consolidated financial statements and related disclosures.</w:t>
      </w:r>
    </w:p>
    <w:p>
      <w:pPr>
        <w:spacing w:after="0" w:line="1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3.</w:t>
        <w:tab/>
        <w:t>REVENUE AND DEFERRED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0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generates revenue from data processing and hosting, transaction processing, software licensing and related services, professional services, and hardware sales.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tables below present the Company's revenue disaggregated by type of revenue. Refer to Note 10, Reportable Segment Information, for disaggregated revenue by type and reportable segment. The majority of the Company’s revenue is earned domestically, with revenue from clients outside the United States comprising less than 1% of total revenue.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20" w:type="dxa"/>
            <w:vAlign w:val="bottom"/>
          </w:tcPr>
          <w:p>
            <w:pPr>
              <w:spacing w:after="0"/>
              <w:rPr>
                <w:sz w:val="20"/>
                <w:szCs w:val="20"/>
                <w:color w:val="auto"/>
              </w:rPr>
            </w:pPr>
          </w:p>
        </w:tc>
        <w:tc>
          <w:tcPr>
            <w:tcW w:w="382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8"/>
                <w:szCs w:val="18"/>
                <w:color w:val="auto"/>
              </w:rPr>
              <w:t>Three Months Ended September 30,</w:t>
            </w:r>
          </w:p>
        </w:tc>
      </w:tr>
      <w:tr>
        <w:trPr>
          <w:trHeight w:val="183"/>
        </w:trPr>
        <w:tc>
          <w:tcPr>
            <w:tcW w:w="7420" w:type="dxa"/>
            <w:vAlign w:val="bottom"/>
          </w:tcPr>
          <w:p>
            <w:pPr>
              <w:spacing w:after="0"/>
              <w:rPr>
                <w:sz w:val="15"/>
                <w:szCs w:val="15"/>
                <w:color w:val="auto"/>
              </w:rPr>
            </w:pPr>
          </w:p>
        </w:tc>
        <w:tc>
          <w:tcPr>
            <w:tcW w:w="1200" w:type="dxa"/>
            <w:vAlign w:val="bottom"/>
            <w:gridSpan w:val="3"/>
          </w:tcPr>
          <w:p>
            <w:pPr>
              <w:jc w:val="right"/>
              <w:ind w:right="40"/>
              <w:spacing w:after="0" w:line="182" w:lineRule="exact"/>
              <w:rPr>
                <w:sz w:val="20"/>
                <w:szCs w:val="20"/>
                <w:color w:val="auto"/>
              </w:rPr>
            </w:pPr>
            <w:r>
              <w:rPr>
                <w:rFonts w:ascii="Arial" w:cs="Arial" w:eastAsia="Arial" w:hAnsi="Arial"/>
                <w:sz w:val="18"/>
                <w:szCs w:val="18"/>
                <w:b w:val="1"/>
                <w:bCs w:val="1"/>
                <w:color w:val="auto"/>
              </w:rPr>
              <w:t>2024</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2"/>
          </w:tcPr>
          <w:p>
            <w:pPr>
              <w:jc w:val="right"/>
              <w:ind w:right="700"/>
              <w:spacing w:after="0" w:line="182" w:lineRule="exact"/>
              <w:rPr>
                <w:sz w:val="20"/>
                <w:szCs w:val="20"/>
                <w:color w:val="auto"/>
              </w:rPr>
            </w:pPr>
            <w:r>
              <w:rPr>
                <w:rFonts w:ascii="Arial" w:cs="Arial" w:eastAsia="Arial" w:hAnsi="Arial"/>
                <w:sz w:val="18"/>
                <w:szCs w:val="18"/>
                <w:color w:val="auto"/>
                <w:w w:val="94"/>
              </w:rPr>
              <w:t>2023</w:t>
            </w:r>
          </w:p>
        </w:tc>
      </w:tr>
      <w:tr>
        <w:trPr>
          <w:trHeight w:val="20"/>
        </w:trPr>
        <w:tc>
          <w:tcPr>
            <w:tcW w:w="7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and Public Cloud</w:t>
            </w: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182,260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163,489</w:t>
            </w:r>
          </w:p>
        </w:tc>
      </w:tr>
      <w:tr>
        <w:trPr>
          <w:trHeight w:val="215"/>
        </w:trPr>
        <w:tc>
          <w:tcPr>
            <w:tcW w:w="7420" w:type="dxa"/>
            <w:vAlign w:val="bottom"/>
          </w:tcPr>
          <w:p>
            <w:pPr>
              <w:ind w:left="20"/>
              <w:spacing w:after="0"/>
              <w:rPr>
                <w:sz w:val="20"/>
                <w:szCs w:val="20"/>
                <w:color w:val="auto"/>
              </w:rPr>
            </w:pPr>
            <w:r>
              <w:rPr>
                <w:rFonts w:ascii="Arial" w:cs="Arial" w:eastAsia="Arial" w:hAnsi="Arial"/>
                <w:sz w:val="16"/>
                <w:szCs w:val="16"/>
                <w:color w:val="auto"/>
              </w:rPr>
              <w:t>Product Delivery and Services</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57,663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60,839</w:t>
            </w: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On-Premise Support</w:t>
            </w:r>
          </w:p>
        </w:tc>
        <w:tc>
          <w:tcPr>
            <w:tcW w:w="7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116,756</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117,877</w:t>
            </w:r>
          </w:p>
        </w:tc>
      </w:tr>
      <w:tr>
        <w:trPr>
          <w:trHeight w:val="209"/>
        </w:trPr>
        <w:tc>
          <w:tcPr>
            <w:tcW w:w="7420" w:type="dxa"/>
            <w:vAlign w:val="bottom"/>
          </w:tcPr>
          <w:p>
            <w:pPr>
              <w:ind w:left="20"/>
              <w:spacing w:after="0"/>
              <w:rPr>
                <w:sz w:val="20"/>
                <w:szCs w:val="20"/>
                <w:color w:val="auto"/>
              </w:rPr>
            </w:pPr>
            <w:r>
              <w:rPr>
                <w:rFonts w:ascii="Arial" w:cs="Arial" w:eastAsia="Arial" w:hAnsi="Arial"/>
                <w:sz w:val="16"/>
                <w:szCs w:val="16"/>
                <w:b w:val="1"/>
                <w:bCs w:val="1"/>
                <w:color w:val="auto"/>
              </w:rPr>
              <w:t>Services and Support</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356,679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342,205</w:t>
            </w:r>
          </w:p>
        </w:tc>
      </w:tr>
      <w:tr>
        <w:trPr>
          <w:trHeight w:val="216"/>
        </w:trPr>
        <w:tc>
          <w:tcPr>
            <w:tcW w:w="7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7420" w:type="dxa"/>
            <w:vAlign w:val="bottom"/>
          </w:tcPr>
          <w:p>
            <w:pPr>
              <w:ind w:left="20"/>
              <w:spacing w:after="0"/>
              <w:rPr>
                <w:sz w:val="20"/>
                <w:szCs w:val="20"/>
                <w:color w:val="auto"/>
              </w:rPr>
            </w:pPr>
            <w:r>
              <w:rPr>
                <w:rFonts w:ascii="Arial" w:cs="Arial" w:eastAsia="Arial" w:hAnsi="Arial"/>
                <w:sz w:val="16"/>
                <w:szCs w:val="16"/>
                <w:b w:val="1"/>
                <w:bCs w:val="1"/>
                <w:color w:val="auto"/>
              </w:rPr>
              <w:t>Processing</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244,303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229,163</w:t>
            </w:r>
          </w:p>
        </w:tc>
      </w:tr>
      <w:tr>
        <w:trPr>
          <w:trHeight w:val="216"/>
        </w:trPr>
        <w:tc>
          <w:tcPr>
            <w:tcW w:w="7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r>
      <w:tr>
        <w:trPr>
          <w:trHeight w:val="210"/>
        </w:trPr>
        <w:tc>
          <w:tcPr>
            <w:tcW w:w="7420" w:type="dxa"/>
            <w:vAlign w:val="bottom"/>
          </w:tcPr>
          <w:p>
            <w:pPr>
              <w:ind w:left="20"/>
              <w:spacing w:after="0"/>
              <w:rPr>
                <w:sz w:val="20"/>
                <w:szCs w:val="20"/>
                <w:color w:val="auto"/>
              </w:rPr>
            </w:pPr>
            <w:r>
              <w:rPr>
                <w:rFonts w:ascii="Arial" w:cs="Arial" w:eastAsia="Arial" w:hAnsi="Arial"/>
                <w:sz w:val="16"/>
                <w:szCs w:val="16"/>
                <w:b w:val="1"/>
                <w:bCs w:val="1"/>
                <w:color w:val="auto"/>
              </w:rPr>
              <w:t>Total Revenue</w:t>
            </w:r>
          </w:p>
        </w:tc>
        <w:tc>
          <w:tcPr>
            <w:tcW w:w="760" w:type="dxa"/>
            <w:vAlign w:val="bottom"/>
            <w:tcBorders>
              <w:bottom w:val="single" w:sz="8" w:color="auto"/>
            </w:tcBorders>
          </w:tcPr>
          <w:p>
            <w:pPr>
              <w:jc w:val="right"/>
              <w:ind w:right="575"/>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600,982</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571,368</w:t>
            </w:r>
          </w:p>
        </w:tc>
      </w:tr>
      <w:tr>
        <w:trPr>
          <w:trHeight w:val="20"/>
        </w:trPr>
        <w:tc>
          <w:tcPr>
            <w:tcW w:w="7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80" w:type="dxa"/>
            <w:vAlign w:val="bottom"/>
          </w:tcPr>
          <w:p>
            <w:pPr>
              <w:spacing w:after="0"/>
              <w:rPr>
                <w:sz w:val="20"/>
                <w:szCs w:val="20"/>
                <w:color w:val="auto"/>
              </w:rPr>
            </w:pPr>
            <w:r>
              <w:rPr>
                <w:rFonts w:ascii="Arial" w:cs="Arial" w:eastAsia="Arial" w:hAnsi="Arial"/>
                <w:sz w:val="18"/>
                <w:szCs w:val="18"/>
                <w:b w:val="1"/>
                <w:bCs w:val="1"/>
                <w:i w:val="1"/>
                <w:iCs w:val="1"/>
                <w:color w:val="auto"/>
              </w:rPr>
              <w:t>Contract Balances</w:t>
            </w: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89"/>
        </w:trPr>
        <w:tc>
          <w:tcPr>
            <w:tcW w:w="9540" w:type="dxa"/>
            <w:vAlign w:val="bottom"/>
            <w:gridSpan w:val="4"/>
          </w:tcPr>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clients.</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3"/>
        </w:trPr>
        <w:tc>
          <w:tcPr>
            <w:tcW w:w="7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4"/>
                <w:szCs w:val="24"/>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June 30,</w:t>
            </w:r>
          </w:p>
        </w:tc>
      </w:tr>
      <w:tr>
        <w:trPr>
          <w:trHeight w:val="243"/>
        </w:trPr>
        <w:tc>
          <w:tcPr>
            <w:tcW w:w="77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2024</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306,660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333,033</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Contract Assets - Current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33,913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33,610</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 Non-current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101,739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103,295</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Contract Liabilities (Deferred Revenue) - Current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248,977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317,730</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(Deferred Revenue) - Non-current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70,597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71,202</w:t>
            </w:r>
          </w:p>
        </w:tc>
      </w:tr>
    </w:tbl>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Contract assets primarily result from revenue being recognized when or as control of a solution or service is transferred to the client, except where invoicing is contingent upon the completion of other performance obligations or payment terms differ from the provisioning of services. The current portion of contract assets is reported within prepaid expenses and other in the condensed consolidated balance sheets, and the non-current portion is included in other non-current assets. Contract liabilities (deferred revenue) primarily relate to consideration received from clients in advance of delivery of the related goods and services to the client. Contract balances are reported in a net contract asset or liability position on a contract-by-contract basis at the end of each reporting period.</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analyzes contract language to identify if a significant financing component does exist and would adjust the transaction price for any material effects of the time value of money if the timing of payments provides either party to the contract with a significant benefit of financing the transaction.</w:t>
      </w:r>
    </w:p>
    <w:p>
      <w:pPr>
        <w:spacing w:after="0" w:line="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months ended September 30, 2024, and 2023, the Company recognized revenue of $94,159 and $99,220, respectively, that was included in the corresponding deferred revenue balance at the beginning of the periods.</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Amounts recognized that relate to performance obligations satisfied (or partially satisfied) in prior periods were immaterial for each period presented. These adjustments are primarily the result of transaction price re-allocations due to changes in estimates of variable consideration.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Remaining Performance Obligations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2024, estimated revenue expected to be recognized in the future related to performance obligations that are unsatisfied (or partially unsatisfied) at the end of the reporting period totaled $7,137,233. The Company expects to recognize approximately 24% over the next 12 months, 19% in 13-24 months, and the balance thereafter.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incurs incremental costs to obtain a contract as well as costs to fulfill contracts with clients that are expected to be recovered. These costs consist primarily of sales commissions, which are incurred only if a contract is obtained, and client conversion or implementation-related costs. Capitalized costs are amortized based on the transfer of goods or services to which the asset relates, in line with the percentage of revenue recognized for each performance obligation to which the costs are allocated.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Capitalized costs totaled $505,993 and $503,152, at September 30, 2024, and June 30, 2024, respectively.</w:t>
      </w:r>
    </w:p>
    <w:p>
      <w:pPr>
        <w:spacing w:after="0" w:line="9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the three months ended September 30, 2024, and 2023, amortization of deferred contract costs totaled $54,907 and $50,537, respectively. There were no impairment losses in relation to capitalized costs for the periods presented.</w:t>
      </w:r>
    </w:p>
    <w:p>
      <w:pPr>
        <w:spacing w:after="0" w:line="27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FAIR VALUE OF FINANCIAL INSTRUMENTS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cash equivalents, certificates of deposit, amounts receivable or payable, and short-term borrowings, fair values approximate carrying value, based on the short-term nature of the assets and liabilities.</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estimates of the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three levels of the hierarchy are as follows:</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inputs to the valuation are quoted prices in an active market for identical assets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2: inputs to the valuation include quoted prices for similar assets in active markets that are observable either directly or indirectly</w:t>
      </w:r>
    </w:p>
    <w:p>
      <w:pPr>
        <w:spacing w:after="0" w:line="90"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color w:val="auto"/>
        </w:rPr>
        <w:t>Level 3: valuation is based on significant inputs that are unobservable in the market and the Company's own estimates of assumptions that we believe market participants would use in pricing the asset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Fair value of financial assets included in current assets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20" w:type="dxa"/>
            <w:vAlign w:val="bottom"/>
          </w:tcPr>
          <w:p>
            <w:pPr>
              <w:spacing w:after="0"/>
              <w:rPr>
                <w:sz w:val="20"/>
                <w:szCs w:val="20"/>
                <w:color w:val="auto"/>
              </w:rPr>
            </w:pPr>
          </w:p>
        </w:tc>
        <w:tc>
          <w:tcPr>
            <w:tcW w:w="4440" w:type="dxa"/>
            <w:vAlign w:val="bottom"/>
            <w:tcBorders>
              <w:bottom w:val="single" w:sz="8" w:color="auto"/>
            </w:tcBorders>
            <w:gridSpan w:val="7"/>
          </w:tcPr>
          <w:p>
            <w:pPr>
              <w:jc w:val="center"/>
              <w:ind w:left="270"/>
              <w:spacing w:after="0"/>
              <w:rPr>
                <w:sz w:val="20"/>
                <w:szCs w:val="20"/>
                <w:color w:val="auto"/>
              </w:rPr>
            </w:pPr>
            <w:r>
              <w:rPr>
                <w:rFonts w:ascii="Arial" w:cs="Arial" w:eastAsia="Arial" w:hAnsi="Arial"/>
                <w:sz w:val="18"/>
                <w:szCs w:val="18"/>
                <w:b w:val="1"/>
                <w:bCs w:val="1"/>
                <w:color w:val="auto"/>
                <w:w w:val="99"/>
              </w:rPr>
              <w:t>Estimated Fair Value Measurements</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Total Fair</w:t>
            </w:r>
          </w:p>
        </w:tc>
      </w:tr>
      <w:tr>
        <w:trPr>
          <w:trHeight w:val="223"/>
        </w:trPr>
        <w:tc>
          <w:tcPr>
            <w:tcW w:w="47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Level 2</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color w:val="auto"/>
              </w:rPr>
              <w:t>Value</w:t>
            </w: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September 30, 2024</w:t>
            </w: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29"/>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Assets: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720" w:type="dxa"/>
            <w:vAlign w:val="bottom"/>
          </w:tcPr>
          <w:p>
            <w:pPr>
              <w:ind w:left="440"/>
              <w:spacing w:after="0"/>
              <w:rPr>
                <w:sz w:val="20"/>
                <w:szCs w:val="20"/>
                <w:color w:val="auto"/>
              </w:rPr>
            </w:pPr>
            <w:r>
              <w:rPr>
                <w:rFonts w:ascii="Arial" w:cs="Arial" w:eastAsia="Arial" w:hAnsi="Arial"/>
                <w:sz w:val="18"/>
                <w:szCs w:val="18"/>
                <w:color w:val="auto"/>
              </w:rPr>
              <w:t>Certificates of Deposit</w:t>
            </w: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4,459</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4,459</w:t>
            </w: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Liabilities: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720" w:type="dxa"/>
            <w:vAlign w:val="bottom"/>
          </w:tcPr>
          <w:p>
            <w:pPr>
              <w:ind w:left="440"/>
              <w:spacing w:after="0"/>
              <w:rPr>
                <w:sz w:val="20"/>
                <w:szCs w:val="20"/>
                <w:color w:val="auto"/>
              </w:rPr>
            </w:pPr>
            <w:r>
              <w:rPr>
                <w:rFonts w:ascii="Arial" w:cs="Arial" w:eastAsia="Arial" w:hAnsi="Arial"/>
                <w:sz w:val="18"/>
                <w:szCs w:val="18"/>
                <w:color w:val="auto"/>
              </w:rPr>
              <w:t>Credit facilities</w:t>
            </w: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140,000</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140,000</w:t>
            </w: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2024</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rPr>
              <w:t>Financial Assets: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Certificates of Deposit</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Financial Liabilities: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Credit facilities</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r>
    </w:tbl>
    <w:p>
      <w:pPr>
        <w:spacing w:after="0" w:line="21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5.</w:t>
      </w:r>
      <w:r>
        <w:rPr>
          <w:sz w:val="20"/>
          <w:szCs w:val="20"/>
          <w:color w:val="auto"/>
        </w:rPr>
        <w:tab/>
      </w:r>
      <w:r>
        <w:rPr>
          <w:rFonts w:ascii="Arial" w:cs="Arial" w:eastAsia="Arial" w:hAnsi="Arial"/>
          <w:sz w:val="17"/>
          <w:szCs w:val="17"/>
          <w:color w:val="auto"/>
        </w:rPr>
        <w:t>LEASES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determines if an arrangement is a lease, or contains a lease, at inception. The lease term begins on the commencement date, which is the date the Company takes possession of the property and may include options to extend or terminate the lease when it is reasonably certain that the option will be exercised. Right-of-use (“ROU”) assets represent the Company’s right to use an underlying asset for the lease term and lease liabilities represent the Company’s obligation to make lease payments arising from the lease. Lease agreements with lease and non-lease components are accounted for as a single lease component for all asset classes, which are comprised of real estate leases and equipment leases. ROU assets and lease liabilities are recognized at the commencement date based on the present value of lease payments over the lease term. Since the Company’s leases do not typically provide an implicit rate, the Company uses its incremental borrowing rate based upon the information available at commencement date. The determination of the incremental borrowing rate requires judgment and is determined by using the Company’s current unsecured borrowing rate, adjusted for various factors such as collateralization and term to align with the terms of the lease.</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certain office space, data centers, and equipment with remaining terms of 4 months to 9 years. Certain leases contain renewal options for varying periods, which are at the Company’s sole discretion.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lease liability to the extent they are variable in nature. Variable lease costs are recognized as a variable lease expense when incurred.</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September 30, 2024, and June 30, 2024, the Company had operating lease assets of $51,892 and $53,981, respectively. At September 30, 2024, total operating lease liabilities of $ 57,902 were comprised of current operating lease liabilities of $8,977 and noncurrent operating lease liabilities of $48,925. At June 30, 2024, total operating lease liabilities of $59,604 were comprised of current operating lease liabilities of $8,454 and noncurrent operating lease liabilities of $51,150.</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lease assets are included within other non-current assets, and operating lease liabilities are included within accrued expenses (current portion) and other long-term liabilities (noncurrent portion) in the Company’s condensed consolidated balance sheets. Operating lease assets were recorded net of accumulated amortization of $36,699 and $34,306 as of September 30, 2024, and June 30, 2024, respectively.</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lease costs for the three months ended September 30, 2024, and 2023, were $2,893 and $2,468, respectively. Total operating lease costs for the respective quarters included variable lease costs of $554 and $544, respectively. Operating lease expense is included within cost of services, research and development, and selling,</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general and administrative expense, dependent upon the nature and use of the ROU asset, in the Company’s condensed consolidated statements of income.</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three months ended September 30, 2024, and 2023, the Company had operating cash flows for payments on operating leases of $2,505 and $2,171, and ROU assets obtained in exchange for operating lease liabilities of $7 and $0, respectively.</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September 30, 2024, and June 30, 2024, the weighted-average remaining lease term for the Company's operating leases was 75 months and 78 months, and the weighted-average discount rate was 2.70% and 2.70%,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of Lease Liabilities under ASC 842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 payments on operating leases with initial non-cancellable lease terms in excess of one year were due as follows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20" w:type="dxa"/>
            <w:vAlign w:val="bottom"/>
            <w:gridSpan w:val="2"/>
          </w:tcPr>
          <w:p>
            <w:pPr>
              <w:ind w:left="800"/>
              <w:spacing w:after="0"/>
              <w:rPr>
                <w:sz w:val="20"/>
                <w:szCs w:val="20"/>
                <w:color w:val="auto"/>
              </w:rPr>
            </w:pPr>
            <w:r>
              <w:rPr>
                <w:rFonts w:ascii="Arial" w:cs="Arial" w:eastAsia="Arial" w:hAnsi="Arial"/>
                <w:sz w:val="18"/>
                <w:szCs w:val="18"/>
                <w:color w:val="auto"/>
              </w:rPr>
              <w:t>Due Dates (fiscal year)</w:t>
            </w:r>
          </w:p>
        </w:tc>
        <w:tc>
          <w:tcPr>
            <w:tcW w:w="260" w:type="dxa"/>
            <w:vAlign w:val="bottom"/>
          </w:tcPr>
          <w:p>
            <w:pPr>
              <w:spacing w:after="0"/>
              <w:rPr>
                <w:sz w:val="20"/>
                <w:szCs w:val="20"/>
                <w:color w:val="auto"/>
              </w:rPr>
            </w:pPr>
          </w:p>
        </w:tc>
        <w:tc>
          <w:tcPr>
            <w:tcW w:w="3240" w:type="dxa"/>
            <w:vAlign w:val="bottom"/>
          </w:tcPr>
          <w:p>
            <w:pPr>
              <w:jc w:val="right"/>
              <w:ind w:right="290"/>
              <w:spacing w:after="0"/>
              <w:rPr>
                <w:sz w:val="20"/>
                <w:szCs w:val="20"/>
                <w:color w:val="auto"/>
              </w:rPr>
            </w:pPr>
            <w:r>
              <w:rPr>
                <w:rFonts w:ascii="Arial" w:cs="Arial" w:eastAsia="Arial" w:hAnsi="Arial"/>
                <w:sz w:val="18"/>
                <w:szCs w:val="18"/>
                <w:color w:val="auto"/>
              </w:rPr>
              <w:t>Future Minimum Rental Payments</w:t>
            </w:r>
          </w:p>
        </w:tc>
      </w:tr>
      <w:tr>
        <w:trPr>
          <w:trHeight w:val="250"/>
        </w:trPr>
        <w:tc>
          <w:tcPr>
            <w:tcW w:w="34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240" w:type="dxa"/>
            <w:vAlign w:val="bottom"/>
            <w:tcBorders>
              <w:top w:val="single" w:sz="8" w:color="auto"/>
            </w:tcBorders>
          </w:tcPr>
          <w:p>
            <w:pPr>
              <w:spacing w:after="0"/>
              <w:rPr>
                <w:sz w:val="21"/>
                <w:szCs w:val="21"/>
                <w:color w:val="auto"/>
              </w:rPr>
            </w:pPr>
          </w:p>
        </w:tc>
      </w:tr>
      <w:tr>
        <w:trPr>
          <w:trHeight w:val="229"/>
        </w:trPr>
        <w:tc>
          <w:tcPr>
            <w:tcW w:w="3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2025 (remaining period)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8,108</w:t>
            </w:r>
          </w:p>
        </w:tc>
      </w:tr>
      <w:tr>
        <w:trPr>
          <w:trHeight w:val="229"/>
        </w:trPr>
        <w:tc>
          <w:tcPr>
            <w:tcW w:w="3400" w:type="dxa"/>
            <w:vAlign w:val="bottom"/>
          </w:tcPr>
          <w:p>
            <w:pPr>
              <w:jc w:val="right"/>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11,048</w:t>
            </w:r>
          </w:p>
        </w:tc>
      </w:tr>
      <w:tr>
        <w:trPr>
          <w:trHeight w:val="230"/>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10,455</w:t>
            </w:r>
          </w:p>
        </w:tc>
      </w:tr>
      <w:tr>
        <w:trPr>
          <w:trHeight w:val="229"/>
        </w:trPr>
        <w:tc>
          <w:tcPr>
            <w:tcW w:w="3400" w:type="dxa"/>
            <w:vAlign w:val="bottom"/>
          </w:tcPr>
          <w:p>
            <w:pPr>
              <w:jc w:val="right"/>
              <w:spacing w:after="0"/>
              <w:rPr>
                <w:sz w:val="20"/>
                <w:szCs w:val="20"/>
                <w:color w:val="auto"/>
              </w:rPr>
            </w:pPr>
            <w:r>
              <w:rPr>
                <w:rFonts w:ascii="Arial" w:cs="Arial" w:eastAsia="Arial" w:hAnsi="Arial"/>
                <w:sz w:val="18"/>
                <w:szCs w:val="18"/>
                <w:color w:val="auto"/>
              </w:rPr>
              <w:t>2028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10,106</w:t>
            </w:r>
          </w:p>
        </w:tc>
      </w:tr>
      <w:tr>
        <w:trPr>
          <w:trHeight w:val="230"/>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w:t>
            </w:r>
          </w:p>
        </w:tc>
      </w:tr>
      <w:tr>
        <w:trPr>
          <w:trHeight w:val="229"/>
        </w:trPr>
        <w:tc>
          <w:tcPr>
            <w:tcW w:w="36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17,667</w:t>
            </w:r>
          </w:p>
        </w:tc>
      </w:tr>
      <w:tr>
        <w:trPr>
          <w:trHeight w:val="223"/>
        </w:trPr>
        <w:tc>
          <w:tcPr>
            <w:tcW w:w="3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64,932</w:t>
            </w:r>
          </w:p>
        </w:tc>
      </w:tr>
      <w:tr>
        <w:trPr>
          <w:trHeight w:val="230"/>
        </w:trPr>
        <w:tc>
          <w:tcPr>
            <w:tcW w:w="36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(7,030)</w:t>
            </w:r>
          </w:p>
        </w:tc>
      </w:tr>
      <w:tr>
        <w:trPr>
          <w:trHeight w:val="248"/>
        </w:trPr>
        <w:tc>
          <w:tcPr>
            <w:tcW w:w="3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57,902</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Future lease payments include $5,464 related to options to extend lease terms that are reasonably certain of being exercised. At September 30, 2024, there were no material legally binding lease payments for leases signed but not yet commenced.</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may sublease its facilities from time to time to third parties. Sublease income is recognized on a straight-line basis over the lease term, and is included within revenue on the Company's condensed consolidated statements of income.</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September 30, 2023, the Company entered into an agreement with a third party to sublease a portion of its Elizabethtown, Kentucky facility. The commencement date of the sublease was October 1, 2023, and it had an initial term of 57 months. Sublease income for the three months ended September 30, 2024 was $271. There have been no indications of impairment related to the underlying right-of-use asset.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Sublease Payments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2024, the future total minimum sublease payments to be received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40" w:type="dxa"/>
            <w:vAlign w:val="bottom"/>
            <w:gridSpan w:val="2"/>
          </w:tcPr>
          <w:p>
            <w:pPr>
              <w:ind w:left="800"/>
              <w:spacing w:after="0"/>
              <w:rPr>
                <w:sz w:val="20"/>
                <w:szCs w:val="20"/>
                <w:color w:val="auto"/>
              </w:rPr>
            </w:pPr>
            <w:r>
              <w:rPr>
                <w:rFonts w:ascii="Arial" w:cs="Arial" w:eastAsia="Arial" w:hAnsi="Arial"/>
                <w:sz w:val="18"/>
                <w:szCs w:val="18"/>
                <w:color w:val="auto"/>
              </w:rPr>
              <w:t>Due Dates (fiscal year)</w:t>
            </w:r>
          </w:p>
        </w:tc>
        <w:tc>
          <w:tcPr>
            <w:tcW w:w="240" w:type="dxa"/>
            <w:vAlign w:val="bottom"/>
          </w:tcPr>
          <w:p>
            <w:pPr>
              <w:spacing w:after="0"/>
              <w:rPr>
                <w:sz w:val="20"/>
                <w:szCs w:val="20"/>
                <w:color w:val="auto"/>
              </w:rPr>
            </w:pPr>
          </w:p>
        </w:tc>
        <w:tc>
          <w:tcPr>
            <w:tcW w:w="3360" w:type="dxa"/>
            <w:vAlign w:val="bottom"/>
          </w:tcPr>
          <w:p>
            <w:pPr>
              <w:jc w:val="right"/>
              <w:ind w:right="290"/>
              <w:spacing w:after="0"/>
              <w:rPr>
                <w:sz w:val="20"/>
                <w:szCs w:val="20"/>
                <w:color w:val="auto"/>
              </w:rPr>
            </w:pPr>
            <w:r>
              <w:rPr>
                <w:rFonts w:ascii="Arial" w:cs="Arial" w:eastAsia="Arial" w:hAnsi="Arial"/>
                <w:sz w:val="18"/>
                <w:szCs w:val="18"/>
                <w:color w:val="auto"/>
              </w:rPr>
              <w:t>Future Minimum Sublease Receipts</w:t>
            </w:r>
          </w:p>
        </w:tc>
      </w:tr>
      <w:tr>
        <w:trPr>
          <w:trHeight w:val="250"/>
        </w:trPr>
        <w:tc>
          <w:tcPr>
            <w:tcW w:w="34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3360" w:type="dxa"/>
            <w:vAlign w:val="bottom"/>
            <w:tcBorders>
              <w:top w:val="single" w:sz="8" w:color="auto"/>
            </w:tcBorders>
          </w:tcPr>
          <w:p>
            <w:pPr>
              <w:spacing w:after="0"/>
              <w:rPr>
                <w:sz w:val="21"/>
                <w:szCs w:val="21"/>
                <w:color w:val="auto"/>
              </w:rPr>
            </w:pPr>
          </w:p>
        </w:tc>
      </w:tr>
      <w:tr>
        <w:trPr>
          <w:trHeight w:val="230"/>
        </w:trPr>
        <w:tc>
          <w:tcPr>
            <w:tcW w:w="3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2025 (remaining period)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30"/>
        </w:trPr>
        <w:tc>
          <w:tcPr>
            <w:tcW w:w="3420" w:type="dxa"/>
            <w:vAlign w:val="bottom"/>
          </w:tcPr>
          <w:p>
            <w:pPr>
              <w:jc w:val="right"/>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229"/>
        </w:trPr>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r>
      <w:tr>
        <w:trPr>
          <w:trHeight w:val="230"/>
        </w:trPr>
        <w:tc>
          <w:tcPr>
            <w:tcW w:w="3420" w:type="dxa"/>
            <w:vAlign w:val="bottom"/>
          </w:tcPr>
          <w:p>
            <w:pPr>
              <w:jc w:val="right"/>
              <w:spacing w:after="0"/>
              <w:rPr>
                <w:sz w:val="20"/>
                <w:szCs w:val="20"/>
                <w:color w:val="auto"/>
              </w:rPr>
            </w:pPr>
            <w:r>
              <w:rPr>
                <w:rFonts w:ascii="Arial" w:cs="Arial" w:eastAsia="Arial" w:hAnsi="Arial"/>
                <w:sz w:val="18"/>
                <w:szCs w:val="18"/>
                <w:color w:val="auto"/>
              </w:rPr>
              <w:t>2028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r>
      <w:tr>
        <w:trPr>
          <w:trHeight w:val="223"/>
        </w:trPr>
        <w:tc>
          <w:tcPr>
            <w:tcW w:w="3640" w:type="dxa"/>
            <w:vAlign w:val="bottom"/>
            <w:gridSpan w:val="2"/>
          </w:tcPr>
          <w:p>
            <w:pPr>
              <w:jc w:val="right"/>
              <w:ind w:right="240"/>
              <w:spacing w:after="0"/>
              <w:rPr>
                <w:sz w:val="20"/>
                <w:szCs w:val="20"/>
                <w:color w:val="auto"/>
              </w:rPr>
            </w:pPr>
            <w:r>
              <w:rPr>
                <w:rFonts w:ascii="Arial" w:cs="Arial" w:eastAsia="Arial" w:hAnsi="Arial"/>
                <w:sz w:val="18"/>
                <w:szCs w:val="18"/>
                <w:color w:val="auto"/>
              </w:rPr>
              <w:t>Total sublease receipts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3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w:t>
            </w:r>
          </w:p>
        </w:tc>
      </w:tr>
      <w:tr>
        <w:trPr>
          <w:trHeight w:val="20"/>
        </w:trPr>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6.</w:t>
      </w:r>
      <w:r>
        <w:rPr>
          <w:sz w:val="20"/>
          <w:szCs w:val="20"/>
          <w:color w:val="auto"/>
        </w:rPr>
        <w:tab/>
      </w:r>
      <w:r>
        <w:rPr>
          <w:rFonts w:ascii="Arial" w:cs="Arial" w:eastAsia="Arial" w:hAnsi="Arial"/>
          <w:sz w:val="17"/>
          <w:szCs w:val="17"/>
          <w:color w:val="auto"/>
        </w:rPr>
        <w:t>DEBT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August 31, 2022, the Company entered into a five-year senior, unsecured amended and restated credit agreement that replaced a prior credit facility that was entered into on February 10, 2020. The credit agreement allows for borrowings of up to $600,000, which may be increased to $1,000,000 by the Company at any time until maturity. The credit agreement bears interest at a variable rate equal to (a) a rate based on an adjusted Secured Overnight Financing Rate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applicable percentage in each case determined by the Company's leverage ratio. The credit agreement is guaranteed by certain subsidiaries of the Company and is subject to various financial covenants that require the Company to maintain certain financial ratios as defined in the credit agreement. As of September 30, 2024, the Company was in compliance with all such covenants. The amended and restated credit facility terminates August 31, 2027. There was $50,000 and $60,000 outstanding under the amended and restated credit facility at September 30, 2024 and June 30, 2024,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May 16, 2023, the Company entered into a term loan credit agreement with a syndicate of financial institutions, with an original principal balance of $180,000. Borrowings under the term loan facility bear interest at a variable rate equal to (a) a rate based on an adjusted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0.75%),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applicable percentage in each case determined by the Company's leverage ratio. The term loan credit agreement is guaranteed by certain subsidiaries of the Company and is subject to various financial covenants that require the Company to maintain certain financial ratios as defined in the term loan credit agreement. As of September 30, 2024, the Company was in compliance with all such covenants. The term loan credit agreement has a maturity date of May 16, 2025. There was $90,000 outstanding under the term loan at September 30, 2024 and June 30, 2024.</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has an unsecured bank credit line which provides for funding of up to $5,000 and bears interest at the prime rate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1.0%.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credit line expires on April 30, 2025. There was no balance outstanding at September 30, 2024, or June 30, 2024.</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interest of $1,588 and $3,509 during the three months ended September 30, 2024, and 2023, respectively.</w:t>
      </w:r>
    </w:p>
    <w:p>
      <w:pPr>
        <w:spacing w:after="0" w:line="1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7.</w:t>
      </w:r>
      <w:r>
        <w:rPr>
          <w:sz w:val="20"/>
          <w:szCs w:val="20"/>
          <w:color w:val="auto"/>
        </w:rPr>
        <w:tab/>
      </w:r>
      <w:r>
        <w:rPr>
          <w:rFonts w:ascii="Arial" w:cs="Arial" w:eastAsia="Arial" w:hAnsi="Arial"/>
          <w:sz w:val="17"/>
          <w:szCs w:val="17"/>
          <w:color w:val="auto"/>
        </w:rPr>
        <w:t>INCOME TAXES</w:t>
      </w:r>
    </w:p>
    <w:p>
      <w:pPr>
        <w:spacing w:after="0" w:line="10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effective tax rate increased for the three months ended September 30, 2024, compared to the three months ended September 30, 2023, with an effective tax rate of 24.0% of income before income taxes, compared to 23.7% in the prior fiscal year quarter.</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paid income taxes, net of refunds, of $3,006 and $2,569 in the three months ended September 30, 2024, and 2023, respectively.</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September 30, 2024, the Company had $20,084 of gross unrecognized tax benefits before interest and penalties, $18,153 of which, if recognized, would affect our effective tax rate. The Company had accrued interest and penalties of $3,752 related to uncertain tax positions at September 30, 2024.</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federal and state income tax returns for fiscal 2021 and all subsequent years remain subject to examination as of September 30, 2024, under statute of limitations rules. In addition, certain U.S. state income tax returns remain subject to examination as of September 30, 2024, under the statute of limitation rules from fiscal 2016 through 2020. The Company anticipates potential changes due to lapsing of statutes of limitations, and examination closures could reduce the unrecognized tax benefits balance by $3,000 to $7,000 within twelve months of September 30, 2024.</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8.</w:t>
      </w:r>
      <w:r>
        <w:rPr>
          <w:sz w:val="20"/>
          <w:szCs w:val="20"/>
          <w:color w:val="auto"/>
        </w:rPr>
        <w:tab/>
      </w:r>
      <w:r>
        <w:rPr>
          <w:rFonts w:ascii="Arial" w:cs="Arial" w:eastAsia="Arial" w:hAnsi="Arial"/>
          <w:sz w:val="17"/>
          <w:szCs w:val="17"/>
          <w:color w:val="auto"/>
        </w:rPr>
        <w:t>STOCK-BASED COMPENSATION</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operating income for the three months ended September 30, 2024, and 2023, included $6,705 and $7,148 of stock-based compensation costs, respectively.</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November 10, 2015, the Company adopted the 2015 Equity Incentive Plan (“2015 EIP”) for its associates and non-employee directors. The plan allows for grants of stock options, stock appreciation rights, restricted stock shares or units, and performance shares or units. The maximum number of shares authorized for issuance under the plan is 3,000.</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awards</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2015 EIP, terms and vesting periods of the options are determined by the Compensation Committee of the Board of Directors when granted. The option period must expire not more than ten years from the option grant date. The options granted under this plan are exercisable beginning three years after the grant date at an exercise price equal to 100% of the fair market value of the stock at the grant date. The options terminate upon surrender of the option, ninety days after termination of employment, upon the expiration of one year following notification of a deceased optionee, or ten years after grant.</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months ended September 30, 2024, there were no options granted, forfeited, or exercised. At September 30, 2024, 12 options were outstanding at a weighted average exercise price of $87.27 with an aggregate intrinsic value of $1,043.</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September 30, 2024, there was no compensation cost yet to be recognized related to outstanding options. All of the options are currently exercisable, with a weighted average remaining contractual term (remaining period of exercisability) of 1.75 years as of September 30, 2024.</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and performance unit awards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issues unit awards under the 2015 EIP. Restricted stock unit awards (which are unit awards that have service requirements only and are not tied to performance measures) generally vest over a period of 1 to 3 years. Performance unit awards are awards that have performance measures in addition to service requirements.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non-vested restricted stock unit awards and performance awards as of September 30,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Unit awards</w:t>
            </w:r>
          </w:p>
        </w:tc>
        <w:tc>
          <w:tcPr>
            <w:tcW w:w="190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Units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 Average Grant</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Aggregate Intrinsic</w:t>
            </w:r>
          </w:p>
        </w:tc>
        <w:tc>
          <w:tcPr>
            <w:tcW w:w="0" w:type="dxa"/>
            <w:vAlign w:val="bottom"/>
          </w:tcPr>
          <w:p>
            <w:pPr>
              <w:spacing w:after="0"/>
              <w:rPr>
                <w:sz w:val="1"/>
                <w:szCs w:val="1"/>
                <w:color w:val="auto"/>
              </w:rPr>
            </w:pPr>
          </w:p>
        </w:tc>
      </w:tr>
      <w:tr>
        <w:trPr>
          <w:trHeight w:val="235"/>
        </w:trPr>
        <w:tc>
          <w:tcPr>
            <w:tcW w:w="4860" w:type="dxa"/>
            <w:vAlign w:val="bottom"/>
            <w:gridSpan w:val="2"/>
            <w:vMerge w:val="continue"/>
          </w:tcPr>
          <w:p>
            <w:pPr>
              <w:spacing w:after="0"/>
              <w:rPr>
                <w:sz w:val="20"/>
                <w:szCs w:val="20"/>
                <w:color w:val="auto"/>
              </w:rPr>
            </w:pPr>
          </w:p>
        </w:tc>
        <w:tc>
          <w:tcPr>
            <w:tcW w:w="1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tcPr>
          <w:p>
            <w:pPr>
              <w:jc w:val="right"/>
              <w:ind w:right="170"/>
              <w:spacing w:after="0"/>
              <w:rPr>
                <w:sz w:val="20"/>
                <w:szCs w:val="20"/>
                <w:color w:val="auto"/>
              </w:rPr>
            </w:pPr>
            <w:r>
              <w:rPr>
                <w:rFonts w:ascii="Arial" w:cs="Arial" w:eastAsia="Arial" w:hAnsi="Arial"/>
                <w:sz w:val="18"/>
                <w:szCs w:val="18"/>
                <w:b w:val="1"/>
                <w:bCs w:val="1"/>
                <w:color w:val="auto"/>
              </w:rPr>
              <w:t>Date Fair Value Per Unit</w:t>
            </w:r>
          </w:p>
        </w:tc>
        <w:tc>
          <w:tcPr>
            <w:tcW w:w="460" w:type="dxa"/>
            <w:vAlign w:val="bottom"/>
          </w:tcPr>
          <w:p>
            <w:pPr>
              <w:spacing w:after="0"/>
              <w:rPr>
                <w:sz w:val="20"/>
                <w:szCs w:val="20"/>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July 1, 2024</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189.68</w:t>
            </w:r>
          </w:p>
        </w:tc>
        <w:tc>
          <w:tcPr>
            <w:tcW w:w="4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19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172.15</w:t>
            </w: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194.47</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181.14</w:t>
            </w:r>
          </w:p>
        </w:tc>
        <w:tc>
          <w:tcPr>
            <w:tcW w:w="4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September 30, 2024</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181.83</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64,903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Granted includes restricted stock unit awards and performance unit awards with market conditions at 100% achievement.</w:t>
      </w:r>
    </w:p>
    <w:p>
      <w:pPr>
        <w:jc w:val="both"/>
        <w:spacing w:after="0" w:line="284" w:lineRule="auto"/>
        <w:rPr>
          <w:sz w:val="20"/>
          <w:szCs w:val="20"/>
          <w:color w:val="auto"/>
        </w:rPr>
      </w:pPr>
      <w:r>
        <w:rPr>
          <w:rFonts w:ascii="Arial" w:cs="Arial" w:eastAsia="Arial" w:hAnsi="Arial"/>
          <w:sz w:val="9"/>
          <w:szCs w:val="9"/>
          <w:color w:val="auto"/>
        </w:rPr>
        <w:t>2</w:t>
      </w:r>
      <w:r>
        <w:rPr>
          <w:rFonts w:ascii="Arial" w:cs="Arial" w:eastAsia="Arial" w:hAnsi="Arial"/>
          <w:sz w:val="14"/>
          <w:szCs w:val="14"/>
          <w:color w:val="auto"/>
        </w:rPr>
        <w:t>Forfeited includes restricted stock unit awards and performance unit awards forfeited for service requirements not met and performance unit awards not settled due to</w:t>
      </w:r>
      <w:r>
        <w:rPr>
          <w:rFonts w:ascii="Arial" w:cs="Arial" w:eastAsia="Arial" w:hAnsi="Arial"/>
          <w:sz w:val="9"/>
          <w:szCs w:val="9"/>
          <w:color w:val="auto"/>
        </w:rPr>
        <w:t xml:space="preserve"> </w:t>
      </w:r>
      <w:r>
        <w:rPr>
          <w:rFonts w:ascii="Arial" w:cs="Arial" w:eastAsia="Arial" w:hAnsi="Arial"/>
          <w:sz w:val="14"/>
          <w:szCs w:val="14"/>
          <w:color w:val="auto"/>
        </w:rPr>
        <w:t>underachievement of performance measures.</w:t>
      </w:r>
    </w:p>
    <w:p>
      <w:pPr>
        <w:spacing w:after="0" w:line="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Of the 145 unit awards granted in fiscal 2025, 101 were restricted stock unit awards and 44 were performance unit awards. The restricted stock unit awards were valued at the weighted average fair value of the non-vested units based on the fair market value of the Company’s equity shares on the grant date, less the present value of expected future dividends to be declared during the vesting period, consistent with the methodology for calculating compensation expense on such awards.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18 of the performance unit awards granted in fiscal 2025 were valued at grant by estimating 100% payout at release and using the fair market value of the Company equity shares on the grant date, less the present value of expected future dividends to be declared during the vesting period. The payout at release of approximately half of these performance unit awards will be determined based on the Company's compound annual growth rate for revenue (excluding adjustments) for the three-year vesting period compared against goal thresholds as defined in the award agreement. The performance payout at release of the other half of these performance unit awards will be determined based on the expansion of the Company's non-GAAP operating margin over the three-year vesting period compared against goal thresholds as defined in the award agreement. 26 of the performance unit awards have market conditions and were valued at grant using a Monte Carlo pricing model as of the measurement date customized to the specific provisions of the Company’s plan design. Per the Company's award vesting and settlement provisions, the performance unit awards that utilize a Monte Carlo pricing model were valued at grant on the basis of Total Shareholder Return (“TSR”) in comparison to the compensation peer group made up of participants approved by the Human Capital &amp; Compensation Committee of the Company's Board of Directors for fiscal year 2025. The Monte Carlo inputs used in the model to estimate fair value at the measurement date and resulting values for these performance unit awards are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Monte Carlo award inputs:</w:t>
            </w:r>
          </w:p>
        </w:tc>
        <w:tc>
          <w:tcPr>
            <w:tcW w:w="3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Fiscal 2025</w:t>
            </w:r>
          </w:p>
        </w:tc>
      </w:tr>
      <w:tr>
        <w:trPr>
          <w:trHeight w:val="230"/>
        </w:trPr>
        <w:tc>
          <w:tcPr>
            <w:tcW w:w="20" w:type="dxa"/>
            <w:vAlign w:val="bottom"/>
            <w:tcBorders>
              <w:top w:val="single" w:sz="8" w:color="CCEEFF"/>
            </w:tcBorders>
          </w:tcPr>
          <w:p>
            <w:pPr>
              <w:spacing w:after="0"/>
              <w:rPr>
                <w:sz w:val="19"/>
                <w:szCs w:val="19"/>
                <w:color w:val="auto"/>
              </w:rPr>
            </w:pPr>
          </w:p>
        </w:tc>
        <w:tc>
          <w:tcPr>
            <w:tcW w:w="2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Compensation Peer Group:</w:t>
            </w:r>
          </w:p>
        </w:tc>
        <w:tc>
          <w:tcPr>
            <w:tcW w:w="5020" w:type="dxa"/>
            <w:vAlign w:val="bottom"/>
            <w:tcBorders>
              <w:top w:val="single" w:sz="8" w:color="CCEEFF"/>
            </w:tcBorders>
          </w:tcPr>
          <w:p>
            <w:pPr>
              <w:spacing w:after="0"/>
              <w:rPr>
                <w:sz w:val="19"/>
                <w:szCs w:val="19"/>
                <w:color w:val="auto"/>
              </w:rPr>
            </w:pPr>
          </w:p>
        </w:tc>
        <w:tc>
          <w:tcPr>
            <w:tcW w:w="2640" w:type="dxa"/>
            <w:vAlign w:val="bottom"/>
            <w:tcBorders>
              <w:top w:val="single" w:sz="8" w:color="CCEEFF"/>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24.5 %</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Risk free interest rate</w:t>
            </w:r>
          </w:p>
        </w:tc>
        <w:tc>
          <w:tcPr>
            <w:tcW w:w="3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3.72 %</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Annual dividend based on most recent quarterly dividend</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$2.20</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Dividend yield</w:t>
            </w:r>
          </w:p>
        </w:tc>
        <w:tc>
          <w:tcPr>
            <w:tcW w:w="3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1.29 %</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Beginning average percentile rank for TSR</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41.0 %</w:t>
            </w: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September 30, 2024, there was $37,964 of compensation expense that has yet to be recognized related to non-vested restricted stock unit and performance stock unit awards, which will be recognized over a weighted average period of 1.47 years.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20" w:type="dxa"/>
            <w:vAlign w:val="bottom"/>
          </w:tcPr>
          <w:p>
            <w:pPr>
              <w:spacing w:after="0"/>
              <w:rPr>
                <w:sz w:val="20"/>
                <w:szCs w:val="20"/>
                <w:color w:val="auto"/>
              </w:rPr>
            </w:pPr>
            <w:r>
              <w:rPr>
                <w:rFonts w:ascii="Arial" w:cs="Arial" w:eastAsia="Arial" w:hAnsi="Arial"/>
                <w:sz w:val="18"/>
                <w:szCs w:val="18"/>
                <w:color w:val="auto"/>
              </w:rPr>
              <w:t>NOTE 9.  EARNINGS PER SHARE</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11"/>
        </w:trPr>
        <w:tc>
          <w:tcPr>
            <w:tcW w:w="7920" w:type="dxa"/>
            <w:vAlign w:val="bottom"/>
          </w:tcPr>
          <w:p>
            <w:pPr>
              <w:spacing w:after="0"/>
              <w:rPr>
                <w:sz w:val="20"/>
                <w:szCs w:val="20"/>
                <w:color w:val="auto"/>
              </w:rPr>
            </w:pPr>
            <w:r>
              <w:rPr>
                <w:rFonts w:ascii="Arial" w:cs="Arial" w:eastAsia="Arial" w:hAnsi="Arial"/>
                <w:sz w:val="18"/>
                <w:szCs w:val="18"/>
                <w:color w:val="auto"/>
              </w:rPr>
              <w:t>The following table reflects the reconciliation between basic and diluted earnings per share.</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47"/>
        </w:trPr>
        <w:tc>
          <w:tcPr>
            <w:tcW w:w="7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8"/>
                <w:szCs w:val="18"/>
                <w:color w:val="auto"/>
              </w:rPr>
              <w:t>Three Months Ended September 30,</w:t>
            </w:r>
          </w:p>
        </w:tc>
      </w:tr>
      <w:tr>
        <w:trPr>
          <w:trHeight w:val="183"/>
        </w:trPr>
        <w:tc>
          <w:tcPr>
            <w:tcW w:w="7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2024</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4"/>
              </w:rPr>
              <w:t>2023</w:t>
            </w:r>
          </w:p>
        </w:tc>
        <w:tc>
          <w:tcPr>
            <w:tcW w:w="600" w:type="dxa"/>
            <w:vAlign w:val="bottom"/>
          </w:tcPr>
          <w:p>
            <w:pPr>
              <w:spacing w:after="0"/>
              <w:rPr>
                <w:sz w:val="15"/>
                <w:szCs w:val="15"/>
                <w:color w:val="auto"/>
              </w:rPr>
            </w:pPr>
          </w:p>
        </w:tc>
      </w:tr>
      <w:tr>
        <w:trPr>
          <w:trHeight w:val="250"/>
        </w:trPr>
        <w:tc>
          <w:tcPr>
            <w:tcW w:w="79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119,191</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101,679</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 information:</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7920" w:type="dxa"/>
            <w:vAlign w:val="bottom"/>
          </w:tcPr>
          <w:p>
            <w:pPr>
              <w:ind w:left="220"/>
              <w:spacing w:after="0"/>
              <w:rPr>
                <w:sz w:val="20"/>
                <w:szCs w:val="20"/>
                <w:color w:val="auto"/>
              </w:rPr>
            </w:pPr>
            <w:r>
              <w:rPr>
                <w:rFonts w:ascii="Arial" w:cs="Arial" w:eastAsia="Arial" w:hAnsi="Arial"/>
                <w:sz w:val="18"/>
                <w:szCs w:val="18"/>
                <w:color w:val="auto"/>
              </w:rPr>
              <w:t>Weighted average shares outstanding for basic earnings per share</w:t>
            </w:r>
          </w:p>
        </w:tc>
        <w:tc>
          <w:tcPr>
            <w:tcW w:w="160" w:type="dxa"/>
            <w:vAlign w:val="bottom"/>
          </w:tcPr>
          <w:p>
            <w:pPr>
              <w:spacing w:after="0"/>
              <w:rPr>
                <w:sz w:val="19"/>
                <w:szCs w:val="19"/>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72,905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72,869</w:t>
            </w:r>
          </w:p>
        </w:tc>
      </w:tr>
      <w:tr>
        <w:trPr>
          <w:trHeight w:val="230"/>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 stock options, restricted stock units, and performance units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173</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w:t>
            </w:r>
          </w:p>
        </w:tc>
      </w:tr>
      <w:tr>
        <w:trPr>
          <w:trHeight w:val="223"/>
        </w:trPr>
        <w:tc>
          <w:tcPr>
            <w:tcW w:w="7920" w:type="dxa"/>
            <w:vAlign w:val="bottom"/>
          </w:tcPr>
          <w:p>
            <w:pPr>
              <w:ind w:left="20"/>
              <w:spacing w:after="0"/>
              <w:rPr>
                <w:sz w:val="20"/>
                <w:szCs w:val="20"/>
                <w:color w:val="auto"/>
              </w:rPr>
            </w:pPr>
            <w:r>
              <w:rPr>
                <w:rFonts w:ascii="Arial" w:cs="Arial" w:eastAsia="Arial" w:hAnsi="Arial"/>
                <w:sz w:val="18"/>
                <w:szCs w:val="18"/>
                <w:color w:val="auto"/>
              </w:rPr>
              <w:t>Weighted average shares outstanding for diluted earnings per share</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73,078</w:t>
            </w:r>
          </w:p>
        </w:tc>
        <w:tc>
          <w:tcPr>
            <w:tcW w:w="1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73,014</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r>
      <w:tr>
        <w:trPr>
          <w:trHeight w:val="247"/>
        </w:trPr>
        <w:tc>
          <w:tcPr>
            <w:tcW w:w="79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1.63</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r>
    </w:tbl>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Per share information is based on the weighted average number of common shares outstanding for the three months ended September 30, 2024, and 2023. Stock options, restricted stock units, and performance units have been included in the calculation of diluted earnings per share to the extent they are dilutive. There were nominal anti-dilutive stock options, restricted stock units, or performance units excluded for the three months ended September 30, 2024 and 2023.</w:t>
      </w:r>
    </w:p>
    <w:p>
      <w:pPr>
        <w:spacing w:after="0" w:line="1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10.</w:t>
      </w:r>
      <w:r>
        <w:rPr>
          <w:sz w:val="20"/>
          <w:szCs w:val="20"/>
          <w:color w:val="auto"/>
        </w:rPr>
        <w:tab/>
      </w:r>
      <w:r>
        <w:rPr>
          <w:rFonts w:ascii="Arial" w:cs="Arial" w:eastAsia="Arial" w:hAnsi="Arial"/>
          <w:sz w:val="17"/>
          <w:szCs w:val="17"/>
          <w:color w:val="auto"/>
        </w:rPr>
        <w:t>REPORTABLE SEGMENT INFORMATION</w:t>
      </w:r>
    </w:p>
    <w:p>
      <w:pPr>
        <w:spacing w:after="0" w:line="25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Company is a well-rounded financial technology company and is a leading provider of technology solutions and payment processing services primarily to community and regional financial institutions.</w:t>
      </w:r>
    </w:p>
    <w:p>
      <w:pPr>
        <w:spacing w:after="0" w:line="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processing services, online and mobile bill pay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solutions, Automated Clearing House (“ACH”) origination and remote deposit capture processing, and risk management products and services. The Complementary segment provides additional software, hosted processing platforms, and services, including digital/mobile banking, treasury services, online account opening, fraud/anti-money laundering ("AML") and lending/deposit solutions that can be integrated with the Company's Core solutions, and many can be used independently. The Corporate and Other segment includes revenue and costs from hardware and other products not attributed to any of the other three segments, as well as operating expenses not directly attributable to the other three segments.</w:t>
      </w:r>
    </w:p>
    <w:p>
      <w:pPr>
        <w:spacing w:after="0" w:line="4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evaluates the performance of its segments and allocates resources to them based on various factors, including performance against trend, budget, and forecast. Only revenue and costs of revenue are considered in the evaluation for each segment.</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Immaterial adjustments have been made between segments to reclassify cost of revenue that was recognized for the three months ended September 30, 2023. These reclasses were made to be consistent with the current allocation of cost of revenue by segment. Cost of revenue reclassed for the three months ended September 30, 2023, from Complementary to Corporate and Other, was $1,318.</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6"/>
                <w:szCs w:val="16"/>
                <w:b w:val="1"/>
                <w:bCs w:val="1"/>
                <w:color w:val="auto"/>
              </w:rPr>
              <w:t>September 30, 2024</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3"/>
                <w:szCs w:val="13"/>
                <w:color w:val="auto"/>
              </w:rPr>
            </w:pPr>
          </w:p>
        </w:tc>
        <w:tc>
          <w:tcPr>
            <w:tcW w:w="16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Complementary</w:t>
            </w:r>
          </w:p>
        </w:tc>
        <w:tc>
          <w:tcPr>
            <w:tcW w:w="140" w:type="dxa"/>
            <w:vAlign w:val="bottom"/>
          </w:tcPr>
          <w:p>
            <w:pPr>
              <w:spacing w:after="0"/>
              <w:rPr>
                <w:sz w:val="13"/>
                <w:szCs w:val="13"/>
                <w:color w:val="auto"/>
              </w:rPr>
            </w:pPr>
          </w:p>
        </w:tc>
        <w:tc>
          <w:tcPr>
            <w:tcW w:w="1360" w:type="dxa"/>
            <w:vAlign w:val="bottom"/>
          </w:tcPr>
          <w:p>
            <w:pPr>
              <w:jc w:val="right"/>
              <w:ind w:right="119"/>
              <w:spacing w:after="0" w:line="155" w:lineRule="exact"/>
              <w:rPr>
                <w:sz w:val="20"/>
                <w:szCs w:val="20"/>
                <w:color w:val="auto"/>
              </w:rPr>
            </w:pPr>
            <w:r>
              <w:rPr>
                <w:rFonts w:ascii="Arial" w:cs="Arial" w:eastAsia="Arial" w:hAnsi="Arial"/>
                <w:sz w:val="16"/>
                <w:szCs w:val="16"/>
                <w:b w:val="1"/>
                <w:bCs w:val="1"/>
                <w:color w:val="auto"/>
              </w:rPr>
              <w:t>Corporate and</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3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459"/>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6"/>
                <w:szCs w:val="16"/>
                <w:color w:val="auto"/>
              </w:rPr>
              <w:t>Services and Support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184,866</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22,743</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129,993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19,077</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356,679</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189,180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41,709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244,303</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CCEEFF"/>
            </w:tcBorders>
          </w:tcPr>
          <w:p>
            <w:pPr>
              <w:ind w:left="56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211,923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171,702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21,733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600,982</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81,420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113,020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65,967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83,025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343,432</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39,686</w:t>
            </w:r>
          </w:p>
        </w:tc>
        <w:tc>
          <w:tcPr>
            <w:tcW w:w="0" w:type="dxa"/>
            <w:vAlign w:val="bottom"/>
          </w:tcPr>
          <w:p>
            <w:pPr>
              <w:spacing w:after="0"/>
              <w:rPr>
                <w:sz w:val="1"/>
                <w:szCs w:val="1"/>
                <w:color w:val="auto"/>
              </w:rPr>
            </w:pPr>
          </w:p>
        </w:tc>
      </w:tr>
      <w:tr>
        <w:trPr>
          <w:trHeight w:val="215"/>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4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3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66,588</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449,706</w:t>
            </w:r>
          </w:p>
        </w:tc>
        <w:tc>
          <w:tcPr>
            <w:tcW w:w="0" w:type="dxa"/>
            <w:vAlign w:val="bottom"/>
          </w:tcPr>
          <w:p>
            <w:pPr>
              <w:spacing w:after="0"/>
              <w:rPr>
                <w:sz w:val="1"/>
                <w:szCs w:val="1"/>
                <w:color w:val="auto"/>
              </w:rPr>
            </w:pPr>
          </w:p>
        </w:tc>
      </w:tr>
      <w:tr>
        <w:trPr>
          <w:trHeight w:val="256"/>
        </w:trPr>
        <w:tc>
          <w:tcPr>
            <w:tcW w:w="3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114,204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98,903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105,735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(61,292)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151,276</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5,522</w:t>
            </w: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tcPr>
          <w:p>
            <w:pPr>
              <w:spacing w:after="0"/>
              <w:rPr>
                <w:sz w:val="22"/>
                <w:szCs w:val="22"/>
                <w:color w:val="auto"/>
              </w:rPr>
            </w:pPr>
          </w:p>
        </w:tc>
        <w:tc>
          <w:tcPr>
            <w:tcW w:w="320" w:type="dxa"/>
            <w:vAlign w:val="bottom"/>
            <w:tcBorders>
              <w:bottom w:val="single" w:sz="8" w:color="CECECE"/>
            </w:tcBorders>
          </w:tcPr>
          <w:p>
            <w:pPr>
              <w:spacing w:after="0"/>
              <w:rPr>
                <w:sz w:val="22"/>
                <w:szCs w:val="22"/>
                <w:color w:val="auto"/>
              </w:rPr>
            </w:pPr>
          </w:p>
        </w:tc>
        <w:tc>
          <w:tcPr>
            <w:tcW w:w="11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40" w:type="dxa"/>
            <w:vAlign w:val="bottom"/>
            <w:tcBorders>
              <w:bottom w:val="single" w:sz="8" w:color="CECECE"/>
            </w:tcBorders>
          </w:tcPr>
          <w:p>
            <w:pPr>
              <w:spacing w:after="0"/>
              <w:rPr>
                <w:sz w:val="22"/>
                <w:szCs w:val="22"/>
                <w:color w:val="auto"/>
              </w:rPr>
            </w:pPr>
          </w:p>
        </w:tc>
        <w:tc>
          <w:tcPr>
            <w:tcW w:w="12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16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1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360" w:type="dxa"/>
            <w:vAlign w:val="bottom"/>
            <w:tcBorders>
              <w:bottom w:val="single" w:sz="8" w:color="CECECE"/>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ECECE"/>
            </w:tcBorders>
            <w:shd w:val="clear" w:color="auto" w:fill="CECECE"/>
          </w:tcPr>
          <w:p>
            <w:pPr>
              <w:spacing w:after="0"/>
              <w:rPr>
                <w:sz w:val="19"/>
                <w:szCs w:val="19"/>
                <w:color w:val="auto"/>
              </w:rPr>
            </w:pPr>
          </w:p>
        </w:tc>
        <w:tc>
          <w:tcPr>
            <w:tcW w:w="11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4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1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36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156,798</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ECECE"/>
            </w:tcBorders>
          </w:tcPr>
          <w:p>
            <w:pPr>
              <w:spacing w:after="0" w:line="20" w:lineRule="exact"/>
              <w:rPr>
                <w:sz w:val="1"/>
                <w:szCs w:val="1"/>
                <w:color w:val="auto"/>
              </w:rPr>
            </w:pPr>
          </w:p>
        </w:tc>
        <w:tc>
          <w:tcPr>
            <w:tcW w:w="11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4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48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140" w:type="dxa"/>
            <w:vAlign w:val="bottom"/>
            <w:tcBorders>
              <w:top w:val="single" w:sz="8" w:color="CECECE"/>
            </w:tcBorders>
          </w:tcPr>
          <w:p>
            <w:pPr>
              <w:spacing w:after="0" w:line="20" w:lineRule="exact"/>
              <w:rPr>
                <w:sz w:val="1"/>
                <w:szCs w:val="1"/>
                <w:color w:val="auto"/>
              </w:rPr>
            </w:pPr>
          </w:p>
        </w:tc>
        <w:tc>
          <w:tcPr>
            <w:tcW w:w="136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4"/>
        </w:trPr>
        <w:tc>
          <w:tcPr>
            <w:tcW w:w="324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4"/>
        </w:trPr>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rPr>
              <w:t>September 30, 2023</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3"/>
                <w:szCs w:val="13"/>
                <w:color w:val="auto"/>
              </w:rPr>
            </w:pPr>
          </w:p>
        </w:tc>
        <w:tc>
          <w:tcPr>
            <w:tcW w:w="15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Complementary</w:t>
            </w:r>
          </w:p>
        </w:tc>
        <w:tc>
          <w:tcPr>
            <w:tcW w:w="160" w:type="dxa"/>
            <w:vAlign w:val="bottom"/>
          </w:tcPr>
          <w:p>
            <w:pPr>
              <w:spacing w:after="0"/>
              <w:rPr>
                <w:sz w:val="13"/>
                <w:szCs w:val="13"/>
                <w:color w:val="auto"/>
              </w:rPr>
            </w:pPr>
          </w:p>
        </w:tc>
        <w:tc>
          <w:tcPr>
            <w:tcW w:w="1340" w:type="dxa"/>
            <w:vAlign w:val="bottom"/>
          </w:tcPr>
          <w:p>
            <w:pPr>
              <w:jc w:val="right"/>
              <w:ind w:right="99"/>
              <w:spacing w:after="0" w:line="155" w:lineRule="exact"/>
              <w:rPr>
                <w:sz w:val="20"/>
                <w:szCs w:val="20"/>
                <w:color w:val="auto"/>
              </w:rPr>
            </w:pPr>
            <w:r>
              <w:rPr>
                <w:rFonts w:ascii="Arial" w:cs="Arial" w:eastAsia="Arial" w:hAnsi="Arial"/>
                <w:sz w:val="16"/>
                <w:szCs w:val="16"/>
                <w:b w:val="1"/>
                <w:bCs w:val="1"/>
                <w:color w:val="auto"/>
              </w:rPr>
              <w:t>Corporate and</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439"/>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140"/>
              <w:spacing w:after="0"/>
              <w:rPr>
                <w:sz w:val="20"/>
                <w:szCs w:val="20"/>
                <w:color w:val="auto"/>
              </w:rPr>
            </w:pPr>
            <w:r>
              <w:rPr>
                <w:rFonts w:ascii="Arial" w:cs="Arial" w:eastAsia="Arial" w:hAnsi="Arial"/>
                <w:sz w:val="16"/>
                <w:szCs w:val="16"/>
                <w:color w:val="auto"/>
              </w:rPr>
              <w:t>Services and Support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175,744</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19,903</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124,270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22,288</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342,205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179,455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37,096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b w:val="1"/>
                <w:bCs w:val="1"/>
                <w:color w:val="auto"/>
              </w:rPr>
              <w:t>Total Revenue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186,439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199,358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161,366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24,205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571,368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2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75,927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108,826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60,957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77,292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323,002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36,892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40" w:type="dxa"/>
            <w:vAlign w:val="bottom"/>
            <w:tcBorders>
              <w:bottom w:val="single" w:sz="8" w:color="CECECE"/>
            </w:tcBorders>
            <w:shd w:val="clear" w:color="auto" w:fill="CECECE"/>
          </w:tcPr>
          <w:p>
            <w:pPr>
              <w:spacing w:after="0"/>
              <w:rPr>
                <w:sz w:val="18"/>
                <w:szCs w:val="18"/>
                <w:color w:val="auto"/>
              </w:rPr>
            </w:pPr>
          </w:p>
        </w:tc>
        <w:tc>
          <w:tcPr>
            <w:tcW w:w="124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34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438,668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2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110,512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90,532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100,409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(53,087)</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20" w:type="dxa"/>
            <w:vAlign w:val="bottom"/>
            <w:tcBorders>
              <w:bottom w:val="single" w:sz="8" w:color="CCEEFF"/>
            </w:tcBorders>
            <w:gridSpan w:val="2"/>
          </w:tcPr>
          <w:p>
            <w:pPr>
              <w:spacing w:after="0"/>
              <w:rPr>
                <w:sz w:val="22"/>
                <w:szCs w:val="22"/>
                <w:color w:val="auto"/>
              </w:rPr>
            </w:pPr>
          </w:p>
        </w:tc>
        <w:tc>
          <w:tcPr>
            <w:tcW w:w="340" w:type="dxa"/>
            <w:vAlign w:val="bottom"/>
            <w:tcBorders>
              <w:bottom w:val="single" w:sz="8" w:color="CECECE"/>
            </w:tcBorders>
          </w:tcPr>
          <w:p>
            <w:pPr>
              <w:spacing w:after="0"/>
              <w:rPr>
                <w:sz w:val="22"/>
                <w:szCs w:val="22"/>
                <w:color w:val="auto"/>
              </w:rPr>
            </w:pPr>
          </w:p>
        </w:tc>
        <w:tc>
          <w:tcPr>
            <w:tcW w:w="11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40" w:type="dxa"/>
            <w:vAlign w:val="bottom"/>
            <w:tcBorders>
              <w:bottom w:val="single" w:sz="8" w:color="CECECE"/>
            </w:tcBorders>
          </w:tcPr>
          <w:p>
            <w:pPr>
              <w:spacing w:after="0"/>
              <w:rPr>
                <w:sz w:val="22"/>
                <w:szCs w:val="22"/>
                <w:color w:val="auto"/>
              </w:rPr>
            </w:pPr>
          </w:p>
        </w:tc>
        <w:tc>
          <w:tcPr>
            <w:tcW w:w="1240" w:type="dxa"/>
            <w:vAlign w:val="bottom"/>
            <w:tcBorders>
              <w:bottom w:val="single" w:sz="8" w:color="CECECE"/>
            </w:tcBorders>
          </w:tcPr>
          <w:p>
            <w:pPr>
              <w:spacing w:after="0"/>
              <w:rPr>
                <w:sz w:val="22"/>
                <w:szCs w:val="22"/>
                <w:color w:val="auto"/>
              </w:rPr>
            </w:pPr>
          </w:p>
        </w:tc>
        <w:tc>
          <w:tcPr>
            <w:tcW w:w="120" w:type="dxa"/>
            <w:vAlign w:val="bottom"/>
            <w:tcBorders>
              <w:bottom w:val="single" w:sz="8" w:color="CECECE"/>
            </w:tcBorders>
          </w:tcPr>
          <w:p>
            <w:pPr>
              <w:spacing w:after="0"/>
              <w:rPr>
                <w:sz w:val="22"/>
                <w:szCs w:val="22"/>
                <w:color w:val="auto"/>
              </w:rPr>
            </w:pPr>
          </w:p>
        </w:tc>
        <w:tc>
          <w:tcPr>
            <w:tcW w:w="16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160" w:type="dxa"/>
            <w:vAlign w:val="bottom"/>
            <w:tcBorders>
              <w:bottom w:val="single" w:sz="8" w:color="CECECE"/>
            </w:tcBorders>
          </w:tcPr>
          <w:p>
            <w:pPr>
              <w:spacing w:after="0"/>
              <w:rPr>
                <w:sz w:val="22"/>
                <w:szCs w:val="22"/>
                <w:color w:val="auto"/>
              </w:rPr>
            </w:pPr>
          </w:p>
        </w:tc>
        <w:tc>
          <w:tcPr>
            <w:tcW w:w="1340" w:type="dxa"/>
            <w:vAlign w:val="bottom"/>
            <w:tcBorders>
              <w:bottom w:val="single" w:sz="8" w:color="CECECE"/>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19"/>
                <w:szCs w:val="19"/>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bottom w:val="single" w:sz="8" w:color="CECECE"/>
            </w:tcBorders>
            <w:shd w:val="clear" w:color="auto" w:fill="CECECE"/>
          </w:tcPr>
          <w:p>
            <w:pPr>
              <w:spacing w:after="0"/>
              <w:rPr>
                <w:sz w:val="19"/>
                <w:szCs w:val="19"/>
                <w:color w:val="auto"/>
              </w:rPr>
            </w:pPr>
          </w:p>
        </w:tc>
        <w:tc>
          <w:tcPr>
            <w:tcW w:w="11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40" w:type="dxa"/>
            <w:vAlign w:val="bottom"/>
            <w:tcBorders>
              <w:bottom w:val="single" w:sz="8" w:color="CECECE"/>
            </w:tcBorders>
            <w:shd w:val="clear" w:color="auto" w:fill="CECECE"/>
          </w:tcPr>
          <w:p>
            <w:pPr>
              <w:spacing w:after="0"/>
              <w:rPr>
                <w:sz w:val="19"/>
                <w:szCs w:val="19"/>
                <w:color w:val="auto"/>
              </w:rPr>
            </w:pPr>
          </w:p>
        </w:tc>
        <w:tc>
          <w:tcPr>
            <w:tcW w:w="1240" w:type="dxa"/>
            <w:vAlign w:val="bottom"/>
            <w:tcBorders>
              <w:bottom w:val="single" w:sz="8" w:color="CECECE"/>
            </w:tcBorders>
            <w:shd w:val="clear" w:color="auto" w:fill="CECECE"/>
          </w:tcPr>
          <w:p>
            <w:pPr>
              <w:spacing w:after="0"/>
              <w:rPr>
                <w:sz w:val="19"/>
                <w:szCs w:val="19"/>
                <w:color w:val="auto"/>
              </w:rPr>
            </w:pPr>
          </w:p>
        </w:tc>
        <w:tc>
          <w:tcPr>
            <w:tcW w:w="12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340" w:type="dxa"/>
            <w:vAlign w:val="bottom"/>
            <w:tcBorders>
              <w:bottom w:val="single" w:sz="8" w:color="CECECE"/>
            </w:tcBorders>
            <w:shd w:val="clear" w:color="auto" w:fill="CECEC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ECECE"/>
            </w:tcBorders>
          </w:tcPr>
          <w:p>
            <w:pPr>
              <w:spacing w:after="0" w:line="20" w:lineRule="exact"/>
              <w:rPr>
                <w:sz w:val="1"/>
                <w:szCs w:val="1"/>
                <w:color w:val="auto"/>
              </w:rPr>
            </w:pPr>
          </w:p>
        </w:tc>
        <w:tc>
          <w:tcPr>
            <w:tcW w:w="11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40" w:type="dxa"/>
            <w:vAlign w:val="bottom"/>
            <w:tcBorders>
              <w:top w:val="single" w:sz="8" w:color="CECECE"/>
            </w:tcBorders>
          </w:tcPr>
          <w:p>
            <w:pPr>
              <w:spacing w:after="0" w:line="20" w:lineRule="exact"/>
              <w:rPr>
                <w:sz w:val="1"/>
                <w:szCs w:val="1"/>
                <w:color w:val="auto"/>
              </w:rPr>
            </w:pPr>
          </w:p>
        </w:tc>
        <w:tc>
          <w:tcPr>
            <w:tcW w:w="124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48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340" w:type="dxa"/>
            <w:vAlign w:val="bottom"/>
            <w:tcBorders>
              <w:top w:val="single" w:sz="8" w:color="CECEC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not disclosed any additional asset information by segment, as the information is not generated for internal management reporting to the Chief Executive Officer, who is also the Chief Operating Decision Maker.</w:t>
      </w:r>
    </w:p>
    <w:p>
      <w:pPr>
        <w:spacing w:after="0" w:line="1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11.</w:t>
        <w:tab/>
        <w:t>SUBSEQUENT EVENTS</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On October 31, 2024, the Company entered into a new line of credit, the Discretionary Line of Credit Demand Note, with Fifth Third Bank in the amount of $50,000 and bears interest at the prime rate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2.0%. The line of credit renews annually.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discussion and analysis should be read in conjunction with the condensed consolidated financial statements and the accompanying notes to the condensed consolidated financial statements included in this Form 10-Q for the fiscal quarter ended September 30, 2024.</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Jack Henry &amp; Associates, Inc. is a well-rounded financial technology company headquartered in Monett, Missouri, that employs approximately 7,170 full-time and part-time associates nationwide, and is a leading provider of technology solutions and payment processing services primarily to community and regional financial institutions. Our solutions serve approximately 7,500 clients and consist of integrated data processing systems solutions to U.S. banks ranging from de novo to multi-billion-dollar institutions with assets up to $50 billion, core data processing solutions for credit unions of all sizes, and non-core highly specialized core-agnostic products and services that enable financial institutions of every asset size and charter, and diverse corporate entities outside the financial services industry, to mitigate and control risks, optimize revenue and growth opportunities, and contain costs. Our integrated solutions are available for on-premise installation and delivery in our private and public cloud.</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of our solutions shares the fundamental commitment to provide high-quality business systems, service levels that consistently exceed client expectations, and integration of solutions and practical new technologies. The quality of our solutions, our high service standards, and the fundamental way we do business typically foster long-term client relationships, attract prospective clients, and have enabled us to capture substantial market share.</w:t>
      </w:r>
    </w:p>
    <w:p>
      <w:pPr>
        <w:spacing w:after="0" w:line="4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Through internal product development, disciplined acquisitions, and alliances with companies offering niche solutions that complement our proprietary solutions, we regularly introduce new products and services and generate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new cross-sales opportunities. We provide compatible computer hardware for our on-premise installations and secure processing environments for our outsourced solutions in our private and public cloud. We perform data conversions, software implementations, initial and ongoing client training, and ongoing client support services.</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primary competitive advantage is client service. Our support infrastructure and strict standards provide service levels that generate high levels of client satisfaction and retention. We consistently measure client satisfaction using a variety of surveys, such as an annual survey on the client's anniversary date and randomly-generated surveys initiated each day by routine support requests. Dedicated surveys are also used to grade specific aspects of our client experience, including product implementation, education, and consulting services.</w:t>
      </w:r>
    </w:p>
    <w:p>
      <w:pPr>
        <w:spacing w:after="0" w:line="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two primary revenue streams are “services and support” and “processing.” Services and support includes: “private and public cloud” revenues that predominantly have contract terms of six years at inception; “product delivery and services” revenues, which include revenues from the sales of licenses, implementation services, deconversions, consulting, and hardware; and “on-premise support” revenues, composed of maintenance fees that primarily contain annual contract terms. Processing includes: "remittance” revenues from payment processing, remote capture, and ACH transactions; “card” revenues, including card transaction processing and monthly fees; and “transaction and digital” revenues, which include transaction and mobile processing revenues. We continually seek opportunities to increase revenue while at the same time containing costs to expand margins.</w:t>
      </w:r>
    </w:p>
    <w:p>
      <w:pPr>
        <w:spacing w:after="0" w:line="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four reportable segments: Core, Payments, Complementary, and Corporate and Other. The respective segments include all related revenues along with the related cost of revenue.</w:t>
      </w:r>
    </w:p>
    <w:p>
      <w:pPr>
        <w:spacing w:after="0" w:line="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detailed discussion of the major components of the results of operations follows. All amounts in the following discussion are in thousands, except per share amounts.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first quarter of fiscal 2025, total revenue increased 5.2%, or $29,614, compared to the same quarter in fiscal 2024. Total revenue less deconversion revenue of $3,697 for the current fiscal quarter and less deconversion revenues of $4,136 for the prior fiscal year first quarter results in an increase of 5.3%, quarter over quarter. This increase was primarily driven by growth in data processing and hosting, card, and Jack Henry digital revenues, including Banno.</w:t>
      </w:r>
    </w:p>
    <w:p>
      <w:pPr>
        <w:spacing w:after="0" w:line="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expenses increased 2.5%, or $11,038, for the first quarter of fiscal 2025 compared to the first quarter of fiscal 2024. Total operating expenses less deconversion operating expenses of $202 for the current fiscal quarter and less deconversion operating expenses of $381 and non-recurring expenses of $16,443 for the prior fiscal year first quarter results in an increase of 6.6%. This increase was primarily driven by higher personnel and direct costs, increased internal licenses and fees, and higher amortization.</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income increased 14.0%, or $18,576, for the first quarter of fiscal 2025 compared to the first quarter of fiscal 2024. Removing from total operating income the effects of deconversion operating income of $3,495 for the current fiscal quarter and deconversion operating income of $3,755 and non-recurring expenses of $16,443 for the prior fiscal year first quarter results in an increase of 1.6%, quarter over quarter. This increase was primarily driven by revenue growth partially offset by increased operating expenses detailed above.</w:t>
      </w:r>
    </w:p>
    <w:p>
      <w:pPr>
        <w:spacing w:after="0" w:line="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provision for income taxes increased 19.1%, or $6,038, for the first quarter of fiscal 2025, compared to the first quarter of fiscal 2024, primarily driven by the increase in income before income taxes. The effective tax rate for the current fiscal first quarter was 24.0% compared to 23.7% for the same quarter a year ago.</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increased 17.2%, or $17,512, for the first quarter of fiscal 2025, compared to the first quarter of fiscal 2024. Removing from total net income the effects of deconversion net income of $ 2,656 for the current fiscal year first quarter and deconversion net income of $2,854 and the VEDIP program net loss of $12,497 for the prior fiscal year first quarter, results in a 4.7% increase quarter over quarter. This increase was primarily due to net organic growth in our lines of revenue for the first quarter of fiscal 2025 partially offset by higher operating expenses and the increased provision for income taxes compared to the same quarter last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move into the second quarter of fiscal 2025, significant portions of our business continue to provide recurring revenue and our sales pipeline is also encouraging. Our clients continue to face regulatory and operational challenges which our products and services address, and in these times they have an even greater need for our solutions that directly address institutional profitability, efficiency, and security. We believe our strong balance sheet, access to extensive lines of credit, the strength of our existing product line, and an unwavering commitment to superior client service position us well to address current and future opportunities.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the major components of the results of operations for the three months ended September 30, 2024, follows.</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Discussions compare the current fiscal year's three months ended September 30, 2024, to the prior fiscal year's three months ended September 30,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00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Services and Support</w:t>
            </w:r>
          </w:p>
        </w:tc>
        <w:tc>
          <w:tcPr>
            <w:tcW w:w="3100" w:type="dxa"/>
            <w:vAlign w:val="bottom"/>
            <w:gridSpan w:val="8"/>
            <w:vMerge w:val="restart"/>
          </w:tcPr>
          <w:p>
            <w:pPr>
              <w:ind w:left="40"/>
              <w:spacing w:after="0"/>
              <w:rPr>
                <w:sz w:val="20"/>
                <w:szCs w:val="20"/>
                <w:color w:val="auto"/>
              </w:rPr>
            </w:pPr>
            <w:r>
              <w:rPr>
                <w:rFonts w:ascii="Arial" w:cs="Arial" w:eastAsia="Arial" w:hAnsi="Arial"/>
                <w:sz w:val="18"/>
                <w:szCs w:val="18"/>
                <w:color w:val="auto"/>
              </w:rPr>
              <w:t>Three Months Ended September 30,</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000" w:type="dxa"/>
            <w:vAlign w:val="bottom"/>
          </w:tcPr>
          <w:p>
            <w:pPr>
              <w:spacing w:after="0"/>
              <w:rPr>
                <w:sz w:val="20"/>
                <w:szCs w:val="20"/>
                <w:color w:val="auto"/>
              </w:rPr>
            </w:pPr>
          </w:p>
        </w:tc>
        <w:tc>
          <w:tcPr>
            <w:tcW w:w="3100" w:type="dxa"/>
            <w:vAlign w:val="bottom"/>
            <w:gridSpan w:val="8"/>
            <w:vMerge w:val="continue"/>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70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3"/>
          </w:tcPr>
          <w:p>
            <w:pPr>
              <w:jc w:val="right"/>
              <w:ind w:right="580"/>
              <w:spacing w:after="0" w:line="182" w:lineRule="exact"/>
              <w:rPr>
                <w:sz w:val="20"/>
                <w:szCs w:val="20"/>
                <w:color w:val="auto"/>
              </w:rPr>
            </w:pPr>
            <w:r>
              <w:rPr>
                <w:rFonts w:ascii="Arial" w:cs="Arial" w:eastAsia="Arial" w:hAnsi="Arial"/>
                <w:sz w:val="18"/>
                <w:szCs w:val="18"/>
                <w:b w:val="1"/>
                <w:bCs w:val="1"/>
                <w:color w:val="auto"/>
              </w:rPr>
              <w:t>2024</w:t>
            </w:r>
          </w:p>
        </w:tc>
        <w:tc>
          <w:tcPr>
            <w:tcW w:w="5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520"/>
              <w:spacing w:after="0" w:line="182" w:lineRule="exact"/>
              <w:rPr>
                <w:sz w:val="20"/>
                <w:szCs w:val="20"/>
                <w:color w:val="auto"/>
              </w:rPr>
            </w:pPr>
            <w:r>
              <w:rPr>
                <w:rFonts w:ascii="Arial" w:cs="Arial" w:eastAsia="Arial" w:hAnsi="Arial"/>
                <w:sz w:val="18"/>
                <w:szCs w:val="18"/>
                <w:color w:val="auto"/>
                <w:w w:val="94"/>
              </w:rPr>
              <w:t>2023</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and Support</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356,679</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342,205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4.2 %</w:t>
            </w:r>
          </w:p>
        </w:tc>
        <w:tc>
          <w:tcPr>
            <w:tcW w:w="0" w:type="dxa"/>
            <w:vAlign w:val="bottom"/>
          </w:tcPr>
          <w:p>
            <w:pPr>
              <w:spacing w:after="0"/>
              <w:rPr>
                <w:sz w:val="1"/>
                <w:szCs w:val="1"/>
                <w:color w:val="auto"/>
              </w:rPr>
            </w:pPr>
          </w:p>
        </w:tc>
      </w:tr>
      <w:tr>
        <w:trPr>
          <w:trHeight w:val="247"/>
        </w:trPr>
        <w:tc>
          <w:tcPr>
            <w:tcW w:w="70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1"/>
                <w:szCs w:val="21"/>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59 %</w:t>
            </w:r>
          </w:p>
        </w:tc>
        <w:tc>
          <w:tcPr>
            <w:tcW w:w="5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Services and support revenue increased 4.2% for the first quarter of fiscal 2025 compared to the same quarter a year ago. Reducing services and support revenue for deconversion revenue from each quarter, which was $3,697 for the current fiscal year quarter and $4,136 for the prior fiscal year quarter, results in growth of 4.4% quarter over quarter. This increase was primarily driven by double-digit growth in data processing and hosting revenues as new and existing clients migrate to our private cloud and processing volumes expand.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Processing</w:t>
            </w:r>
          </w:p>
        </w:tc>
        <w:tc>
          <w:tcPr>
            <w:tcW w:w="3100" w:type="dxa"/>
            <w:vAlign w:val="bottom"/>
            <w:gridSpan w:val="8"/>
            <w:vMerge w:val="restart"/>
          </w:tcPr>
          <w:p>
            <w:pPr>
              <w:ind w:left="40"/>
              <w:spacing w:after="0"/>
              <w:rPr>
                <w:sz w:val="20"/>
                <w:szCs w:val="20"/>
                <w:color w:val="auto"/>
              </w:rPr>
            </w:pPr>
            <w:r>
              <w:rPr>
                <w:rFonts w:ascii="Arial" w:cs="Arial" w:eastAsia="Arial" w:hAnsi="Arial"/>
                <w:sz w:val="18"/>
                <w:szCs w:val="18"/>
                <w:color w:val="auto"/>
              </w:rPr>
              <w:t>Three Months Ended September 30,</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000" w:type="dxa"/>
            <w:vAlign w:val="bottom"/>
          </w:tcPr>
          <w:p>
            <w:pPr>
              <w:spacing w:after="0"/>
              <w:rPr>
                <w:sz w:val="20"/>
                <w:szCs w:val="20"/>
                <w:color w:val="auto"/>
              </w:rPr>
            </w:pPr>
          </w:p>
        </w:tc>
        <w:tc>
          <w:tcPr>
            <w:tcW w:w="3100" w:type="dxa"/>
            <w:vAlign w:val="bottom"/>
            <w:gridSpan w:val="8"/>
            <w:vMerge w:val="continue"/>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70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3"/>
          </w:tcPr>
          <w:p>
            <w:pPr>
              <w:jc w:val="right"/>
              <w:ind w:right="580"/>
              <w:spacing w:after="0" w:line="182" w:lineRule="exact"/>
              <w:rPr>
                <w:sz w:val="20"/>
                <w:szCs w:val="20"/>
                <w:color w:val="auto"/>
              </w:rPr>
            </w:pPr>
            <w:r>
              <w:rPr>
                <w:rFonts w:ascii="Arial" w:cs="Arial" w:eastAsia="Arial" w:hAnsi="Arial"/>
                <w:sz w:val="18"/>
                <w:szCs w:val="18"/>
                <w:b w:val="1"/>
                <w:bCs w:val="1"/>
                <w:color w:val="auto"/>
              </w:rPr>
              <w:t>2024</w:t>
            </w:r>
          </w:p>
        </w:tc>
        <w:tc>
          <w:tcPr>
            <w:tcW w:w="5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520"/>
              <w:spacing w:after="0" w:line="182" w:lineRule="exact"/>
              <w:rPr>
                <w:sz w:val="20"/>
                <w:szCs w:val="20"/>
                <w:color w:val="auto"/>
              </w:rPr>
            </w:pPr>
            <w:r>
              <w:rPr>
                <w:rFonts w:ascii="Arial" w:cs="Arial" w:eastAsia="Arial" w:hAnsi="Arial"/>
                <w:sz w:val="18"/>
                <w:szCs w:val="18"/>
                <w:color w:val="auto"/>
                <w:w w:val="94"/>
              </w:rPr>
              <w:t>2023</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244,303</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229,163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6.6 %</w:t>
            </w:r>
          </w:p>
        </w:tc>
        <w:tc>
          <w:tcPr>
            <w:tcW w:w="0" w:type="dxa"/>
            <w:vAlign w:val="bottom"/>
          </w:tcPr>
          <w:p>
            <w:pPr>
              <w:spacing w:after="0"/>
              <w:rPr>
                <w:sz w:val="1"/>
                <w:szCs w:val="1"/>
                <w:color w:val="auto"/>
              </w:rPr>
            </w:pPr>
          </w:p>
        </w:tc>
      </w:tr>
      <w:tr>
        <w:trPr>
          <w:trHeight w:val="247"/>
        </w:trPr>
        <w:tc>
          <w:tcPr>
            <w:tcW w:w="70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1"/>
                <w:szCs w:val="21"/>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41 %</w:t>
            </w:r>
          </w:p>
        </w:tc>
        <w:tc>
          <w:tcPr>
            <w:tcW w:w="5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Processing revenue increased 6.6% for the first quarter of fiscal 2025 compared to the same quarter last fiscal year. This increase was primarily driven by growth in card revenue primarily from monthly service and risk management fees, improvement in Jack Henry digital revenue (including Banno) from a higher number of active users and expanding volumes from existing products and the recent introduction of new add-on products, and higher payment processing revenues from expanding volumes and new client revenue. Deconversion revenue did not significantly affect processing revenue quarter over quarter.</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0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Cost of Revenue</w:t>
            </w:r>
          </w:p>
        </w:tc>
        <w:tc>
          <w:tcPr>
            <w:tcW w:w="3100" w:type="dxa"/>
            <w:vAlign w:val="bottom"/>
            <w:gridSpan w:val="8"/>
            <w:vMerge w:val="restart"/>
          </w:tcPr>
          <w:p>
            <w:pPr>
              <w:ind w:left="40"/>
              <w:spacing w:after="0"/>
              <w:rPr>
                <w:sz w:val="20"/>
                <w:szCs w:val="20"/>
                <w:color w:val="auto"/>
              </w:rPr>
            </w:pPr>
            <w:r>
              <w:rPr>
                <w:rFonts w:ascii="Arial" w:cs="Arial" w:eastAsia="Arial" w:hAnsi="Arial"/>
                <w:sz w:val="18"/>
                <w:szCs w:val="18"/>
                <w:color w:val="auto"/>
              </w:rPr>
              <w:t>Three Months Ended September 30,</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00" w:type="dxa"/>
            <w:vAlign w:val="bottom"/>
          </w:tcPr>
          <w:p>
            <w:pPr>
              <w:spacing w:after="0"/>
              <w:rPr>
                <w:sz w:val="21"/>
                <w:szCs w:val="21"/>
                <w:color w:val="auto"/>
              </w:rPr>
            </w:pPr>
          </w:p>
        </w:tc>
        <w:tc>
          <w:tcPr>
            <w:tcW w:w="3100" w:type="dxa"/>
            <w:vAlign w:val="bottom"/>
            <w:gridSpan w:val="8"/>
            <w:vMerge w:val="continue"/>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70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3"/>
          </w:tcPr>
          <w:p>
            <w:pPr>
              <w:jc w:val="right"/>
              <w:ind w:right="580"/>
              <w:spacing w:after="0" w:line="182" w:lineRule="exact"/>
              <w:rPr>
                <w:sz w:val="20"/>
                <w:szCs w:val="20"/>
                <w:color w:val="auto"/>
              </w:rPr>
            </w:pPr>
            <w:r>
              <w:rPr>
                <w:rFonts w:ascii="Arial" w:cs="Arial" w:eastAsia="Arial" w:hAnsi="Arial"/>
                <w:sz w:val="18"/>
                <w:szCs w:val="18"/>
                <w:b w:val="1"/>
                <w:bCs w:val="1"/>
                <w:color w:val="auto"/>
              </w:rPr>
              <w:t>2024</w:t>
            </w:r>
          </w:p>
        </w:tc>
        <w:tc>
          <w:tcPr>
            <w:tcW w:w="5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520"/>
              <w:spacing w:after="0" w:line="182" w:lineRule="exact"/>
              <w:rPr>
                <w:sz w:val="20"/>
                <w:szCs w:val="20"/>
                <w:color w:val="auto"/>
              </w:rPr>
            </w:pPr>
            <w:r>
              <w:rPr>
                <w:rFonts w:ascii="Arial" w:cs="Arial" w:eastAsia="Arial" w:hAnsi="Arial"/>
                <w:sz w:val="18"/>
                <w:szCs w:val="18"/>
                <w:color w:val="auto"/>
                <w:w w:val="94"/>
              </w:rPr>
              <w:t>2023</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343,432</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323,002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6.3 %</w:t>
            </w:r>
          </w:p>
        </w:tc>
        <w:tc>
          <w:tcPr>
            <w:tcW w:w="0" w:type="dxa"/>
            <w:vAlign w:val="bottom"/>
          </w:tcPr>
          <w:p>
            <w:pPr>
              <w:spacing w:after="0"/>
              <w:rPr>
                <w:sz w:val="1"/>
                <w:szCs w:val="1"/>
                <w:color w:val="auto"/>
              </w:rPr>
            </w:pPr>
          </w:p>
        </w:tc>
      </w:tr>
      <w:tr>
        <w:trPr>
          <w:trHeight w:val="247"/>
        </w:trPr>
        <w:tc>
          <w:tcPr>
            <w:tcW w:w="70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1"/>
                <w:szCs w:val="21"/>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57 %</w:t>
            </w:r>
          </w:p>
        </w:tc>
        <w:tc>
          <w:tcPr>
            <w:tcW w:w="5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 for the first quarter of fiscal 2025 increased 6.3% over the prior fiscal year first quarter. Reducing cost of revenue for deconversion costs from each quarter, which were $115 for the current fiscal year quarter and $270 for the prior fiscal year quarter, results in a 6.4% increase quarter over quarter. This increase was primarily due to higher direct costs generally consistent with increases in the related lines of revenue, higher personnel costs, including an increase in employee headcount in the trailing twelve months, and increased internal licenses and fees from increased deployments and pricing. Cost of revenue remained consistent as a percentage of total revenue compared to the prior fiscal year quarter.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Research and Development</w:t>
            </w:r>
          </w:p>
        </w:tc>
        <w:tc>
          <w:tcPr>
            <w:tcW w:w="3080" w:type="dxa"/>
            <w:vAlign w:val="bottom"/>
            <w:gridSpan w:val="7"/>
            <w:vMerge w:val="restart"/>
          </w:tcPr>
          <w:p>
            <w:pPr>
              <w:ind w:left="40"/>
              <w:spacing w:after="0"/>
              <w:rPr>
                <w:sz w:val="20"/>
                <w:szCs w:val="20"/>
                <w:color w:val="auto"/>
              </w:rPr>
            </w:pPr>
            <w:r>
              <w:rPr>
                <w:rFonts w:ascii="Arial" w:cs="Arial" w:eastAsia="Arial" w:hAnsi="Arial"/>
                <w:sz w:val="18"/>
                <w:szCs w:val="18"/>
                <w:color w:val="auto"/>
              </w:rPr>
              <w:t>Three Months Ended September 30,</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20" w:type="dxa"/>
            <w:vAlign w:val="bottom"/>
          </w:tcPr>
          <w:p>
            <w:pPr>
              <w:spacing w:after="0"/>
              <w:rPr>
                <w:sz w:val="21"/>
                <w:szCs w:val="21"/>
                <w:color w:val="auto"/>
              </w:rPr>
            </w:pPr>
          </w:p>
        </w:tc>
        <w:tc>
          <w:tcPr>
            <w:tcW w:w="3080" w:type="dxa"/>
            <w:vAlign w:val="bottom"/>
            <w:gridSpan w:val="7"/>
            <w:vMerge w:val="continue"/>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70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right"/>
              <w:ind w:right="580"/>
              <w:spacing w:after="0" w:line="182" w:lineRule="exact"/>
              <w:rPr>
                <w:sz w:val="20"/>
                <w:szCs w:val="20"/>
                <w:color w:val="auto"/>
              </w:rPr>
            </w:pPr>
            <w:r>
              <w:rPr>
                <w:rFonts w:ascii="Arial" w:cs="Arial" w:eastAsia="Arial" w:hAnsi="Arial"/>
                <w:sz w:val="18"/>
                <w:szCs w:val="18"/>
                <w:b w:val="1"/>
                <w:bCs w:val="1"/>
                <w:color w:val="auto"/>
                <w:w w:val="94"/>
              </w:rPr>
              <w:t>2024</w:t>
            </w: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520"/>
              <w:spacing w:after="0" w:line="182" w:lineRule="exact"/>
              <w:rPr>
                <w:sz w:val="20"/>
                <w:szCs w:val="20"/>
                <w:color w:val="auto"/>
              </w:rPr>
            </w:pPr>
            <w:r>
              <w:rPr>
                <w:rFonts w:ascii="Arial" w:cs="Arial" w:eastAsia="Arial" w:hAnsi="Arial"/>
                <w:sz w:val="18"/>
                <w:szCs w:val="18"/>
                <w:color w:val="auto"/>
                <w:w w:val="94"/>
              </w:rPr>
              <w:t>2023</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39,686</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36,892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7.6 %</w:t>
            </w:r>
          </w:p>
        </w:tc>
        <w:tc>
          <w:tcPr>
            <w:tcW w:w="0" w:type="dxa"/>
            <w:vAlign w:val="bottom"/>
          </w:tcPr>
          <w:p>
            <w:pPr>
              <w:spacing w:after="0"/>
              <w:rPr>
                <w:sz w:val="1"/>
                <w:szCs w:val="1"/>
                <w:color w:val="auto"/>
              </w:rPr>
            </w:pPr>
          </w:p>
        </w:tc>
      </w:tr>
      <w:tr>
        <w:trPr>
          <w:trHeight w:val="247"/>
        </w:trPr>
        <w:tc>
          <w:tcPr>
            <w:tcW w:w="702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52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7 %</w:t>
            </w:r>
          </w:p>
        </w:tc>
        <w:tc>
          <w:tcPr>
            <w:tcW w:w="56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Research and development expense increased 7.6% for the first quarter of fiscal 2025 compared to the prior fiscal year first quarter. This increase was primarily due to higher personnel costs net of capitalization including an increase in employee headcount in the trailing twelve months. Deconversion and non-recurring costs did not significantly affect research and development expenses quarter over quarter. Research and development expense for the quarter increased 1% as a percentage of total revenue compared to the prior fiscal year quarter.</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Selling, General, and Administrative</w:t>
            </w:r>
          </w:p>
        </w:tc>
        <w:tc>
          <w:tcPr>
            <w:tcW w:w="3080" w:type="dxa"/>
            <w:vAlign w:val="bottom"/>
            <w:gridSpan w:val="9"/>
            <w:vMerge w:val="restart"/>
          </w:tcPr>
          <w:p>
            <w:pPr>
              <w:ind w:left="40"/>
              <w:spacing w:after="0"/>
              <w:rPr>
                <w:sz w:val="20"/>
                <w:szCs w:val="20"/>
                <w:color w:val="auto"/>
              </w:rPr>
            </w:pPr>
            <w:r>
              <w:rPr>
                <w:rFonts w:ascii="Arial" w:cs="Arial" w:eastAsia="Arial" w:hAnsi="Arial"/>
                <w:sz w:val="18"/>
                <w:szCs w:val="18"/>
                <w:color w:val="auto"/>
              </w:rPr>
              <w:t>Three Months Ended September 30,</w:t>
            </w:r>
          </w:p>
        </w:tc>
        <w:tc>
          <w:tcPr>
            <w:tcW w:w="112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40" w:type="dxa"/>
            <w:vAlign w:val="bottom"/>
          </w:tcPr>
          <w:p>
            <w:pPr>
              <w:spacing w:after="0"/>
              <w:rPr>
                <w:sz w:val="21"/>
                <w:szCs w:val="21"/>
                <w:color w:val="auto"/>
              </w:rPr>
            </w:pPr>
          </w:p>
        </w:tc>
        <w:tc>
          <w:tcPr>
            <w:tcW w:w="3080" w:type="dxa"/>
            <w:vAlign w:val="bottom"/>
            <w:gridSpan w:val="9"/>
            <w:vMerge w:val="continue"/>
          </w:tcPr>
          <w:p>
            <w:pPr>
              <w:spacing w:after="0"/>
              <w:rPr>
                <w:sz w:val="21"/>
                <w:szCs w:val="21"/>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83"/>
        </w:trPr>
        <w:tc>
          <w:tcPr>
            <w:tcW w:w="70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3"/>
          </w:tcPr>
          <w:p>
            <w:pPr>
              <w:jc w:val="right"/>
              <w:ind w:right="560"/>
              <w:spacing w:after="0" w:line="182" w:lineRule="exact"/>
              <w:rPr>
                <w:sz w:val="20"/>
                <w:szCs w:val="20"/>
                <w:color w:val="auto"/>
              </w:rPr>
            </w:pPr>
            <w:r>
              <w:rPr>
                <w:rFonts w:ascii="Arial" w:cs="Arial" w:eastAsia="Arial" w:hAnsi="Arial"/>
                <w:sz w:val="18"/>
                <w:szCs w:val="18"/>
                <w:b w:val="1"/>
                <w:bCs w:val="1"/>
                <w:color w:val="auto"/>
              </w:rPr>
              <w:t>2024</w:t>
            </w:r>
          </w:p>
        </w:tc>
        <w:tc>
          <w:tcPr>
            <w:tcW w:w="3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right"/>
              <w:ind w:right="520"/>
              <w:spacing w:after="0" w:line="182"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66,588</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78,774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(15.5)%</w:t>
            </w:r>
          </w:p>
        </w:tc>
        <w:tc>
          <w:tcPr>
            <w:tcW w:w="0" w:type="dxa"/>
            <w:vAlign w:val="bottom"/>
          </w:tcPr>
          <w:p>
            <w:pPr>
              <w:spacing w:after="0"/>
              <w:rPr>
                <w:sz w:val="1"/>
                <w:szCs w:val="1"/>
                <w:color w:val="auto"/>
              </w:rPr>
            </w:pPr>
          </w:p>
        </w:tc>
      </w:tr>
      <w:tr>
        <w:trPr>
          <w:trHeight w:val="247"/>
        </w:trPr>
        <w:tc>
          <w:tcPr>
            <w:tcW w:w="7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1"/>
                <w:szCs w:val="21"/>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11 %</w:t>
            </w:r>
          </w:p>
        </w:tc>
        <w:tc>
          <w:tcPr>
            <w:tcW w:w="380" w:type="dxa"/>
            <w:vAlign w:val="bottom"/>
          </w:tcPr>
          <w:p>
            <w:pPr>
              <w:spacing w:after="0"/>
              <w:rPr>
                <w:sz w:val="21"/>
                <w:szCs w:val="21"/>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 decreased 15.5% in the first quarter of fiscal 2025 compared to the same quarter in the prior fiscal year. Reducing selling, general, and administrative expense for deconversion costs from each quarter, which were $87 for the current fiscal year quarter and $111 for the prior fiscal year quarter and for VEDIP program expenses of $16,443 in the prior fiscal year quarter, results in a 6.9% increase quarter over quarter. This increase was primarily due to higher personnel costs, including benefits expenses from an increase in employee headcount in the trailing twelve months. Selling, general, and administrative expense decreased 3% as a percentage of total revenue this fiscal quarter versus the prior fiscal year quarter.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INTEREST INCOME (EXPENSE)</w:t>
            </w:r>
          </w:p>
        </w:tc>
        <w:tc>
          <w:tcPr>
            <w:tcW w:w="2820" w:type="dxa"/>
            <w:vAlign w:val="bottom"/>
            <w:gridSpan w:val="7"/>
          </w:tcPr>
          <w:p>
            <w:pPr>
              <w:ind w:left="40"/>
              <w:spacing w:after="0"/>
              <w:rPr>
                <w:sz w:val="20"/>
                <w:szCs w:val="20"/>
                <w:color w:val="auto"/>
              </w:rPr>
            </w:pPr>
            <w:r>
              <w:rPr>
                <w:rFonts w:ascii="Arial" w:cs="Arial" w:eastAsia="Arial" w:hAnsi="Arial"/>
                <w:sz w:val="18"/>
                <w:szCs w:val="18"/>
                <w:color w:val="auto"/>
              </w:rPr>
              <w:t>Three Months Ended September</w:t>
            </w: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w:t>
            </w:r>
          </w:p>
        </w:tc>
      </w:tr>
      <w:tr>
        <w:trPr>
          <w:trHeight w:val="235"/>
        </w:trPr>
        <w:tc>
          <w:tcPr>
            <w:tcW w:w="7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color w:val="auto"/>
              </w:rPr>
              <w:t>30,</w:t>
            </w:r>
          </w:p>
        </w:tc>
        <w:tc>
          <w:tcPr>
            <w:tcW w:w="4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Change</w:t>
            </w:r>
          </w:p>
        </w:tc>
      </w:tr>
      <w:tr>
        <w:trPr>
          <w:trHeight w:val="183"/>
        </w:trPr>
        <w:tc>
          <w:tcPr>
            <w:tcW w:w="7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2024</w:t>
            </w: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4"/>
              </w:rPr>
              <w:t>2023</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8,347</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4,745</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75.9 %</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(2,825)</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(32.7)%</w:t>
            </w:r>
          </w:p>
        </w:tc>
      </w:tr>
    </w:tbl>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Interest income increased due to changes in average outstanding balances during the three months ended September 30, 2024, compared to the three months ended September 30, 2023. Interest expense decreased when compared to the prior fiscal year quarter primarily due to a decrease in the amount outstanding. There was a $ 140,000 outstanding balance under the revolving credit and term loan facilities at September 30, 2024, and $245,000 outstanding balance under the revolving credit and term loan facilities at September 30, 2023.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3080" w:type="dxa"/>
            <w:vAlign w:val="bottom"/>
            <w:gridSpan w:val="7"/>
            <w:vMerge w:val="restart"/>
          </w:tcPr>
          <w:p>
            <w:pPr>
              <w:ind w:left="40"/>
              <w:spacing w:after="0"/>
              <w:rPr>
                <w:sz w:val="20"/>
                <w:szCs w:val="20"/>
                <w:color w:val="auto"/>
              </w:rPr>
            </w:pPr>
            <w:r>
              <w:rPr>
                <w:rFonts w:ascii="Arial" w:cs="Arial" w:eastAsia="Arial" w:hAnsi="Arial"/>
                <w:sz w:val="18"/>
                <w:szCs w:val="18"/>
                <w:color w:val="auto"/>
              </w:rPr>
              <w:t>Three Months Ended September 30,</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20" w:type="dxa"/>
            <w:vAlign w:val="bottom"/>
          </w:tcPr>
          <w:p>
            <w:pPr>
              <w:spacing w:after="0"/>
              <w:rPr>
                <w:sz w:val="21"/>
                <w:szCs w:val="21"/>
                <w:color w:val="auto"/>
              </w:rPr>
            </w:pPr>
          </w:p>
        </w:tc>
        <w:tc>
          <w:tcPr>
            <w:tcW w:w="3080" w:type="dxa"/>
            <w:vAlign w:val="bottom"/>
            <w:gridSpan w:val="7"/>
            <w:vMerge w:val="continue"/>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70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2024</w:t>
            </w:r>
          </w:p>
        </w:tc>
        <w:tc>
          <w:tcPr>
            <w:tcW w:w="5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520"/>
              <w:spacing w:after="0" w:line="182" w:lineRule="exact"/>
              <w:rPr>
                <w:sz w:val="20"/>
                <w:szCs w:val="20"/>
                <w:color w:val="auto"/>
              </w:rPr>
            </w:pPr>
            <w:r>
              <w:rPr>
                <w:rFonts w:ascii="Arial" w:cs="Arial" w:eastAsia="Arial" w:hAnsi="Arial"/>
                <w:sz w:val="18"/>
                <w:szCs w:val="18"/>
                <w:color w:val="auto"/>
                <w:w w:val="94"/>
              </w:rPr>
              <w:t>2023</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52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37,607</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31,569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19.1 %</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Rate</w:t>
            </w:r>
          </w:p>
        </w:tc>
        <w:tc>
          <w:tcPr>
            <w:tcW w:w="5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24.0 %</w:t>
            </w:r>
          </w:p>
        </w:tc>
        <w:tc>
          <w:tcPr>
            <w:tcW w:w="5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effective tax rate increased for the three months ended September 30, 2024, compared to the three months ended September 30, 2023, with an effective tax rate of 24.0% of income before taxes, compared to 23.7% of income before taxes for the same quarter last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820" w:type="dxa"/>
            <w:vAlign w:val="bottom"/>
            <w:gridSpan w:val="9"/>
          </w:tcPr>
          <w:p>
            <w:pPr>
              <w:ind w:left="40"/>
              <w:spacing w:after="0"/>
              <w:rPr>
                <w:sz w:val="20"/>
                <w:szCs w:val="20"/>
                <w:color w:val="auto"/>
              </w:rPr>
            </w:pPr>
            <w:r>
              <w:rPr>
                <w:rFonts w:ascii="Arial" w:cs="Arial" w:eastAsia="Arial" w:hAnsi="Arial"/>
                <w:sz w:val="18"/>
                <w:szCs w:val="18"/>
                <w:color w:val="auto"/>
              </w:rPr>
              <w:t>Three Months Ended September</w:t>
            </w:r>
          </w:p>
        </w:tc>
        <w:tc>
          <w:tcPr>
            <w:tcW w:w="9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r>
      <w:tr>
        <w:trPr>
          <w:trHeight w:val="194"/>
        </w:trPr>
        <w:tc>
          <w:tcPr>
            <w:tcW w:w="7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95"/>
              </w:rPr>
              <w:t>30,</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98"/>
              </w:rPr>
              <w:t>Change</w:t>
            </w:r>
          </w:p>
        </w:tc>
      </w:tr>
      <w:tr>
        <w:trPr>
          <w:trHeight w:val="20"/>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183"/>
        </w:trPr>
        <w:tc>
          <w:tcPr>
            <w:tcW w:w="7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rPr>
              <w:t>2024</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gridSpan w:val="3"/>
          </w:tcPr>
          <w:p>
            <w:pPr>
              <w:jc w:val="right"/>
              <w:ind w:right="440"/>
              <w:spacing w:after="0" w:line="182"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0"/>
        </w:trPr>
        <w:tc>
          <w:tcPr>
            <w:tcW w:w="7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r>
      <w:tr>
        <w:trPr>
          <w:trHeight w:val="250"/>
        </w:trPr>
        <w:tc>
          <w:tcPr>
            <w:tcW w:w="7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119,191</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101,679</w:t>
            </w:r>
          </w:p>
        </w:tc>
        <w:tc>
          <w:tcPr>
            <w:tcW w:w="120" w:type="dxa"/>
            <w:vAlign w:val="bottom"/>
          </w:tcPr>
          <w:p>
            <w:pPr>
              <w:spacing w:after="0"/>
              <w:rPr>
                <w:sz w:val="21"/>
                <w:szCs w:val="21"/>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17.2 %</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1.63</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17.1 %</w:t>
            </w:r>
          </w:p>
        </w:tc>
      </w:tr>
    </w:tbl>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income increased 17.2% to $119,191, or $1.63 per diluted share, for the first quarter of fiscal 2025 compared to $101,679, or $1.39 per diluted share, in the same quarter of fiscal 2024. Removing from total net income the effects of deconversion net income of $2,656 for the current fiscal quarter and deconversion net income of $2,854 and the VEDIP program net loss of $12,497 for the prior fiscal year quarter, results in a 4.7% increase quarter over quarter. This increase was primarily due to net organic growth in our lines of revenue for the first quarter of fiscal 2025 partially offset by higher operating expenses and the increased provision for income taxes compared to the same quarter last fiscal year.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DISCUSSION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is a well-rounded financial technology company and is a leading provider of technology solutions and payment processing services primarily to community and regional financial institutions.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processing services, online and mobile bill pay solutions, ACH origination and remote deposit capture processing, and risk management products and services. The Complementary segment provides additional software, hosted processing platforms, and services, including digital/mobile banking, treasury services, online account opening, fraud/anti-money laundering ("AML") and lending/deposit solutions that can be integrated with the Company's Core solutions, and many can be used independently. The Corporate and Other segment includes revenue and costs from hardware and other products not attributed to any of the other three segments, as well as operating expenses not directly attributable to the other three segments.</w:t>
      </w:r>
    </w:p>
    <w:p>
      <w:pPr>
        <w:spacing w:after="0" w:line="19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Company evaluates the performance of its segments and allocates resources to them based on various factors, including performance against trend, budget, and forecast. Only revenue and costs of revenue are considered in the evaluation for each segment.</w:t>
      </w:r>
    </w:p>
    <w:p>
      <w:pPr>
        <w:spacing w:after="0" w:line="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Immaterial adjustments have been made between segments to reclassify cost of revenue that was recognized for the three months ended September 30, 2023. These reclasses were made to be consistent with the current allocation of cost of revenue by segment. Cost of revenue reclassed for the three months ended September 30, 2023, from Complementary to Corporate and Other, was $1,318.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Core</w:t>
            </w:r>
          </w:p>
        </w:tc>
        <w:tc>
          <w:tcPr>
            <w:tcW w:w="2820" w:type="dxa"/>
            <w:vAlign w:val="bottom"/>
            <w:gridSpan w:val="7"/>
          </w:tcPr>
          <w:p>
            <w:pPr>
              <w:ind w:left="40"/>
              <w:spacing w:after="0"/>
              <w:rPr>
                <w:sz w:val="20"/>
                <w:szCs w:val="20"/>
                <w:color w:val="auto"/>
              </w:rPr>
            </w:pPr>
            <w:r>
              <w:rPr>
                <w:rFonts w:ascii="Arial" w:cs="Arial" w:eastAsia="Arial" w:hAnsi="Arial"/>
                <w:sz w:val="18"/>
                <w:szCs w:val="18"/>
                <w:color w:val="auto"/>
              </w:rPr>
              <w:t>Three Months Ended September</w:t>
            </w:r>
          </w:p>
        </w:tc>
        <w:tc>
          <w:tcPr>
            <w:tcW w:w="1140" w:type="dxa"/>
            <w:vAlign w:val="bottom"/>
            <w:vMerge w:val="restart"/>
          </w:tcPr>
          <w:p>
            <w:pPr>
              <w:jc w:val="right"/>
              <w:ind w:right="7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43"/>
        </w:trPr>
        <w:tc>
          <w:tcPr>
            <w:tcW w:w="7280" w:type="dxa"/>
            <w:vAlign w:val="bottom"/>
            <w:vMerge w:val="continue"/>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30,</w:t>
            </w:r>
          </w:p>
        </w:tc>
        <w:tc>
          <w:tcPr>
            <w:tcW w:w="4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7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2024</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4"/>
              </w:rPr>
              <w:t>2023</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Revenue</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195,624</w:t>
            </w: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186,439</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81,420</w:t>
            </w: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75,927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 the Core segment increased 4.9% and cost of revenue increased 7.2% for the three months ended September 30, 2024, compared to the three months ended September 30, 2023. Reducing Core revenue for deconversion revenue in both quarters, which totaled $1,287 for the three months ended September 30, 2024, and $1,665 for the three months ended September 30, 2023, results in a 5.2% increase quarter over quarter. This increase was primarily driven by growth in data processing and hosting revenues as new and existing clients migrate to our private cloud and processing volumes expand. Reducing Core cost of revenue for deconversion costs in both quarters, which totaled $37 for the three months ended September 30, 2024 and $103 for the three months ended September 30, 2023, results in a 7.3% increase quarter over quarter. The Core cost of revenue increase was primarily due to higher direct costs generally consistent with increases in related lines of revenue. Core cost of revenue increased 1% as a percentage of Core revenue for the first quarter of fiscal 2025 compared to the same quarter in fiscal 2024.</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Payments</w:t>
            </w:r>
          </w:p>
        </w:tc>
        <w:tc>
          <w:tcPr>
            <w:tcW w:w="2820" w:type="dxa"/>
            <w:vAlign w:val="bottom"/>
            <w:gridSpan w:val="7"/>
          </w:tcPr>
          <w:p>
            <w:pPr>
              <w:ind w:left="40"/>
              <w:spacing w:after="0"/>
              <w:rPr>
                <w:sz w:val="20"/>
                <w:szCs w:val="20"/>
                <w:color w:val="auto"/>
              </w:rPr>
            </w:pPr>
            <w:r>
              <w:rPr>
                <w:rFonts w:ascii="Arial" w:cs="Arial" w:eastAsia="Arial" w:hAnsi="Arial"/>
                <w:sz w:val="18"/>
                <w:szCs w:val="18"/>
                <w:color w:val="auto"/>
              </w:rPr>
              <w:t>Three Months Ended September</w:t>
            </w:r>
          </w:p>
        </w:tc>
        <w:tc>
          <w:tcPr>
            <w:tcW w:w="1140" w:type="dxa"/>
            <w:vAlign w:val="bottom"/>
            <w:vMerge w:val="restart"/>
          </w:tcPr>
          <w:p>
            <w:pPr>
              <w:jc w:val="right"/>
              <w:ind w:right="7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43"/>
        </w:trPr>
        <w:tc>
          <w:tcPr>
            <w:tcW w:w="7280" w:type="dxa"/>
            <w:vAlign w:val="bottom"/>
            <w:vMerge w:val="continue"/>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30,</w:t>
            </w:r>
          </w:p>
        </w:tc>
        <w:tc>
          <w:tcPr>
            <w:tcW w:w="4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7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2024</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4"/>
              </w:rPr>
              <w:t>2023</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Revenue</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211,923</w:t>
            </w: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199,358</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113,020</w:t>
            </w: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108,826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 the Payments segment increased 6.3% and cost of revenue increased 3.9% for the first quarter of fiscal 2025 compared to the equivalent quarter of the prior fiscal year. Reducing Payments revenue for deconversion revenue in both quarters, which totaled $1,914 for the first quarter of fiscal 2025 and $1,006 for the first quarter of fiscal 2024, results in a 5.9% increase quarter over quarter. This increase was primarily due to higher card revenue from organic growth from higher volumes, higher payment processing revenues from higher volumes and new client revenue, and increased remote capture and ACH revenue. The Payments cost of revenue increase was primarily due to higher direct costs generally consistent with increases in lines of revenue. Deconversion and non-recurring costs did not significantly affect Payments cost of revenue quarter over quarter. Payments cost of revenue as a percentage of Payments revenue decreased 1% for the first quarter of fiscal 2025 compared to the same quarter in fiscal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Complementary</w:t>
            </w:r>
          </w:p>
        </w:tc>
        <w:tc>
          <w:tcPr>
            <w:tcW w:w="2820" w:type="dxa"/>
            <w:vAlign w:val="bottom"/>
            <w:gridSpan w:val="7"/>
          </w:tcPr>
          <w:p>
            <w:pPr>
              <w:ind w:left="40"/>
              <w:spacing w:after="0"/>
              <w:rPr>
                <w:sz w:val="20"/>
                <w:szCs w:val="20"/>
                <w:color w:val="auto"/>
              </w:rPr>
            </w:pPr>
            <w:r>
              <w:rPr>
                <w:rFonts w:ascii="Arial" w:cs="Arial" w:eastAsia="Arial" w:hAnsi="Arial"/>
                <w:sz w:val="18"/>
                <w:szCs w:val="18"/>
                <w:color w:val="auto"/>
              </w:rPr>
              <w:t>Three Months Ended September</w:t>
            </w:r>
          </w:p>
        </w:tc>
        <w:tc>
          <w:tcPr>
            <w:tcW w:w="1140" w:type="dxa"/>
            <w:vAlign w:val="bottom"/>
            <w:vMerge w:val="restart"/>
          </w:tcPr>
          <w:p>
            <w:pPr>
              <w:jc w:val="right"/>
              <w:ind w:right="7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43"/>
        </w:trPr>
        <w:tc>
          <w:tcPr>
            <w:tcW w:w="7280" w:type="dxa"/>
            <w:vAlign w:val="bottom"/>
            <w:vMerge w:val="continue"/>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30,</w:t>
            </w:r>
          </w:p>
        </w:tc>
        <w:tc>
          <w:tcPr>
            <w:tcW w:w="4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7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2024</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4"/>
              </w:rPr>
              <w:t>2023</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Revenue</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171,702</w:t>
            </w: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161,366</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65,967</w:t>
            </w: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60,957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in the Complementary segment increased 6.4% and cost of revenue increased 8.2% for the first quarter of fiscal 2025 compared to the equivalent quarter of the prior fiscal year. Reducing Complementary revenue for deconversion revenue in both quarters, which totaled $473 for the first quarter of fiscal 2025 and $1,451 for the first quarter of fiscal 2024, results in a 7.1% increase quarter over quarter. This increase was primarily driven by growth in hosting revenues as new and existing clients continued to migrate to our private cloud and processing volumes expanded and increased Jack Henry digital revenue as the number of active users increased and volumes expanded from existing and new add-on products. Reducing Complementary cost of revenue for deconversion costs in both quarters, which totaled $60 for the first quarter of fiscal 2025 and $119 for the first quarter of fiscal 2024, results in an 8.3% increase quarter over quarter. This increase was primarily due to higher amortization of capitalized software from capital software development projects and increased licenses and fees from increased deployments and prices in the current quarter. Complementary cost of revenue as a percentage of Complementary revenue increased 1% for the first quarter of fiscal 2025 compared to the same quarter in fiscal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Corporate and Other</w:t>
            </w:r>
          </w:p>
        </w:tc>
        <w:tc>
          <w:tcPr>
            <w:tcW w:w="2820" w:type="dxa"/>
            <w:vAlign w:val="bottom"/>
            <w:gridSpan w:val="7"/>
          </w:tcPr>
          <w:p>
            <w:pPr>
              <w:ind w:left="40"/>
              <w:spacing w:after="0"/>
              <w:rPr>
                <w:sz w:val="20"/>
                <w:szCs w:val="20"/>
                <w:color w:val="auto"/>
              </w:rPr>
            </w:pPr>
            <w:r>
              <w:rPr>
                <w:rFonts w:ascii="Arial" w:cs="Arial" w:eastAsia="Arial" w:hAnsi="Arial"/>
                <w:sz w:val="18"/>
                <w:szCs w:val="18"/>
                <w:color w:val="auto"/>
              </w:rPr>
              <w:t>Three Months Ended September</w:t>
            </w:r>
          </w:p>
        </w:tc>
        <w:tc>
          <w:tcPr>
            <w:tcW w:w="1140" w:type="dxa"/>
            <w:vAlign w:val="bottom"/>
            <w:vMerge w:val="restart"/>
          </w:tcPr>
          <w:p>
            <w:pPr>
              <w:jc w:val="right"/>
              <w:ind w:right="7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35"/>
        </w:trPr>
        <w:tc>
          <w:tcPr>
            <w:tcW w:w="7280" w:type="dxa"/>
            <w:vAlign w:val="bottom"/>
            <w:vMerge w:val="continu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30,</w:t>
            </w:r>
          </w:p>
        </w:tc>
        <w:tc>
          <w:tcPr>
            <w:tcW w:w="4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2024</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4"/>
              </w:rPr>
              <w:t>2023</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Revenue</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21,733</w:t>
            </w: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24,205</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83,025</w:t>
            </w: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77,292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classified in the Corporate and Other segment includes revenues from other products and services and hardware not specifically attributed to the other three segments. Revenue in the Corporate and Other segment decreased 10.2% for the first quarter of fiscal 2025 compared to the equivalent quarter of the prior fiscal year. Reducing Corporate and Other revenue for deconversion revenue in both quarters, which totaled $23 for the first quarter of fiscal 2025 and $14 for the first quarter of fiscal 2024, results in a 10.3% decrease quarter over quarter. The Corporate and Other revenue decrease was primarily due to lower hardware revenue quarter over quarter.</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revenue for the Corporate and Other segment includes operating expenses not directly attributable to the other three segments. The cost of revenue in the first quarter of fiscal 2025 increased 7.4% when compared to the prior fiscal year quarter. This increase was primarily due to higher personnel costs, including an increase in headcount in the trailing twelve months, higher internal licenses and fees from increased deployments and prices, and increased cloud consumption costs, quarter over quarter. Deconversion and non-recurring costs did not significantly affect Corporate and Other cost of revenue quarter over quarter.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cash and cash equivalents increased to $43,212 at September 30, 2024, from $38,284 at June 30, 2024.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cash from operating activities in the statement of cash flows: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60" w:type="dxa"/>
            <w:vAlign w:val="bottom"/>
            <w:gridSpan w:val="4"/>
          </w:tcPr>
          <w:p>
            <w:pPr>
              <w:jc w:val="right"/>
              <w:ind w:right="510"/>
              <w:spacing w:after="0"/>
              <w:rPr>
                <w:sz w:val="20"/>
                <w:szCs w:val="20"/>
                <w:color w:val="auto"/>
              </w:rPr>
            </w:pPr>
            <w:r>
              <w:rPr>
                <w:rFonts w:ascii="Arial" w:cs="Arial" w:eastAsia="Arial" w:hAnsi="Arial"/>
                <w:sz w:val="18"/>
                <w:szCs w:val="18"/>
                <w:color w:val="auto"/>
              </w:rPr>
              <w:t>Three Months Ended</w:t>
            </w:r>
          </w:p>
        </w:tc>
      </w:tr>
      <w:tr>
        <w:trPr>
          <w:trHeight w:val="235"/>
        </w:trPr>
        <w:tc>
          <w:tcPr>
            <w:tcW w:w="8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September 30,</w:t>
            </w:r>
          </w:p>
        </w:tc>
      </w:tr>
      <w:tr>
        <w:trPr>
          <w:trHeight w:val="223"/>
        </w:trPr>
        <w:tc>
          <w:tcPr>
            <w:tcW w:w="8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119,191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101,679</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Non-cash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53,085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46,094</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receivables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72,519</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Change in deferred revenue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(69,358)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(66,322)</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other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(12,395)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116,896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157,139</w:t>
            </w:r>
          </w:p>
        </w:tc>
      </w:tr>
      <w:tr>
        <w:trPr>
          <w:trHeight w:val="21"/>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provided by operating activities for the first three months of fiscal 2025 decreased 26% compared to the same period last year primarily due to the decrease in the change in receivables quarter over quarter. We collected significantly more annual maintenance dollars in the fourth quarter of fiscal 2024 than we have historically collected in the fourth quarter, leaving less to be collected in the current fiscal quarter. Cash from operations is primarily used to repay debt, pay dividends, repurchase stock, for capital expenditures, and acquisitions.</w:t>
      </w:r>
    </w:p>
    <w:p>
      <w:pPr>
        <w:spacing w:after="0" w:line="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in investing activities for the first three months of fiscal 2025 totaled $58,736 and included: $42,259 for the ongoing enhancement and development of existing and new product and service offerings; capital expenditures on facilities and equipment of $ 12,801; $2,676 for the purchase and development of internal use software; and the purchase of investment of $2,000. Cash uses were partially offset by proceeds from investments of $1,000. Cash used in investing activities for the first three months of fiscal 2024 totaled $50,526 and included: $41,486 for the development of software; $7,612 for capital expenditures; and $2,280 for the purchase and development of internal use software. Cash uses were partially offset by proceeds from dispositions of $852.</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Financing activities used cash of $53,232 for the first three months of fiscal 2025 and included payments on credit facilities of $85,000, dividends paid to stockholders of $40,104, and a net cash outflow from the issuance of stock and tax withholding related to stock-based compensation of $3,128. Cash uses were partially offset by borrowings on credit facilities of $75,000. Financing activities used cash of $87,389 in the first three months of fiscal 2024 and included repayments on credit facilities of $165,000, $37,863 for the payment of dividends, and the purchase of treasury stock of $20,000. Cash uses were partially offset by borrowings on credit facilities of $135,000 and $474 net cash inflow from the issuance of stock and tax withholding related to stock-based compensation.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and Resources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generally uses existing resources and funds generated from operations to meet its capital requirements. Capital expenditures totaling $12,801 and $7,612 for the three months ended September 30, 2024, and September 30, 2023, respectively, were made primarily for additional equipment and the improvement of existing facilities. These additions were funded from cash generated by operations. Total consolidated capital expenditures on facilities and equipment for the Company for fiscal year 2025 are expected to be approximately $68,000 and have been or will be funded from our credit facilities and cash generated by operations.</w:t>
      </w:r>
    </w:p>
    <w:p>
      <w:pPr>
        <w:spacing w:after="0" w:line="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July 2023, the Company conducted a voluntary separation program for certain eligible employees that included a VEDIP payment for the eligible employees who chose to participate in the program. The Company made payments associated with the VEDIP program in the approximate amount of $16,443 from July 2023 through December 2023, including immaterial payments continuing into calendar year 2024.</w:t>
      </w:r>
    </w:p>
    <w:p>
      <w:pPr>
        <w:spacing w:after="0" w:line="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Contractual obligations are discussed in our Annual Report on Form 10-K for the year ended June 30, 2024. There have been no material contractual obligations added for the three months ended September 30, 2024</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borrowings on its existing line of credit. The share repurchase program does not include specific price targets or timetables and may be suspended at any time. At September 30, 2024, there were 31,373 shares in treasury stock and the Company had the remaining authority to repurchase up to 3,618 additional shares. The total cost of treasury shares at September 30, 2024, was $1,860,173, and the Company repurchased no shares during the first three months of fiscal 2025. At June 30, 2024, there were 31,373 shares in treasury stock and the Company had the remaining authority to repurchase up to 3,618 additional shares. The total cost of treasury shares at June 30, 2024, was $1,860,173 and the Company repurchased 129 shares during the first three months of fiscal 2024.</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August 31, 2022, the Company entered into a five-year senior, unsecured amended and restated credit agreement that replaced a prior credit facility that was entered into on February 10, 2020. The credit agreement allows for borrowings of up to $600,000, which may be increased to $1,000,000 by the Company at any time until maturity. The credit agreement bears interest at a variable rate equal to (a) a rate based on an adjusted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applicable percentage in each case determined by the Company's leverage ratio. The credit agreement is guaranteed by certain subsidiaries of the Company and is subject to various financial covenants that require the Company to maintain certain financial ratios as defined in the credit agreement. As of September 30, 2024, the Company was in compliance with all such covenants. The amended and restated credit facility terminates August 31, 2027. There was $50,000 and $60,000 outstanding under the amended and restated credit facility at September 30, 2024 and June 30, 2024,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May 16, 2023, the Company entered into a term loan credit agreement with a syndicate of financial institutions, with an original principal balance of $180,000. Borrowings under the term loan facility bear interest at a variable rate equal to (a) a rate based on an adjusted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0.75%),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applicable percentage in each case determined by the Company's leverage ratio. The term loan credit agreement is guaranteed by certain subsidiaries of the Company and is subject to various financial covenants that require the Company to maintain certain financial ratios as defined in the term loan credit agreement. As of September 30, 2024, the Company was in compliance with all such covenants. The term loan credit agreement has a maturity date of May 16, 2025. There was 90,000 outstanding under the term loan at September 30, 2024 and June 30, 2024.</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Company has an unsecured bank credit line which provides for funding of up to $5,000 and bears interest at the prime rate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1%. The credit line expires on April 30, 2025. There was no balance outstanding at September 30, 2024, or June 30, 2024.</w:t>
      </w:r>
    </w:p>
    <w:p>
      <w:pPr>
        <w:spacing w:after="0" w:line="355" w:lineRule="exact"/>
        <w:rPr>
          <w:sz w:val="20"/>
          <w:szCs w:val="20"/>
          <w:color w:val="auto"/>
        </w:rPr>
      </w:pPr>
    </w:p>
    <w:p>
      <w:pPr>
        <w:ind w:right="4240"/>
        <w:spacing w:after="0" w:line="360"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color w:val="auto"/>
        </w:rPr>
        <w:t>Dollar amounts in this item are in thousands.</w:t>
      </w:r>
    </w:p>
    <w:p>
      <w:pPr>
        <w:jc w:val="both"/>
        <w:spacing w:after="0" w:line="262" w:lineRule="auto"/>
        <w:rPr>
          <w:sz w:val="20"/>
          <w:szCs w:val="20"/>
          <w:color w:val="auto"/>
        </w:rPr>
      </w:pPr>
      <w:r>
        <w:rPr>
          <w:rFonts w:ascii="Arial" w:cs="Arial" w:eastAsia="Arial" w:hAnsi="Arial"/>
          <w:sz w:val="18"/>
          <w:szCs w:val="18"/>
          <w:color w:val="auto"/>
        </w:rPr>
        <w:t>Market risk refers to the risk that a change in the level of one or more market prices, interest rates, indices, volatilities, correlations or other market factors such as liquidity, will result in losses for a certain financial instrument or group of financial instruments. We are currently exposed to credit risk on credit extended to clients and interest risk on outstanding debt. We do not currently use any derivative financial instruments. We actively monitor these risks through a variety of controlled procedures involving senior management.</w:t>
      </w:r>
    </w:p>
    <w:p>
      <w:pPr>
        <w:spacing w:after="0" w:line="4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the controls in place and the credit worthiness of the client base, we believe the credit risk associated with the extension of credit to our clients will not have a material adverse effect on our consolidated financial position, results of operations, or cash flows.</w:t>
      </w:r>
    </w:p>
    <w:p>
      <w:pPr>
        <w:spacing w:after="0" w:line="3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had $140,000 outstanding debt with variable interest rates as of September 30, 2024, and a 1% increase in our borrowing rate would increase our annual interest expense by $1,400.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the end of the period covered by this Quarterly Report on Form 10-Q, an evaluation was carried out under the supervision and with the participation of our management, including the Company's Chief Executive Officer (“CEO”) and Chief Financial Officer (“CFO”), of the effectiveness of the design and operation of our disclosure controls and procedures as defined in Exchange Act Rules 13a-15(e) and 15d-15(e). Based upon that evaluation (required in Exchange Act Rules 13a-15(b) and 15d-15(b)), the CEO and CFO concluded that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For this purpose, disclosure controls and procedures include controls and procedures designed to ensure that information required to be disclosed under the Exchange Act is accumulated and communicated to the Company's management, including the CEO and CFO, as appropriate, to allow timely decisions regarding required disclosure.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fiscal quarter ended September 30, 2024, there were no changes in the Company's internal control over financial reporting which were identified in connection with management’s evaluation required by Rules 13a-15(d) and 15d-15(d) under the Exchange Act, that have materially affected, or are reasonably likely to materially affect, the Company’s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tab/>
        <w:t>LEGAL PROCEEDINGS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various routine legal proceedings and claims arising in the ordinary course of our business. In the opinion of management, any liabilities resulting from current lawsuits are not expected, either individually or in the aggregate, to have a material adverse effect on our consolidated financial statements.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1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tab/>
        <w:t>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shares of the Company were repurchased during the quarter ended September 30, 2024:</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8"/>
                <w:szCs w:val="18"/>
                <w:color w:val="auto"/>
              </w:rPr>
            </w:pPr>
          </w:p>
        </w:tc>
        <w:tc>
          <w:tcPr>
            <w:tcW w:w="164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Total Number of</w:t>
            </w:r>
          </w:p>
        </w:tc>
        <w:tc>
          <w:tcPr>
            <w:tcW w:w="160" w:type="dxa"/>
            <w:vAlign w:val="bottom"/>
          </w:tcPr>
          <w:p>
            <w:pPr>
              <w:spacing w:after="0"/>
              <w:rPr>
                <w:sz w:val="18"/>
                <w:szCs w:val="18"/>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8"/>
              </w:rPr>
              <w:t>Average</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Total Number of Shares</w:t>
            </w:r>
          </w:p>
        </w:tc>
        <w:tc>
          <w:tcPr>
            <w:tcW w:w="2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Maximum Number of Shares</w:t>
            </w:r>
          </w:p>
        </w:tc>
        <w:tc>
          <w:tcPr>
            <w:tcW w:w="0" w:type="dxa"/>
            <w:vAlign w:val="bottom"/>
          </w:tcPr>
          <w:p>
            <w:pPr>
              <w:spacing w:after="0"/>
              <w:rPr>
                <w:sz w:val="1"/>
                <w:szCs w:val="1"/>
                <w:color w:val="auto"/>
              </w:rPr>
            </w:pPr>
          </w:p>
        </w:tc>
      </w:tr>
      <w:tr>
        <w:trPr>
          <w:trHeight w:val="189"/>
        </w:trPr>
        <w:tc>
          <w:tcPr>
            <w:tcW w:w="356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32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9"/>
              </w:rPr>
              <w:t>Purchased as Part of</w:t>
            </w:r>
          </w:p>
        </w:tc>
        <w:tc>
          <w:tcPr>
            <w:tcW w:w="2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16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Shares</w:t>
            </w:r>
          </w:p>
        </w:tc>
        <w:tc>
          <w:tcPr>
            <w:tcW w:w="160" w:type="dxa"/>
            <w:vAlign w:val="bottom"/>
          </w:tcPr>
          <w:p>
            <w:pPr>
              <w:spacing w:after="0"/>
              <w:rPr>
                <w:sz w:val="15"/>
                <w:szCs w:val="15"/>
                <w:color w:val="auto"/>
              </w:rPr>
            </w:pPr>
          </w:p>
        </w:tc>
        <w:tc>
          <w:tcPr>
            <w:tcW w:w="10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Price of</w:t>
            </w:r>
          </w:p>
        </w:tc>
        <w:tc>
          <w:tcPr>
            <w:tcW w:w="23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rPr>
              <w:t>Publicly Announced</w:t>
            </w:r>
          </w:p>
        </w:tc>
        <w:tc>
          <w:tcPr>
            <w:tcW w:w="2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that May Yet Be Purchased</w:t>
            </w:r>
          </w:p>
        </w:tc>
        <w:tc>
          <w:tcPr>
            <w:tcW w:w="0" w:type="dxa"/>
            <w:vAlign w:val="bottom"/>
          </w:tcPr>
          <w:p>
            <w:pPr>
              <w:spacing w:after="0"/>
              <w:rPr>
                <w:sz w:val="1"/>
                <w:szCs w:val="1"/>
                <w:color w:val="auto"/>
              </w:rPr>
            </w:pPr>
          </w:p>
        </w:tc>
      </w:tr>
      <w:tr>
        <w:trPr>
          <w:trHeight w:val="323"/>
        </w:trPr>
        <w:tc>
          <w:tcPr>
            <w:tcW w:w="356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Purchased</w:t>
            </w: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Share</w:t>
            </w:r>
          </w:p>
        </w:tc>
        <w:tc>
          <w:tcPr>
            <w:tcW w:w="2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Plans</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5"/>
              </w:rPr>
              <w:t xml:space="preserve">Under the Plans </w:t>
            </w:r>
            <w:r>
              <w:rPr>
                <w:rFonts w:ascii="Arial" w:cs="Arial" w:eastAsia="Arial" w:hAnsi="Arial"/>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July 1 — July 31, 2024</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3,617,657</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August 1 — August 31, 2024</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32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2480" w:type="dxa"/>
            <w:vAlign w:val="bottom"/>
          </w:tcPr>
          <w:p>
            <w:pPr>
              <w:jc w:val="right"/>
              <w:spacing w:after="0"/>
              <w:rPr>
                <w:sz w:val="20"/>
                <w:szCs w:val="20"/>
                <w:color w:val="auto"/>
              </w:rPr>
            </w:pPr>
            <w:r>
              <w:rPr>
                <w:rFonts w:ascii="Arial" w:cs="Arial" w:eastAsia="Arial" w:hAnsi="Arial"/>
                <w:sz w:val="18"/>
                <w:szCs w:val="18"/>
                <w:color w:val="auto"/>
              </w:rPr>
              <w:t>3,617,657</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1 — September 30, 2024</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3,617,657</w:t>
            </w:r>
          </w:p>
        </w:tc>
        <w:tc>
          <w:tcPr>
            <w:tcW w:w="0" w:type="dxa"/>
            <w:vAlign w:val="bottom"/>
          </w:tcPr>
          <w:p>
            <w:pPr>
              <w:spacing w:after="0"/>
              <w:rPr>
                <w:sz w:val="1"/>
                <w:szCs w:val="1"/>
                <w:color w:val="auto"/>
              </w:rPr>
            </w:pPr>
          </w:p>
        </w:tc>
      </w:tr>
      <w:tr>
        <w:trPr>
          <w:trHeight w:val="247"/>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tcPr>
          <w:p>
            <w:pPr>
              <w:ind w:left="720"/>
              <w:spacing w:after="0"/>
              <w:rPr>
                <w:sz w:val="20"/>
                <w:szCs w:val="20"/>
                <w:color w:val="auto"/>
              </w:rPr>
            </w:pPr>
            <w:r>
              <w:rPr>
                <w:rFonts w:ascii="Arial" w:cs="Arial" w:eastAsia="Arial" w:hAnsi="Arial"/>
                <w:sz w:val="18"/>
                <w:szCs w:val="18"/>
                <w:b w:val="1"/>
                <w:bCs w:val="1"/>
                <w:color w:val="auto"/>
              </w:rPr>
              <w:t>—</w:t>
            </w:r>
          </w:p>
        </w:tc>
        <w:tc>
          <w:tcPr>
            <w:tcW w:w="2320" w:type="dxa"/>
            <w:vAlign w:val="bottom"/>
            <w:gridSpan w:val="2"/>
          </w:tcPr>
          <w:p>
            <w:pPr>
              <w:ind w:left="1960"/>
              <w:spacing w:after="0"/>
              <w:rPr>
                <w:sz w:val="20"/>
                <w:szCs w:val="20"/>
                <w:color w:val="auto"/>
              </w:rPr>
            </w:pPr>
            <w:r>
              <w:rPr>
                <w:rFonts w:ascii="Arial" w:cs="Arial" w:eastAsia="Arial" w:hAnsi="Arial"/>
                <w:sz w:val="18"/>
                <w:szCs w:val="18"/>
                <w:b w:val="1"/>
                <w:bCs w:val="1"/>
                <w:color w:val="auto"/>
              </w:rPr>
              <w:t>—</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3,617,657</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8"/>
        <w:spacing w:after="0" w:line="238" w:lineRule="auto"/>
        <w:tabs>
          <w:tab w:leader="none" w:pos="197"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Total stock repurchase authorizations approved by the Company's Board of Directors as of May 14, 2021, were for 35,000,000 shares. Under these authorizations, the Company has repurchased and not re-issued 31,372,959 shares and has repurchased and re-issued 9,384 shares. These authorizations have no specific dollar or share price targets and no expiration dates.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During the three months ended September 30,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tab/>
        <w:t>EXHIBITS</w:t>
      </w:r>
    </w:p>
    <w:p>
      <w:pPr>
        <w:spacing w:after="0" w:line="200" w:lineRule="exact"/>
        <w:rPr>
          <w:sz w:val="20"/>
          <w:szCs w:val="20"/>
          <w:color w:val="auto"/>
        </w:rPr>
      </w:pPr>
    </w:p>
    <w:p>
      <w:pPr>
        <w:spacing w:after="0" w:line="28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FF"/>
        </w:rPr>
        <w:t>Certification of the Chief Executive Officer.</w:t>
      </w:r>
    </w:p>
    <w:p>
      <w:pPr>
        <w:spacing w:after="0" w:line="23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u w:val="single" w:color="auto"/>
          <w:color w:val="0000FF"/>
        </w:rPr>
        <w:t>Certification of the Chief Financial Officer.</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u w:val="single" w:color="auto"/>
          <w:color w:val="0000FF"/>
        </w:rPr>
        <w:t>Certification of the Chief Executive Officer Pursuant to 18 U.S.C. Section 1350.</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u w:val="single" w:color="auto"/>
          <w:color w:val="0000FF"/>
        </w:rPr>
        <w:t>Certification of the Chief Financial Officer Pursuant to 18 U.S.C. Section 1350.</w:t>
      </w:r>
    </w:p>
    <w:p>
      <w:pPr>
        <w:sectPr>
          <w:pgSz w:w="11900" w:h="16838" w:orient="portrait"/>
          <w:cols w:equalWidth="0" w:num="1">
            <w:col w:w="11240"/>
          </w:cols>
          <w:pgMar w:left="320" w:top="125" w:right="3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40" w:hanging="375"/>
        <w:spacing w:after="0" w:line="287" w:lineRule="auto"/>
        <w:rPr>
          <w:sz w:val="20"/>
          <w:szCs w:val="20"/>
          <w:color w:val="auto"/>
        </w:rPr>
      </w:pPr>
      <w:r>
        <w:rPr>
          <w:rFonts w:ascii="Arial" w:cs="Arial" w:eastAsia="Arial" w:hAnsi="Arial"/>
          <w:sz w:val="18"/>
          <w:szCs w:val="18"/>
          <w:color w:val="auto"/>
        </w:rPr>
        <w:t>XBRL Instance Document- the instance document does not appear in the Interactive Data File as its XBRL tags are embedded within the Inline XBRL document</w:t>
      </w:r>
    </w:p>
    <w:p>
      <w:pPr>
        <w:spacing w:after="0" w:line="180" w:lineRule="exact"/>
        <w:rPr>
          <w:sz w:val="20"/>
          <w:szCs w:val="20"/>
          <w:color w:val="auto"/>
        </w:rPr>
      </w:pPr>
    </w:p>
    <w:p>
      <w:pPr>
        <w:sectPr>
          <w:pgSz w:w="11900" w:h="16838" w:orient="portrait"/>
          <w:cols w:equalWidth="0" w:num="2">
            <w:col w:w="720" w:space="580"/>
            <w:col w:w="9940"/>
          </w:cols>
          <w:pgMar w:left="320" w:top="125"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XBRL Taxonomy Extension Schema Document</w:t>
      </w:r>
    </w:p>
    <w:p>
      <w:pPr>
        <w:spacing w:after="0" w:line="200" w:lineRule="exact"/>
        <w:rPr>
          <w:sz w:val="20"/>
          <w:szCs w:val="20"/>
          <w:color w:val="auto"/>
        </w:rPr>
      </w:pPr>
    </w:p>
    <w:p>
      <w:pPr>
        <w:sectPr>
          <w:pgSz w:w="11900" w:h="16838" w:orient="portrait"/>
          <w:cols w:equalWidth="0" w:num="2">
            <w:col w:w="800" w:space="200"/>
            <w:col w:w="10240"/>
          </w:cols>
          <w:pgMar w:left="320" w:top="125"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Calculation Linkbase Document</w:t>
      </w:r>
    </w:p>
    <w:p>
      <w:pPr>
        <w:spacing w:after="0" w:line="211" w:lineRule="exact"/>
        <w:rPr>
          <w:sz w:val="20"/>
          <w:szCs w:val="20"/>
          <w:color w:val="auto"/>
        </w:rPr>
      </w:pPr>
    </w:p>
    <w:p>
      <w:pPr>
        <w:sectPr>
          <w:pgSz w:w="11900" w:h="16838" w:orient="portrait"/>
          <w:cols w:equalWidth="0" w:num="2">
            <w:col w:w="780" w:space="200"/>
            <w:col w:w="10260"/>
          </w:cols>
          <w:pgMar w:left="320" w:top="125"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Definition Linkbase Document</w:t>
      </w:r>
    </w:p>
    <w:p>
      <w:pPr>
        <w:spacing w:after="0" w:line="200" w:lineRule="exact"/>
        <w:rPr>
          <w:sz w:val="20"/>
          <w:szCs w:val="20"/>
          <w:color w:val="auto"/>
        </w:rPr>
      </w:pPr>
    </w:p>
    <w:p>
      <w:pPr>
        <w:sectPr>
          <w:pgSz w:w="11900" w:h="16838" w:orient="portrait"/>
          <w:cols w:equalWidth="0" w:num="2">
            <w:col w:w="780" w:space="200"/>
            <w:col w:w="10260"/>
          </w:cols>
          <w:pgMar w:left="320" w:top="125"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Label Linkbase Document</w:t>
      </w:r>
    </w:p>
    <w:p>
      <w:pPr>
        <w:spacing w:after="0" w:line="200" w:lineRule="exact"/>
        <w:rPr>
          <w:sz w:val="20"/>
          <w:szCs w:val="20"/>
          <w:color w:val="auto"/>
        </w:rPr>
      </w:pPr>
    </w:p>
    <w:p>
      <w:pPr>
        <w:sectPr>
          <w:pgSz w:w="11900" w:h="16838" w:orient="portrait"/>
          <w:cols w:equalWidth="0" w:num="2">
            <w:col w:w="760" w:space="200"/>
            <w:col w:w="10280"/>
          </w:cols>
          <w:pgMar w:left="320" w:top="125"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101.PRE*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Presentation Linkbase Document</w:t>
      </w:r>
    </w:p>
    <w:p>
      <w:pPr>
        <w:spacing w:after="0" w:line="211" w:lineRule="exact"/>
        <w:rPr>
          <w:sz w:val="20"/>
          <w:szCs w:val="20"/>
          <w:color w:val="auto"/>
        </w:rPr>
      </w:pPr>
    </w:p>
    <w:p>
      <w:pPr>
        <w:sectPr>
          <w:pgSz w:w="11900" w:h="16838" w:orient="portrait"/>
          <w:cols w:equalWidth="0" w:num="2">
            <w:col w:w="800" w:space="200"/>
            <w:col w:w="10240"/>
          </w:cols>
          <w:pgMar w:left="320" w:top="125" w:right="339" w:bottom="1440" w:gutter="0" w:footer="0" w:header="0"/>
          <w:type w:val="continuous"/>
        </w:sectPr>
      </w:pPr>
    </w:p>
    <w:p>
      <w:pPr>
        <w:spacing w:after="0" w:line="3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104*</w:t>
        <w:tab/>
        <w:t>Cover Page Interactive Data File (formatted as Inline XBRL and contained in Exhibit 101)</w:t>
      </w:r>
    </w:p>
    <w:p>
      <w:pPr>
        <w:spacing w:after="0" w:line="252" w:lineRule="exact"/>
        <w:rPr>
          <w:sz w:val="20"/>
          <w:szCs w:val="20"/>
          <w:color w:val="auto"/>
        </w:rPr>
      </w:pPr>
    </w:p>
    <w:p>
      <w:pPr>
        <w:jc w:val="both"/>
        <w:ind w:firstLine="8"/>
        <w:spacing w:after="0" w:line="259" w:lineRule="auto"/>
        <w:tabs>
          <w:tab w:leader="none" w:pos="165"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Furnished with this quarterly report on Form 10-Q are the following documents formatted in XBRL (Extensible Business Reporting Language): (i) the Condensed Consolidated Balance Sheets at September 30, 2024, and June 30, 2024, (ii) the Condensed Consolidated Statements of Income for the three months ended September 30, 2024, and 2023, (iii) the Condensed Consolidated Statements of Changes in Shareholders' Equity for the three months ended September 30, 2024, and 2023, (iv) the Condensed Consolidated Statements of Cash Flows for the three months ended September 30, 2024, and 2023, and (v) Notes to Condensed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2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2"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6240" w:type="dxa"/>
            <w:vAlign w:val="bottom"/>
          </w:tcPr>
          <w:p>
            <w:pPr>
              <w:spacing w:after="0"/>
              <w:rPr>
                <w:sz w:val="20"/>
                <w:szCs w:val="20"/>
                <w:color w:val="auto"/>
              </w:rPr>
            </w:pPr>
          </w:p>
        </w:tc>
        <w:tc>
          <w:tcPr>
            <w:tcW w:w="3080" w:type="dxa"/>
            <w:vAlign w:val="bottom"/>
            <w:gridSpan w:val="3"/>
          </w:tcPr>
          <w:p>
            <w:pPr>
              <w:ind w:left="120"/>
              <w:spacing w:after="0"/>
              <w:rPr>
                <w:sz w:val="20"/>
                <w:szCs w:val="20"/>
                <w:color w:val="auto"/>
              </w:rPr>
            </w:pPr>
            <w:r>
              <w:rPr>
                <w:rFonts w:ascii="Arial" w:cs="Arial" w:eastAsia="Arial" w:hAnsi="Arial"/>
                <w:sz w:val="18"/>
                <w:szCs w:val="18"/>
                <w:color w:val="auto"/>
                <w:w w:val="98"/>
              </w:rPr>
              <w:t>JACK HENRY &amp; ASSOCIATES, INC.</w:t>
            </w:r>
          </w:p>
        </w:tc>
      </w:tr>
      <w:tr>
        <w:trPr>
          <w:trHeight w:val="441"/>
        </w:trPr>
        <w:tc>
          <w:tcPr>
            <w:tcW w:w="6240" w:type="dxa"/>
            <w:vAlign w:val="bottom"/>
          </w:tcPr>
          <w:p>
            <w:pPr>
              <w:spacing w:after="0"/>
              <w:rPr>
                <w:sz w:val="20"/>
                <w:szCs w:val="20"/>
                <w:color w:val="auto"/>
              </w:rPr>
            </w:pPr>
            <w:r>
              <w:rPr>
                <w:rFonts w:ascii="Arial" w:cs="Arial" w:eastAsia="Arial" w:hAnsi="Arial"/>
                <w:sz w:val="18"/>
                <w:szCs w:val="18"/>
                <w:color w:val="auto"/>
              </w:rPr>
              <w:t>Date: November 8, 2024</w:t>
            </w: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/s/ Gregory R. Adelson</w:t>
            </w:r>
          </w:p>
        </w:tc>
        <w:tc>
          <w:tcPr>
            <w:tcW w:w="1260" w:type="dxa"/>
            <w:vAlign w:val="bottom"/>
          </w:tcPr>
          <w:p>
            <w:pPr>
              <w:spacing w:after="0"/>
              <w:rPr>
                <w:sz w:val="24"/>
                <w:szCs w:val="24"/>
                <w:color w:val="auto"/>
              </w:rPr>
            </w:pPr>
          </w:p>
        </w:tc>
      </w:tr>
      <w:tr>
        <w:trPr>
          <w:trHeight w:val="245"/>
        </w:trPr>
        <w:tc>
          <w:tcPr>
            <w:tcW w:w="6240" w:type="dxa"/>
            <w:vAlign w:val="bottom"/>
          </w:tcPr>
          <w:p>
            <w:pPr>
              <w:spacing w:after="0"/>
              <w:rPr>
                <w:sz w:val="21"/>
                <w:szCs w:val="21"/>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Gregory R. Adelson</w:t>
            </w:r>
          </w:p>
        </w:tc>
      </w:tr>
      <w:tr>
        <w:trPr>
          <w:trHeight w:val="239"/>
        </w:trPr>
        <w:tc>
          <w:tcPr>
            <w:tcW w:w="6240" w:type="dxa"/>
            <w:vAlign w:val="bottom"/>
          </w:tcPr>
          <w:p>
            <w:pPr>
              <w:spacing w:after="0"/>
              <w:rPr>
                <w:sz w:val="20"/>
                <w:szCs w:val="20"/>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Chief Executive Officer and President</w:t>
            </w:r>
          </w:p>
        </w:tc>
      </w:tr>
      <w:tr>
        <w:trPr>
          <w:trHeight w:val="441"/>
        </w:trPr>
        <w:tc>
          <w:tcPr>
            <w:tcW w:w="6240" w:type="dxa"/>
            <w:vAlign w:val="bottom"/>
          </w:tcPr>
          <w:p>
            <w:pPr>
              <w:spacing w:after="0"/>
              <w:rPr>
                <w:sz w:val="20"/>
                <w:szCs w:val="20"/>
                <w:color w:val="auto"/>
              </w:rPr>
            </w:pPr>
            <w:r>
              <w:rPr>
                <w:rFonts w:ascii="Arial" w:cs="Arial" w:eastAsia="Arial" w:hAnsi="Arial"/>
                <w:sz w:val="18"/>
                <w:szCs w:val="18"/>
                <w:color w:val="auto"/>
              </w:rPr>
              <w:t>Date: November 8, 2024</w:t>
            </w: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Mimi L. Carsley</w:t>
            </w:r>
          </w:p>
        </w:tc>
        <w:tc>
          <w:tcPr>
            <w:tcW w:w="1600" w:type="dxa"/>
            <w:vAlign w:val="bottom"/>
            <w:gridSpan w:val="2"/>
          </w:tcPr>
          <w:p>
            <w:pPr>
              <w:spacing w:after="0"/>
              <w:rPr>
                <w:sz w:val="24"/>
                <w:szCs w:val="24"/>
                <w:color w:val="auto"/>
              </w:rPr>
            </w:pPr>
          </w:p>
        </w:tc>
      </w:tr>
      <w:tr>
        <w:trPr>
          <w:trHeight w:val="245"/>
        </w:trPr>
        <w:tc>
          <w:tcPr>
            <w:tcW w:w="6240" w:type="dxa"/>
            <w:vAlign w:val="bottom"/>
          </w:tcPr>
          <w:p>
            <w:pPr>
              <w:spacing w:after="0"/>
              <w:rPr>
                <w:sz w:val="21"/>
                <w:szCs w:val="21"/>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Mimi L. Carsley</w:t>
            </w:r>
          </w:p>
        </w:tc>
      </w:tr>
      <w:tr>
        <w:trPr>
          <w:trHeight w:val="239"/>
        </w:trPr>
        <w:tc>
          <w:tcPr>
            <w:tcW w:w="6240" w:type="dxa"/>
            <w:vAlign w:val="bottom"/>
          </w:tcPr>
          <w:p>
            <w:pPr>
              <w:spacing w:after="0"/>
              <w:rPr>
                <w:sz w:val="20"/>
                <w:szCs w:val="20"/>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Gregory R. Adelson, certify that:</w:t>
      </w:r>
    </w:p>
    <w:p>
      <w:pPr>
        <w:spacing w:after="0" w:line="77"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Jack Henry &amp; Associates, Inc.;</w:t>
      </w:r>
    </w:p>
    <w:p>
      <w:pPr>
        <w:spacing w:after="0" w:line="90" w:lineRule="exact"/>
        <w:rPr>
          <w:rFonts w:ascii="Arial" w:cs="Arial" w:eastAsia="Arial" w:hAnsi="Arial"/>
          <w:sz w:val="18"/>
          <w:szCs w:val="18"/>
          <w:color w:val="auto"/>
        </w:rPr>
      </w:pPr>
    </w:p>
    <w:p>
      <w:pPr>
        <w:jc w:val="both"/>
        <w:ind w:firstLine="8"/>
        <w:spacing w:after="0" w:line="268" w:lineRule="auto"/>
        <w:tabs>
          <w:tab w:leader="none" w:pos="208"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8"/>
          <w:szCs w:val="18"/>
          <w:color w:val="auto"/>
        </w:rPr>
      </w:pPr>
    </w:p>
    <w:p>
      <w:pPr>
        <w:ind w:firstLine="8"/>
        <w:spacing w:after="0" w:line="287" w:lineRule="auto"/>
        <w:tabs>
          <w:tab w:leader="none" w:pos="228"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8"/>
          <w:szCs w:val="18"/>
          <w:color w:val="auto"/>
        </w:rPr>
      </w:pPr>
    </w:p>
    <w:p>
      <w:pPr>
        <w:jc w:val="both"/>
        <w:ind w:firstLine="8"/>
        <w:spacing w:after="0" w:line="268" w:lineRule="auto"/>
        <w:tabs>
          <w:tab w:leader="none" w:pos="23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sz w:val="20"/>
          <w:szCs w:val="20"/>
          <w:color w:val="auto"/>
        </w:rPr>
      </w:pPr>
    </w:p>
    <w:p>
      <w:pPr>
        <w:jc w:val="both"/>
        <w:ind w:right="20" w:firstLine="8"/>
        <w:spacing w:after="0" w:line="268" w:lineRule="auto"/>
        <w:tabs>
          <w:tab w:leader="none" w:pos="253"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Arial" w:cs="Arial" w:eastAsia="Arial" w:hAnsi="Arial"/>
          <w:sz w:val="18"/>
          <w:szCs w:val="18"/>
          <w:color w:val="auto"/>
        </w:rPr>
      </w:pPr>
    </w:p>
    <w:p>
      <w:pPr>
        <w:jc w:val="both"/>
        <w:ind w:firstLine="8"/>
        <w:spacing w:after="0" w:line="268" w:lineRule="auto"/>
        <w:tabs>
          <w:tab w:leader="none" w:pos="223"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8"/>
          <w:szCs w:val="18"/>
          <w:color w:val="auto"/>
        </w:rPr>
      </w:pPr>
    </w:p>
    <w:p>
      <w:pPr>
        <w:ind w:right="20" w:firstLine="8"/>
        <w:spacing w:after="0" w:line="287" w:lineRule="auto"/>
        <w:tabs>
          <w:tab w:leader="none" w:pos="211"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8"/>
          <w:szCs w:val="18"/>
          <w:color w:val="auto"/>
        </w:rPr>
      </w:pPr>
    </w:p>
    <w:p>
      <w:pPr>
        <w:jc w:val="both"/>
        <w:ind w:firstLine="8"/>
        <w:spacing w:after="0" w:line="268" w:lineRule="auto"/>
        <w:tabs>
          <w:tab w:leader="none" w:pos="229"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sz w:val="20"/>
          <w:szCs w:val="20"/>
          <w:color w:val="auto"/>
        </w:rPr>
      </w:pPr>
    </w:p>
    <w:p>
      <w:pPr>
        <w:jc w:val="both"/>
        <w:ind w:firstLine="8"/>
        <w:spacing w:after="0" w:line="268" w:lineRule="auto"/>
        <w:tabs>
          <w:tab w:leader="none" w:pos="23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sz w:val="20"/>
          <w:szCs w:val="20"/>
          <w:color w:val="auto"/>
        </w:rPr>
      </w:pPr>
    </w:p>
    <w:p>
      <w:pPr>
        <w:ind w:right="20" w:firstLine="8"/>
        <w:spacing w:after="0" w:line="287" w:lineRule="auto"/>
        <w:tabs>
          <w:tab w:leader="none" w:pos="246"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right="20" w:firstLine="8"/>
        <w:spacing w:after="0" w:line="287" w:lineRule="auto"/>
        <w:tabs>
          <w:tab w:leader="none" w:pos="223"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2024</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Gregory R. Adelson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Gregory R. Adelson</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5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Mimi L. Carsley, certify that:</w:t>
      </w:r>
    </w:p>
    <w:p>
      <w:pPr>
        <w:spacing w:after="0" w:line="77"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Jack Henry &amp; Associates, Inc.;</w:t>
      </w:r>
    </w:p>
    <w:p>
      <w:pPr>
        <w:spacing w:after="0" w:line="90" w:lineRule="exact"/>
        <w:rPr>
          <w:rFonts w:ascii="Arial" w:cs="Arial" w:eastAsia="Arial" w:hAnsi="Arial"/>
          <w:sz w:val="18"/>
          <w:szCs w:val="18"/>
          <w:color w:val="auto"/>
        </w:rPr>
      </w:pPr>
    </w:p>
    <w:p>
      <w:pPr>
        <w:jc w:val="both"/>
        <w:ind w:firstLine="8"/>
        <w:spacing w:after="0" w:line="268" w:lineRule="auto"/>
        <w:tabs>
          <w:tab w:leader="none" w:pos="20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8"/>
          <w:szCs w:val="18"/>
          <w:color w:val="auto"/>
        </w:rPr>
      </w:pPr>
    </w:p>
    <w:p>
      <w:pPr>
        <w:ind w:firstLine="8"/>
        <w:spacing w:after="0" w:line="287" w:lineRule="auto"/>
        <w:tabs>
          <w:tab w:leader="none" w:pos="22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8"/>
          <w:szCs w:val="18"/>
          <w:color w:val="auto"/>
        </w:rPr>
      </w:pPr>
    </w:p>
    <w:p>
      <w:pPr>
        <w:jc w:val="both"/>
        <w:ind w:firstLine="8"/>
        <w:spacing w:after="0" w:line="268" w:lineRule="auto"/>
        <w:tabs>
          <w:tab w:leader="none" w:pos="23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sz w:val="20"/>
          <w:szCs w:val="20"/>
          <w:color w:val="auto"/>
        </w:rPr>
      </w:pPr>
    </w:p>
    <w:p>
      <w:pPr>
        <w:jc w:val="both"/>
        <w:ind w:right="20" w:firstLine="8"/>
        <w:spacing w:after="0" w:line="268" w:lineRule="auto"/>
        <w:tabs>
          <w:tab w:leader="none" w:pos="2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Arial" w:cs="Arial" w:eastAsia="Arial" w:hAnsi="Arial"/>
          <w:sz w:val="18"/>
          <w:szCs w:val="18"/>
          <w:color w:val="auto"/>
        </w:rPr>
      </w:pPr>
    </w:p>
    <w:p>
      <w:pPr>
        <w:jc w:val="both"/>
        <w:ind w:firstLine="8"/>
        <w:spacing w:after="0" w:line="268" w:lineRule="auto"/>
        <w:tabs>
          <w:tab w:leader="none" w:pos="2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8"/>
          <w:szCs w:val="18"/>
          <w:color w:val="auto"/>
        </w:rPr>
      </w:pPr>
    </w:p>
    <w:p>
      <w:pPr>
        <w:ind w:right="20" w:firstLine="8"/>
        <w:spacing w:after="0" w:line="287" w:lineRule="auto"/>
        <w:tabs>
          <w:tab w:leader="none" w:pos="2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8"/>
          <w:szCs w:val="18"/>
          <w:color w:val="auto"/>
        </w:rPr>
      </w:pPr>
    </w:p>
    <w:p>
      <w:pPr>
        <w:jc w:val="both"/>
        <w:ind w:firstLine="8"/>
        <w:spacing w:after="0" w:line="268" w:lineRule="auto"/>
        <w:tabs>
          <w:tab w:leader="none" w:pos="229"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sz w:val="20"/>
          <w:szCs w:val="20"/>
          <w:color w:val="auto"/>
        </w:rPr>
      </w:pPr>
    </w:p>
    <w:p>
      <w:pPr>
        <w:jc w:val="both"/>
        <w:ind w:firstLine="8"/>
        <w:spacing w:after="0" w:line="268" w:lineRule="auto"/>
        <w:tabs>
          <w:tab w:leader="none" w:pos="23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sz w:val="20"/>
          <w:szCs w:val="20"/>
          <w:color w:val="auto"/>
        </w:rPr>
      </w:pPr>
    </w:p>
    <w:p>
      <w:pPr>
        <w:ind w:right="20" w:firstLine="8"/>
        <w:spacing w:after="0" w:line="287" w:lineRule="auto"/>
        <w:tabs>
          <w:tab w:leader="none" w:pos="2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right="20" w:firstLine="8"/>
        <w:spacing w:after="0" w:line="287" w:lineRule="auto"/>
        <w:tabs>
          <w:tab w:leader="none" w:pos="2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2024</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Mimi L. Carsley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Mimi L. Carsley</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5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Solely for the purposes of complying with 18 U.S.C. Section 1350, I, the undersigned Chief Executive Officer of Jack Henry &amp; Associates, Inc. (the "Company"), hereby certify that, to my knowledge, the Quarterly Report on Form 10-Q of the Company for the three month period ended September 30, 2024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2024</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Gregory R. Adelson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Gregory R. Adelson</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Solely for the purposes of complying with 18 U.S.C. Section 1350, I, the undersigned Chief Financial Officer of Jack Henry &amp; Associates, Inc. (the "Company"), hereby certify that, to my knowledge, the Quarterly Report on Form 10-Q of the Company for the three month period ended September 30, 2024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2024</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Mimi L. Carsley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Mimi L. Carsley</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decimal"/>
      <w:start w:val="5"/>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5"/>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2024-11-08T12:51:53Z</dcterms:created>
  <dcterms:modified xsi:type="dcterms:W3CDTF">2024-11-08T12:51:53Z</dcterms:modified>
</cp:coreProperties>
</file>