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33" w:before="0" w:after="10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UNITED STATES</w:t>
      </w:r>
    </w:p>
    <w:p>
      <w:pPr>
        <w:pStyle w:val="TextBody"/>
        <w:bidi w:val="0"/>
        <w:spacing w:lineRule="auto" w:line="333" w:before="100" w:after="10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lineRule="auto" w:line="333" w:before="100" w:after="10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Washington, D.C. 20549</w:t>
      </w:r>
    </w:p>
    <w:p>
      <w:pPr>
        <w:pStyle w:val="TextBody"/>
        <w:bidi w:val="0"/>
        <w:spacing w:before="100" w:after="100"/>
        <w:jc w:val="center"/>
        <w:rPr/>
      </w:pPr>
      <w:r>
        <w:rPr/>
      </w:r>
    </w:p>
    <w:p>
      <w:pPr>
        <w:pStyle w:val="TextBody"/>
        <w:bidi w:val="0"/>
        <w:spacing w:lineRule="auto" w:line="333" w:before="100" w:after="10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SCHEDULE 14A</w:t>
      </w:r>
    </w:p>
    <w:p>
      <w:pPr>
        <w:pStyle w:val="TextBody"/>
        <w:bidi w:val="0"/>
        <w:spacing w:lineRule="auto" w:line="333" w:before="100" w:after="10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(Rule 14a-101)</w:t>
      </w:r>
    </w:p>
    <w:p>
      <w:pPr>
        <w:pStyle w:val="TextBody"/>
        <w:bidi w:val="0"/>
        <w:spacing w:before="100" w:after="10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Proxy Statement Pursuant to Section 14(a) of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the Securities Exchange Act of 1934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(Amendment No. 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 xml:space="preserve">Filed by the Registrant [x] 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Filed by a Party other than the Registrant [ ]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Check the appropriate box: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 Preliminary Proxy Statement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 Confidential, for Use of the Commission Only (as permitted by Rule 14a-6(e)(2))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 Definitive Proxy Statement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[x] Definitive Additional Materials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 Soliciting Material Pursuant to §240.14a-11(c) or §240.14a-12</w:t>
      </w:r>
    </w:p>
    <w:p>
      <w:pPr>
        <w:pStyle w:val="TextBody"/>
        <w:bidi w:val="0"/>
        <w:spacing w:before="60" w:after="60"/>
        <w:jc w:val="left"/>
        <w:rPr/>
      </w:pPr>
      <w:r>
        <w:rPr/>
      </w:r>
    </w:p>
    <w:p>
      <w:pPr>
        <w:pStyle w:val="TextBody"/>
        <w:bidi w:val="0"/>
        <w:spacing w:lineRule="auto" w:line="333" w:before="60" w:after="6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JACK HENRY &amp; ASSOCIATES, INC.</w:t>
      </w:r>
    </w:p>
    <w:p>
      <w:pPr>
        <w:pStyle w:val="TextBody"/>
        <w:bidi w:val="0"/>
        <w:spacing w:lineRule="auto" w:line="333" w:before="60" w:after="6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(Name of Registrant as Specified in its Charter)</w:t>
      </w:r>
    </w:p>
    <w:p>
      <w:pPr>
        <w:pStyle w:val="TextBody"/>
        <w:bidi w:val="0"/>
        <w:spacing w:before="60" w:after="60"/>
        <w:jc w:val="left"/>
        <w:rPr/>
      </w:pPr>
      <w:r>
        <w:rPr/>
      </w:r>
    </w:p>
    <w:p>
      <w:pPr>
        <w:pStyle w:val="TextBody"/>
        <w:bidi w:val="0"/>
        <w:spacing w:lineRule="auto" w:line="333" w:before="100" w:after="100"/>
        <w:jc w:val="center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(Name of Person(s) Filing Proxy Statement, if other than the Registrant)</w:t>
      </w:r>
    </w:p>
    <w:p>
      <w:pPr>
        <w:pStyle w:val="TextBody"/>
        <w:bidi w:val="0"/>
        <w:spacing w:before="100" w:after="100"/>
        <w:jc w:val="left"/>
        <w:rPr/>
      </w:pPr>
      <w:r>
        <w:rPr/>
      </w:r>
    </w:p>
    <w:p>
      <w:pPr>
        <w:pStyle w:val="TextBody"/>
        <w:bidi w:val="0"/>
        <w:spacing w:lineRule="auto" w:line="333" w:before="100" w:after="10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Payment of Filing Fee (Check the appropriate box):</w:t>
      </w:r>
    </w:p>
    <w:p>
      <w:pPr>
        <w:pStyle w:val="TextBody"/>
        <w:bidi w:val="0"/>
        <w:spacing w:lineRule="auto" w:line="333" w:before="100" w:after="10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[x] No fee required.</w:t>
      </w:r>
    </w:p>
    <w:p>
      <w:pPr>
        <w:pStyle w:val="TextBody"/>
        <w:bidi w:val="0"/>
        <w:spacing w:lineRule="auto" w:line="333" w:before="100" w:after="10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 Fee paid previously with preliminary materials.</w:t>
      </w:r>
    </w:p>
    <w:p>
      <w:pPr>
        <w:pStyle w:val="TextBody"/>
        <w:bidi w:val="0"/>
        <w:spacing w:lineRule="auto" w:line="333" w:before="100" w:after="100"/>
        <w:jc w:val="left"/>
        <w:rPr>
          <w:rFonts w:ascii="Times New Roman;serif" w:hAnsi="Times New Roman;serif"/>
          <w:b w:val="false"/>
          <w:color w:val="000000"/>
          <w:sz w:val="22"/>
        </w:rPr>
      </w:pPr>
      <w:r>
        <w:rPr>
          <w:rFonts w:ascii="Times New Roman;serif" w:hAnsi="Times New Roman;serif"/>
          <w:b w:val="false"/>
          <w:color w:val="000000"/>
          <w:sz w:val="22"/>
        </w:rPr>
        <w:t>[ ] Fee computed on table below per Exchange Act Rules 14a-6(i)(1) and 0-11.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143</Words>
  <Characters>759</Characters>
  <CharactersWithSpaces>880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