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3.jpeg" ContentType="image/jpeg"/>
  <Override PartName="/word/media/image2.jpeg" ContentType="image/jpeg"/>
  <Override PartName="/word/media/image4.jpeg" ContentType="image/jpeg"/>
  <Override PartName="/word/media/image5.jpeg" ContentType="image/jpeg"/>
  <Override PartName="/word/media/image6.jpeg" ContentType="image/jpeg"/>
  <Override PartName="/word/media/image8.png" ContentType="image/png"/>
  <Override PartName="/word/media/image7.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UNITED STATES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SECURITIES AND EXCHANGE COMMISSION</w:t>
      </w:r>
    </w:p>
    <w:p>
      <w:pPr>
        <w:pStyle w:val="TextBody"/>
        <w:bidi w:val="0"/>
        <w:spacing w:lineRule="auto" w:line="288" w:before="0" w:after="100"/>
        <w:jc w:val="center"/>
        <w:rPr>
          <w:rFonts w:ascii="Arial;sans-serif" w:hAnsi="Arial;sans-serif"/>
          <w:b w:val="false"/>
          <w:color w:val="000000"/>
          <w:sz w:val="22"/>
        </w:rPr>
      </w:pPr>
      <w:r>
        <w:rPr>
          <w:rFonts w:ascii="Arial;sans-serif" w:hAnsi="Arial;sans-serif"/>
          <w:b w:val="false"/>
          <w:color w:val="000000"/>
          <w:sz w:val="22"/>
        </w:rPr>
        <w:t>Washington, D.C. 20549</w:t>
      </w:r>
    </w:p>
    <w:p>
      <w:pPr>
        <w:pStyle w:val="TextBody"/>
        <w:bidi w:val="0"/>
        <w:spacing w:lineRule="auto" w:line="288" w:before="100" w:after="100"/>
        <w:jc w:val="center"/>
        <w:rPr>
          <w:rFonts w:ascii="Arial;sans-serif" w:hAnsi="Arial;sans-serif"/>
          <w:b/>
          <w:color w:val="000000"/>
          <w:sz w:val="24"/>
        </w:rPr>
      </w:pPr>
      <w:r>
        <w:rPr>
          <w:rFonts w:ascii="Arial;sans-serif" w:hAnsi="Arial;sans-serif"/>
          <w:b/>
          <w:color w:val="000000"/>
          <w:sz w:val="24"/>
        </w:rPr>
        <w:t xml:space="preserve">FORM 8-K </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Section 13 or 15(d) of the </w:t>
      </w:r>
    </w:p>
    <w:p>
      <w:pPr>
        <w:pStyle w:val="TextBody"/>
        <w:bidi w:val="0"/>
        <w:spacing w:lineRule="auto" w:line="288" w:before="0" w:after="100"/>
        <w:jc w:val="center"/>
        <w:rPr>
          <w:rFonts w:ascii="Arial;sans-serif" w:hAnsi="Arial;sans-serif"/>
          <w:b/>
          <w:color w:val="000000"/>
          <w:sz w:val="20"/>
        </w:rPr>
      </w:pPr>
      <w:r>
        <w:rPr>
          <w:rFonts w:ascii="Arial;sans-serif" w:hAnsi="Arial;sans-serif"/>
          <w:b/>
          <w:color w:val="000000"/>
          <w:sz w:val="20"/>
        </w:rPr>
        <w:t>Securities Exchange Act of 1934</w:t>
      </w:r>
    </w:p>
    <w:p>
      <w:pPr>
        <w:pStyle w:val="TextBody"/>
        <w:bidi w:val="0"/>
        <w:spacing w:lineRule="auto" w:line="288" w:before="100" w:after="100"/>
        <w:jc w:val="center"/>
        <w:rPr>
          <w:rFonts w:ascii="Arial;sans-serif" w:hAnsi="Arial;sans-serif"/>
          <w:b w:val="false"/>
          <w:color w:val="000000"/>
          <w:sz w:val="20"/>
        </w:rPr>
      </w:pPr>
      <w:r>
        <w:rPr>
          <w:rFonts w:ascii="Arial;sans-serif" w:hAnsi="Arial;sans-serif"/>
          <w:b w:val="false"/>
          <w:color w:val="000000"/>
          <w:sz w:val="20"/>
        </w:rPr>
        <w:t xml:space="preserve">Date of Report (Date of earliest event reported): August 18, 2026 </w:t>
      </w:r>
    </w:p>
    <w:p>
      <w:pPr>
        <w:pStyle w:val="TextBody"/>
        <w:bidi w:val="0"/>
        <w:spacing w:lineRule="auto" w:line="288" w:before="100" w:after="100"/>
        <w:jc w:val="center"/>
        <w:rPr>
          <w:rFonts w:ascii="Arial;sans-serif" w:hAnsi="Arial;sans-serif"/>
          <w:b/>
          <w:color w:val="000000"/>
          <w:sz w:val="24"/>
          <w:u w:val="single"/>
        </w:rPr>
      </w:pPr>
      <w:r>
        <w:rPr>
          <w:rFonts w:ascii="Arial;sans-serif" w:hAnsi="Arial;sans-serif"/>
          <w:b/>
          <w:color w:val="000000"/>
          <w:sz w:val="24"/>
          <w:u w:val="single"/>
        </w:rPr>
        <w:t xml:space="preserve">JACK HENRY &amp; ASSOCIATES, INC. </w:t>
      </w:r>
    </w:p>
    <w:p>
      <w:pPr>
        <w:pStyle w:val="TextBody"/>
        <w:bidi w:val="0"/>
        <w:spacing w:lineRule="auto" w:line="288" w:before="0" w:after="10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9238" w:type="dxa"/>
        <w:jc w:val="center"/>
        <w:tblInd w:w="0" w:type="dxa"/>
        <w:tblLayout w:type="fixed"/>
        <w:tblCellMar>
          <w:top w:w="28" w:type="dxa"/>
          <w:left w:w="28" w:type="dxa"/>
          <w:bottom w:w="28" w:type="dxa"/>
          <w:right w:w="28" w:type="dxa"/>
        </w:tblCellMar>
      </w:tblPr>
      <w:tblGrid>
        <w:gridCol w:w="1380"/>
        <w:gridCol w:w="1210"/>
        <w:gridCol w:w="1219"/>
        <w:gridCol w:w="802"/>
        <w:gridCol w:w="802"/>
        <w:gridCol w:w="810"/>
        <w:gridCol w:w="880"/>
        <w:gridCol w:w="880"/>
        <w:gridCol w:w="1255"/>
      </w:tblGrid>
      <w:tr>
        <w:trPr/>
        <w:tc>
          <w:tcPr>
            <w:tcW w:w="138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Delaware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0-14112</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43-1128385</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Arial;sans-serif" w:hAnsi="Arial;sans-serif"/>
                <w:b w:val="false"/>
                <w:color w:val="000000"/>
                <w:sz w:val="20"/>
              </w:rPr>
            </w:pPr>
            <w:r>
              <w:rPr>
                <w:rFonts w:ascii="Arial;sans-serif" w:hAnsi="Arial;sans-serif"/>
                <w:b w:val="false"/>
                <w:color w:val="000000"/>
                <w:sz w:val="20"/>
              </w:rPr>
              <w:t>(State or other jurisdiction of incorporation)</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015"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 xml:space="preserve">663 Highway 60, P.O. Box 807, Monett, MO 65708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 xml:space="preserve">417-235-6652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N/A</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(Former name, former address and former fiscal year, if changed since last report)</w:t>
      </w:r>
    </w:p>
    <w:p>
      <w:pPr>
        <w:pStyle w:val="TextBody"/>
        <w:bidi w:val="0"/>
        <w:spacing w:before="100" w:after="100"/>
        <w:jc w:val="center"/>
        <w:rPr/>
      </w:pPr>
      <w:r>
        <w:rPr/>
      </w:r>
    </w:p>
    <w:p>
      <w:pPr>
        <w:pStyle w:val="TextBody"/>
        <w:bidi w:val="0"/>
        <w:spacing w:lineRule="auto" w:line="288" w:before="100" w:after="100"/>
        <w:ind w:left="0" w:right="0" w:firstLine="270"/>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both"/>
        <w:rPr/>
      </w:pPr>
      <w:r>
        <w:rPr>
          <w:color w:val="000000"/>
        </w:rPr>
        <w:t xml:space="preserve">☐ </w:t>
      </w:r>
      <w:r>
        <w:rPr>
          <w:rFonts w:ascii="Arial;sans-serif" w:hAnsi="Arial;sans-serif"/>
          <w:b w:val="false"/>
          <w:color w:val="000000"/>
          <w:sz w:val="20"/>
        </w:rPr>
        <w:t>Written communications pursuant to Rule 425 under the Securities Act (17 CFR 230.425)</w:t>
      </w:r>
    </w:p>
    <w:p>
      <w:pPr>
        <w:pStyle w:val="TextBody"/>
        <w:bidi w:val="0"/>
        <w:spacing w:lineRule="auto" w:line="288" w:before="120" w:after="283"/>
        <w:jc w:val="both"/>
        <w:rPr/>
      </w:pPr>
      <w:r>
        <w:rPr>
          <w:color w:val="000000"/>
        </w:rPr>
        <w:t xml:space="preserve">☐ </w:t>
      </w:r>
      <w:r>
        <w:rPr>
          <w:rFonts w:ascii="Arial;sans-serif" w:hAnsi="Arial;sans-serif"/>
          <w:b w:val="false"/>
          <w:color w:val="000000"/>
          <w:sz w:val="20"/>
        </w:rPr>
        <w:t>Soliciting material pursuant to Rule 14a-12 under the Exchange Act (17 CFR 240.14a.-12)</w:t>
      </w:r>
    </w:p>
    <w:p>
      <w:pPr>
        <w:pStyle w:val="TextBody"/>
        <w:bidi w:val="0"/>
        <w:spacing w:lineRule="auto" w:line="288" w:before="120" w:after="283"/>
        <w:jc w:val="both"/>
        <w:rPr/>
      </w:pPr>
      <w:r>
        <w:rPr>
          <w:color w:val="000000"/>
        </w:rPr>
        <w:t xml:space="preserve">☐ </w:t>
      </w:r>
      <w:r>
        <w:rPr>
          <w:rFonts w:ascii="Arial;sans-serif" w:hAnsi="Arial;sans-serif"/>
          <w:b w:val="false"/>
          <w:color w:val="000000"/>
          <w:sz w:val="20"/>
        </w:rPr>
        <w:t>Pre-commencement communications pursuant to Rule 14d-2(b) under the Exchange Act (17 CFR 240.14d-2(b))</w:t>
      </w:r>
    </w:p>
    <w:p>
      <w:pPr>
        <w:pStyle w:val="TextBody"/>
        <w:bidi w:val="0"/>
        <w:spacing w:lineRule="auto" w:line="288" w:before="0" w:after="0"/>
        <w:jc w:val="both"/>
        <w:rPr/>
      </w:pPr>
      <w:r>
        <w:rPr>
          <w:color w:val="000000"/>
        </w:rPr>
        <w:t xml:space="preserve">☐ </w:t>
      </w:r>
      <w:r>
        <w:rPr>
          <w:rFonts w:ascii="Arial;sans-serif" w:hAnsi="Arial;sans-serif"/>
          <w:b w:val="false"/>
          <w:color w:val="000000"/>
          <w:sz w:val="20"/>
        </w:rPr>
        <w:t>Pre-commencement communications pursuant to Rule 13e-4 (c) under the Exchange Act (17 CFR 240.13e-4(c))</w:t>
      </w:r>
    </w:p>
    <w:tbl>
      <w:tblPr>
        <w:tblW w:w="8488" w:type="dxa"/>
        <w:jc w:val="center"/>
        <w:tblInd w:w="0" w:type="dxa"/>
        <w:tblLayout w:type="fixed"/>
        <w:tblCellMar>
          <w:top w:w="28" w:type="dxa"/>
          <w:left w:w="28" w:type="dxa"/>
          <w:bottom w:w="28" w:type="dxa"/>
          <w:right w:w="28" w:type="dxa"/>
        </w:tblCellMar>
      </w:tblPr>
      <w:tblGrid>
        <w:gridCol w:w="1059"/>
        <w:gridCol w:w="928"/>
        <w:gridCol w:w="938"/>
        <w:gridCol w:w="519"/>
        <w:gridCol w:w="519"/>
        <w:gridCol w:w="521"/>
        <w:gridCol w:w="1170"/>
        <w:gridCol w:w="1170"/>
        <w:gridCol w:w="1664"/>
      </w:tblGrid>
      <w:tr>
        <w:trPr/>
        <w:tc>
          <w:tcPr>
            <w:tcW w:w="105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Ticker symbol(s)</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Name of each exchange on which registered</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$0.01 par value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JKHY</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Nasdaq Global Select Market</w:t>
            </w:r>
          </w:p>
        </w:tc>
      </w:tr>
    </w:tbl>
    <w:p>
      <w:pPr>
        <w:pStyle w:val="TextBody"/>
        <w:bidi w:val="0"/>
        <w:spacing w:before="0" w:after="0"/>
        <w:jc w:val="both"/>
        <w:rPr/>
      </w:pPr>
      <w:r>
        <w:rPr/>
      </w:r>
    </w:p>
    <w:p>
      <w:pPr>
        <w:pStyle w:val="TextBody"/>
        <w:bidi w:val="0"/>
        <w:spacing w:lineRule="auto" w:line="288" w:before="0" w:after="0"/>
        <w:ind w:left="0" w:right="0" w:firstLine="270"/>
        <w:jc w:val="both"/>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as defined in Rule 405 of the Securities Act of 1933 (§230.405 of this chapter) or Rule 12b-2 of the Securities Exchange Act of 1934 (§240.12b-2 of this chapter).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Arial;sans-serif" w:hAnsi="Arial;sans-serif"/>
          <w:b w:val="false"/>
          <w:color w:val="000000"/>
          <w:sz w:val="20"/>
        </w:rPr>
        <w:t xml:space="preserve">Emerging growth company </w:t>
      </w:r>
      <w:r>
        <w:rPr>
          <w:color w:val="000000"/>
        </w:rPr>
        <w:t xml:space="preserve">☐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200"/>
        <w:jc w:val="both"/>
        <w:rPr>
          <w:rFonts w:ascii="Arial;sans-serif" w:hAnsi="Arial;sans-serif"/>
          <w:b/>
          <w:color w:val="000000"/>
          <w:sz w:val="20"/>
        </w:rPr>
      </w:pPr>
      <w:r>
        <w:rPr>
          <w:rFonts w:ascii="Arial;sans-serif" w:hAnsi="Arial;sans-serif"/>
          <w:b/>
          <w:color w:val="000000"/>
          <w:sz w:val="20"/>
        </w:rPr>
        <w:t>Item 2.02</w:t>
      </w:r>
    </w:p>
    <w:p>
      <w:pPr>
        <w:pStyle w:val="TextBody"/>
        <w:bidi w:val="0"/>
        <w:spacing w:lineRule="auto" w:line="288" w:before="100" w:after="100"/>
        <w:jc w:val="left"/>
        <w:rPr>
          <w:rFonts w:ascii="Arial;sans-serif" w:hAnsi="Arial;sans-serif"/>
          <w:b/>
          <w:color w:val="000000"/>
          <w:sz w:val="20"/>
        </w:rPr>
      </w:pPr>
      <w:r>
        <w:rPr>
          <w:rFonts w:ascii="Arial;sans-serif" w:hAnsi="Arial;sans-serif"/>
          <w:b/>
          <w:color w:val="000000"/>
          <w:sz w:val="20"/>
        </w:rPr>
        <w:t>Results of Operations and Financial Condition.</w:t>
      </w:r>
    </w:p>
    <w:p>
      <w:pPr>
        <w:pStyle w:val="TextBody"/>
        <w:bidi w:val="0"/>
        <w:spacing w:lineRule="auto" w:line="288" w:before="100" w:after="100"/>
        <w:ind w:left="0" w:right="0" w:firstLine="270"/>
        <w:jc w:val="both"/>
        <w:rPr>
          <w:rFonts w:ascii="Arial;sans-serif" w:hAnsi="Arial;sans-serif"/>
          <w:b w:val="false"/>
          <w:color w:val="000000"/>
          <w:sz w:val="20"/>
        </w:rPr>
      </w:pPr>
      <w:r>
        <w:rPr>
          <w:rFonts w:ascii="Arial;sans-serif" w:hAnsi="Arial;sans-serif"/>
          <w:b w:val="false"/>
          <w:color w:val="000000"/>
          <w:sz w:val="20"/>
        </w:rPr>
        <w:t>On August 18, 2026, Jack Henry &amp; Associates, Inc. issued a press release announcing fiscal 2026 fourth quarter and full year results, the text of which is attached hereto as Exhibit 99.1.</w:t>
      </w:r>
    </w:p>
    <w:p>
      <w:pPr>
        <w:pStyle w:val="TextBody"/>
        <w:bidi w:val="0"/>
        <w:spacing w:before="100" w:after="100"/>
        <w:ind w:left="0" w:right="0" w:firstLine="270"/>
        <w:jc w:val="both"/>
        <w:rPr/>
      </w:pPr>
      <w:r>
        <w:rPr/>
      </w:r>
    </w:p>
    <w:p>
      <w:pPr>
        <w:pStyle w:val="TextBody"/>
        <w:bidi w:val="0"/>
        <w:spacing w:lineRule="auto" w:line="288" w:before="100" w:after="100"/>
        <w:jc w:val="left"/>
        <w:rPr>
          <w:rFonts w:ascii="Arial;sans-serif" w:hAnsi="Arial;sans-serif"/>
          <w:b/>
          <w:color w:val="000000"/>
          <w:sz w:val="20"/>
        </w:rPr>
      </w:pPr>
      <w:r>
        <w:rPr>
          <w:rFonts w:ascii="Arial;sans-serif" w:hAnsi="Arial;sans-serif"/>
          <w:b/>
          <w:color w:val="000000"/>
          <w:sz w:val="20"/>
        </w:rPr>
        <w:t>Item 9.01</w:t>
      </w:r>
    </w:p>
    <w:p>
      <w:pPr>
        <w:pStyle w:val="TextBody"/>
        <w:bidi w:val="0"/>
        <w:spacing w:lineRule="auto" w:line="288" w:before="100" w:after="100"/>
        <w:jc w:val="both"/>
        <w:rPr>
          <w:rFonts w:ascii="Arial;sans-serif" w:hAnsi="Arial;sans-serif"/>
          <w:b/>
          <w:color w:val="000000"/>
          <w:sz w:val="20"/>
        </w:rPr>
      </w:pPr>
      <w:r>
        <w:rPr>
          <w:rFonts w:ascii="Arial;sans-serif" w:hAnsi="Arial;sans-serif"/>
          <w:b/>
          <w:color w:val="000000"/>
          <w:sz w:val="20"/>
        </w:rPr>
        <w:t>Financial Statements and Exhibits.</w:t>
      </w:r>
    </w:p>
    <w:p>
      <w:pPr>
        <w:pStyle w:val="TextBody"/>
        <w:bidi w:val="0"/>
        <w:spacing w:lineRule="auto" w:line="288" w:before="100" w:after="100"/>
        <w:ind w:left="0" w:right="0" w:firstLine="270"/>
        <w:jc w:val="both"/>
        <w:rPr>
          <w:rFonts w:ascii="Arial;sans-serif" w:hAnsi="Arial;sans-serif"/>
          <w:b w:val="false"/>
          <w:color w:val="000000"/>
          <w:sz w:val="20"/>
        </w:rPr>
      </w:pPr>
      <w:r>
        <w:rPr>
          <w:rFonts w:ascii="Arial;sans-serif" w:hAnsi="Arial;sans-serif"/>
          <w:b w:val="false"/>
          <w:color w:val="000000"/>
          <w:sz w:val="20"/>
        </w:rPr>
        <w:t>(d)    Exhibits    </w:t>
      </w:r>
    </w:p>
    <w:p>
      <w:pPr>
        <w:pStyle w:val="TextBody"/>
        <w:bidi w:val="0"/>
        <w:spacing w:lineRule="auto" w:line="288" w:before="100" w:after="100"/>
        <w:ind w:left="0" w:right="0" w:firstLine="270"/>
        <w:jc w:val="left"/>
        <w:rPr/>
      </w:pPr>
      <w:r>
        <w:rPr>
          <w:color w:val="000000"/>
        </w:rPr>
        <w:t>    </w:t>
      </w:r>
      <w:r>
        <w:rPr>
          <w:rFonts w:ascii="Arial;sans-serif" w:hAnsi="Arial;sans-serif"/>
          <w:b w:val="false"/>
          <w:color w:val="000000"/>
          <w:sz w:val="20"/>
        </w:rPr>
        <w:t>99.1     </w:t>
      </w:r>
      <w:hyperlink w:anchor="jkhy-20260630xex99pressrel.htm">
        <w:r>
          <w:rPr>
            <w:rStyle w:val="InternetLink"/>
            <w:rFonts w:ascii="Arial;sans-serif" w:hAnsi="Arial;sans-serif"/>
            <w:b w:val="false"/>
            <w:color w:val="0000FF"/>
            <w:sz w:val="20"/>
            <w:u w:val="single"/>
          </w:rPr>
          <w:t>Press release dated August 18, 2026</w:t>
        </w:r>
      </w:hyperlink>
    </w:p>
    <w:p>
      <w:pPr>
        <w:pStyle w:val="TextBody"/>
        <w:bidi w:val="0"/>
        <w:spacing w:lineRule="auto" w:line="288" w:before="100" w:after="100"/>
        <w:ind w:left="0" w:right="0" w:firstLine="270"/>
        <w:jc w:val="left"/>
        <w:rPr>
          <w:rFonts w:ascii="Arial;sans-serif" w:hAnsi="Arial;sans-serif"/>
          <w:b w:val="false"/>
          <w:color w:val="000000"/>
          <w:sz w:val="20"/>
        </w:rPr>
      </w:pPr>
      <w:r>
        <w:rPr>
          <w:rFonts w:ascii="Arial;sans-serif" w:hAnsi="Arial;sans-serif"/>
          <w:b w:val="false"/>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100"/>
        <w:ind w:left="0" w:right="0" w:firstLine="270"/>
        <w:jc w:val="both"/>
        <w:rPr/>
      </w:pPr>
      <w:r>
        <w:rPr/>
      </w:r>
    </w:p>
    <w:p>
      <w:pPr>
        <w:pStyle w:val="TextBody"/>
        <w:bidi w:val="0"/>
        <w:spacing w:lineRule="auto" w:line="288" w:before="100" w:after="20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00" w:after="100"/>
        <w:ind w:left="0" w:right="0" w:firstLine="27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5876" w:type="dxa"/>
        <w:jc w:val="left"/>
        <w:tblInd w:w="0" w:type="dxa"/>
        <w:tblLayout w:type="fixed"/>
        <w:tblCellMar>
          <w:top w:w="28" w:type="dxa"/>
          <w:left w:w="28" w:type="dxa"/>
          <w:bottom w:w="28" w:type="dxa"/>
          <w:right w:w="28" w:type="dxa"/>
        </w:tblCellMar>
      </w:tblPr>
      <w:tblGrid>
        <w:gridCol w:w="211"/>
        <w:gridCol w:w="186"/>
        <w:gridCol w:w="188"/>
        <w:gridCol w:w="509"/>
        <w:gridCol w:w="509"/>
        <w:gridCol w:w="511"/>
        <w:gridCol w:w="109"/>
        <w:gridCol w:w="109"/>
        <w:gridCol w:w="109"/>
        <w:gridCol w:w="1006"/>
        <w:gridCol w:w="1006"/>
        <w:gridCol w:w="1423"/>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JACK HENRY &amp; ASSOCIATES,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(Registrant)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Mimi L. Carsley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Mimi L. Carsley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 and Treasurer</w:t>
            </w:r>
          </w:p>
        </w:tc>
      </w:tr>
    </w:tbl>
    <w:p>
      <w:pPr>
        <w:pStyle w:val="TextBody"/>
        <w:bidi w:val="0"/>
        <w:ind w:left="0" w:right="0" w:firstLine="27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630"/>
        <w:jc w:val="left"/>
        <w:rPr/>
      </w:pPr>
      <w:r>
        <w:rPr/>
        <w:drawing>
          <wp:inline distT="0" distB="0" distL="0" distR="0">
            <wp:extent cx="7772400" cy="952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80"/>
        <w:gridCol w:w="950"/>
        <w:gridCol w:w="951"/>
        <w:gridCol w:w="2114"/>
        <w:gridCol w:w="2114"/>
        <w:gridCol w:w="2996"/>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996" w:type="dxa"/>
            <w:tcBorders/>
            <w:vAlign w:val="center"/>
          </w:tcPr>
          <w:p>
            <w:pPr>
              <w:pStyle w:val="TableContents"/>
              <w:bidi w:val="0"/>
              <w:spacing w:before="0" w:after="283"/>
              <w:jc w:val="left"/>
              <w:rPr>
                <w:sz w:val="4"/>
                <w:szCs w:val="4"/>
              </w:rPr>
            </w:pPr>
            <w:r>
              <w:rPr>
                <w:sz w:val="4"/>
                <w:szCs w:val="4"/>
              </w:rPr>
            </w:r>
          </w:p>
        </w:tc>
      </w:tr>
      <w:tr>
        <w:trPr/>
        <w:tc>
          <w:tcPr>
            <w:tcW w:w="298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28800" cy="3810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828800" cy="381000"/>
                          </a:xfrm>
                          <a:prstGeom prst="rect">
                            <a:avLst/>
                          </a:prstGeom>
                        </pic:spPr>
                      </pic:pic>
                    </a:graphicData>
                  </a:graphic>
                </wp:inline>
              </w:drawing>
            </w:r>
          </w:p>
        </w:tc>
        <w:tc>
          <w:tcPr>
            <w:tcW w:w="7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vMerge w:val="continue"/>
            <w:tcBorders/>
            <w:tcMar>
              <w:top w:w="0" w:type="dxa"/>
              <w:left w:w="0" w:type="dxa"/>
              <w:bottom w:w="0" w:type="dxa"/>
              <w:right w:w="0" w:type="dxa"/>
            </w:tcMar>
            <w:vAlign w:val="center"/>
          </w:tcPr>
          <w:p>
            <w:pPr>
              <w:pStyle w:val="Normal"/>
              <w:bidi w:val="0"/>
              <w:jc w:val="left"/>
              <w:rPr/>
            </w:pPr>
            <w:r>
              <w:rPr/>
            </w:r>
          </w:p>
        </w:tc>
        <w:tc>
          <w:tcPr>
            <w:tcW w:w="7224" w:type="dxa"/>
            <w:gridSpan w:val="3"/>
            <w:tcBorders/>
            <w:shd w:fill="085CE5"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FFFFFF"/>
                <w:sz w:val="24"/>
              </w:rPr>
            </w:pPr>
            <w:r>
              <w:rPr>
                <w:rFonts w:ascii="Poppins;sans-serif" w:hAnsi="Poppins;sans-serif"/>
                <w:b/>
                <w:color w:val="FFFFFF"/>
                <w:sz w:val="24"/>
              </w:rPr>
              <w:t>Press Release</w:t>
            </w:r>
          </w:p>
        </w:tc>
      </w:tr>
      <w:tr>
        <w:trPr/>
        <w:tc>
          <w:tcPr>
            <w:tcW w:w="2981" w:type="dxa"/>
            <w:gridSpan w:val="3"/>
            <w:vMerge w:val="continue"/>
            <w:tcBorders/>
            <w:tcMar>
              <w:top w:w="0" w:type="dxa"/>
              <w:left w:w="0" w:type="dxa"/>
              <w:bottom w:w="0" w:type="dxa"/>
              <w:right w:w="0" w:type="dxa"/>
            </w:tcMar>
            <w:vAlign w:val="center"/>
          </w:tcPr>
          <w:p>
            <w:pPr>
              <w:pStyle w:val="Normal"/>
              <w:bidi w:val="0"/>
              <w:jc w:val="left"/>
              <w:rPr/>
            </w:pPr>
            <w:r>
              <w:rPr/>
            </w:r>
          </w:p>
        </w:tc>
        <w:tc>
          <w:tcPr>
            <w:tcW w:w="7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vMerge w:val="continue"/>
            <w:tcBorders/>
            <w:tcMar>
              <w:top w:w="0" w:type="dxa"/>
              <w:left w:w="0" w:type="dxa"/>
              <w:bottom w:w="0" w:type="dxa"/>
              <w:right w:w="0" w:type="dxa"/>
            </w:tcMar>
            <w:vAlign w:val="center"/>
          </w:tcPr>
          <w:p>
            <w:pPr>
              <w:pStyle w:val="Normal"/>
              <w:bidi w:val="0"/>
              <w:jc w:val="left"/>
              <w:rPr/>
            </w:pPr>
            <w:r>
              <w:rPr/>
            </w:r>
          </w:p>
        </w:tc>
        <w:tc>
          <w:tcPr>
            <w:tcW w:w="72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Poppins;sans-serif" w:hAnsi="Poppins;sans-serif"/>
                <w:b/>
                <w:color w:val="06185F"/>
                <w:sz w:val="20"/>
              </w:rPr>
              <w:t xml:space="preserve">Mimi L. Carsley </w:t>
            </w:r>
            <w:r>
              <w:rPr>
                <w:rFonts w:ascii="Poppins;sans-serif" w:hAnsi="Poppins;sans-serif"/>
                <w:b/>
                <w:color w:val="085CE5"/>
                <w:sz w:val="20"/>
              </w:rPr>
              <w:t>|</w:t>
            </w:r>
            <w:r>
              <w:rPr>
                <w:color w:val="06185F"/>
              </w:rPr>
              <w:t xml:space="preserve"> </w:t>
            </w:r>
            <w:r>
              <w:rPr>
                <w:rFonts w:ascii="Poppins;sans-serif" w:hAnsi="Poppins;sans-serif"/>
                <w:b/>
                <w:color w:val="06185F"/>
                <w:sz w:val="20"/>
              </w:rPr>
              <w:t xml:space="preserve">Chief Financial Officer </w:t>
            </w:r>
            <w:r>
              <w:rPr>
                <w:rFonts w:ascii="Poppins;sans-serif" w:hAnsi="Poppins;sans-serif"/>
                <w:b/>
                <w:color w:val="085CE5"/>
                <w:sz w:val="20"/>
              </w:rPr>
              <w:t>|</w:t>
            </w:r>
            <w:r>
              <w:rPr>
                <w:color w:val="06185F"/>
              </w:rPr>
              <w:t xml:space="preserve"> </w:t>
            </w:r>
            <w:r>
              <w:rPr>
                <w:rFonts w:ascii="Poppins;sans-serif" w:hAnsi="Poppins;sans-serif"/>
                <w:b/>
                <w:color w:val="06185F"/>
                <w:sz w:val="20"/>
              </w:rPr>
              <w:t>mcarsley@jackhenry.com</w:t>
            </w:r>
          </w:p>
        </w:tc>
      </w:tr>
    </w:tbl>
    <w:p>
      <w:pPr>
        <w:pStyle w:val="TextBody"/>
        <w:bidi w:val="0"/>
        <w:spacing w:before="0" w:after="0"/>
        <w:jc w:val="left"/>
        <w:rPr/>
      </w:pPr>
      <w:r>
        <w:rPr/>
      </w:r>
    </w:p>
    <w:p>
      <w:pPr>
        <w:pStyle w:val="TextBody"/>
        <w:bidi w:val="0"/>
        <w:spacing w:lineRule="auto" w:line="333" w:before="40" w:after="283"/>
        <w:jc w:val="left"/>
        <w:rPr>
          <w:rFonts w:ascii="Poppins SemiBold;sans-serif" w:hAnsi="Poppins SemiBold;sans-serif"/>
          <w:b/>
          <w:color w:val="575A5D"/>
          <w:sz w:val="18"/>
        </w:rPr>
      </w:pPr>
      <w:r>
        <w:rPr>
          <w:rFonts w:ascii="Poppins SemiBold;sans-serif" w:hAnsi="Poppins SemiBold;sans-serif"/>
          <w:b/>
          <w:color w:val="575A5D"/>
          <w:sz w:val="18"/>
        </w:rPr>
        <w:t>FOR IMMEDIATE RELEASE</w:t>
      </w:r>
    </w:p>
    <w:p>
      <w:pPr>
        <w:pStyle w:val="TextBody"/>
        <w:bidi w:val="0"/>
        <w:spacing w:lineRule="auto" w:line="288" w:before="0" w:after="0"/>
        <w:jc w:val="left"/>
        <w:rPr/>
      </w:pPr>
      <w:r>
        <w:rPr>
          <w:rFonts w:ascii="Poppins;sans-serif" w:hAnsi="Poppins;sans-serif"/>
          <w:b/>
          <w:color w:val="06185F"/>
          <w:sz w:val="28"/>
        </w:rPr>
        <w:t>Jack Henry &amp; Associates, Inc. Reports Fourth Quarter and Full Year Fiscal 2026 Results</w:t>
        <w:br/>
      </w:r>
      <w:r>
        <w:rPr/>
        <w:drawing>
          <wp:inline distT="0" distB="0" distL="0" distR="0">
            <wp:extent cx="571500" cy="47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571500" cy="47625"/>
                    </a:xfrm>
                    <a:prstGeom prst="rect">
                      <a:avLst/>
                    </a:prstGeom>
                  </pic:spPr>
                </pic:pic>
              </a:graphicData>
            </a:graphic>
          </wp:inline>
        </w:drawing>
      </w:r>
    </w:p>
    <w:p>
      <w:pPr>
        <w:pStyle w:val="TextBody"/>
        <w:bidi w:val="0"/>
        <w:spacing w:lineRule="auto" w:line="288" w:before="60" w:after="283"/>
        <w:jc w:val="left"/>
        <w:rPr/>
      </w:pPr>
      <w:r>
        <w:rPr>
          <w:rFonts w:ascii="Poppins;sans-serif" w:hAnsi="Poppins;sans-serif"/>
          <w:b/>
          <w:color w:val="06185F"/>
          <w:sz w:val="18"/>
          <w:u w:val="single"/>
        </w:rPr>
        <w:t>Fourth quarter summary</w:t>
      </w:r>
      <w:r>
        <w:rPr>
          <w:rFonts w:ascii="Poppins;sans-serif" w:hAnsi="Poppins;sans-serif"/>
          <w:b/>
          <w:color w:val="06185F"/>
          <w:sz w:val="18"/>
        </w:rPr>
        <w:t>:</w:t>
      </w:r>
    </w:p>
    <w:p>
      <w:pPr>
        <w:pStyle w:val="TextBody"/>
        <w:bidi w:val="0"/>
        <w:spacing w:lineRule="auto" w:line="288" w:before="60" w:after="40"/>
        <w:ind w:left="0" w:right="0" w:hanging="360"/>
        <w:jc w:val="both"/>
        <w:rPr/>
      </w:pPr>
      <w:r>
        <w:rPr>
          <w:color w:val="06185F"/>
        </w:rPr>
        <w:t>•</w:t>
      </w:r>
      <w:r>
        <w:rPr>
          <w:rFonts w:ascii="Poppins;sans-serif" w:hAnsi="Poppins;sans-serif"/>
          <w:b w:val="false"/>
          <w:color w:val="000000"/>
          <w:sz w:val="18"/>
        </w:rPr>
        <w:t>GAAP revenue increased 4.7% and GAAP operating income decreased 12.2% for the fiscal three months ended June 30, 2026, compared to the prior fiscal year quarter.</w:t>
      </w:r>
    </w:p>
    <w:p>
      <w:pPr>
        <w:pStyle w:val="TextBody"/>
        <w:bidi w:val="0"/>
        <w:spacing w:lineRule="auto" w:line="288" w:before="0" w:after="40"/>
        <w:ind w:left="0" w:right="0" w:hanging="360"/>
        <w:jc w:val="both"/>
        <w:rPr/>
      </w:pPr>
      <w:r>
        <w:rPr>
          <w:color w:val="000000"/>
        </w:rPr>
        <w:t>•</w:t>
      </w:r>
      <w:r>
        <w:rPr>
          <w:rFonts w:ascii="Poppins;sans-serif" w:hAnsi="Poppins;sans-serif"/>
          <w:b w:val="false"/>
          <w:color w:val="000000"/>
          <w:sz w:val="18"/>
        </w:rPr>
        <w:t>Non-GAAP adjusted revenue increased 6.6% and non-GAAP adjusted operating income decreased 3.1% for the fiscal three months ended June 30, 2026, compared to the prior fiscal year quarter.</w:t>
      </w:r>
      <w:r>
        <w:rPr>
          <w:rFonts w:ascii="Poppins;sans-serif" w:hAnsi="Poppins;sans-serif"/>
          <w:b w:val="false"/>
          <w:color w:val="000000"/>
          <w:sz w:val="12"/>
        </w:rPr>
        <w:t>1</w:t>
      </w:r>
    </w:p>
    <w:p>
      <w:pPr>
        <w:pStyle w:val="TextBody"/>
        <w:bidi w:val="0"/>
        <w:spacing w:lineRule="auto" w:line="288" w:before="0" w:after="40"/>
        <w:ind w:left="0" w:right="0" w:hanging="360"/>
        <w:jc w:val="both"/>
        <w:rPr/>
      </w:pPr>
      <w:r>
        <w:rPr>
          <w:color w:val="000000"/>
        </w:rPr>
        <w:t>•</w:t>
      </w:r>
      <w:r>
        <w:rPr>
          <w:rFonts w:ascii="Poppins;sans-serif" w:hAnsi="Poppins;sans-serif"/>
          <w:b w:val="false"/>
          <w:color w:val="000000"/>
          <w:sz w:val="18"/>
        </w:rPr>
        <w:t>GAAP EPS was $1.57 per diluted share for the fiscal three months ended June 30, 2026, compared to $1.75 per diluted share in the prior fiscal year quarter representing contraction of 10.2%.</w:t>
      </w:r>
    </w:p>
    <w:p>
      <w:pPr>
        <w:pStyle w:val="TextBody"/>
        <w:bidi w:val="0"/>
        <w:spacing w:lineRule="auto" w:line="288" w:before="0" w:after="40"/>
        <w:ind w:left="0" w:right="0" w:hanging="360"/>
        <w:jc w:val="both"/>
        <w:rPr/>
      </w:pPr>
      <w:r>
        <w:rPr>
          <w:color w:val="000000"/>
        </w:rPr>
        <w:t>•</w:t>
      </w:r>
      <w:r>
        <w:rPr>
          <w:rFonts w:ascii="Poppins;sans-serif" w:hAnsi="Poppins;sans-serif"/>
          <w:b w:val="false"/>
          <w:color w:val="000000"/>
          <w:sz w:val="18"/>
        </w:rPr>
        <w:t>Stock repurchases for the fiscal three months ended June 30, 2026, were $164 million at an average price of $140 per share.</w:t>
      </w:r>
    </w:p>
    <w:p>
      <w:pPr>
        <w:pStyle w:val="TextBody"/>
        <w:bidi w:val="0"/>
        <w:spacing w:lineRule="auto" w:line="288" w:before="60" w:after="40"/>
        <w:jc w:val="both"/>
        <w:rPr/>
      </w:pPr>
      <w:r>
        <w:rPr>
          <w:rFonts w:ascii="Poppins;sans-serif" w:hAnsi="Poppins;sans-serif"/>
          <w:b/>
          <w:color w:val="06185F"/>
          <w:sz w:val="18"/>
          <w:u w:val="single"/>
        </w:rPr>
        <w:t>Fiscal year summary</w:t>
      </w:r>
      <w:r>
        <w:rPr>
          <w:rFonts w:ascii="Poppins;sans-serif" w:hAnsi="Poppins;sans-serif"/>
          <w:b/>
          <w:color w:val="06185F"/>
          <w:sz w:val="18"/>
        </w:rPr>
        <w:t>:</w:t>
      </w:r>
    </w:p>
    <w:p>
      <w:pPr>
        <w:pStyle w:val="TextBody"/>
        <w:bidi w:val="0"/>
        <w:spacing w:lineRule="auto" w:line="288" w:before="60" w:after="40"/>
        <w:ind w:left="0" w:right="0" w:hanging="360"/>
        <w:jc w:val="both"/>
        <w:rPr/>
      </w:pPr>
      <w:r>
        <w:rPr>
          <w:color w:val="000000"/>
        </w:rPr>
        <w:t>•</w:t>
      </w:r>
      <w:r>
        <w:rPr>
          <w:rFonts w:ascii="Poppins;sans-serif" w:hAnsi="Poppins;sans-serif"/>
          <w:b w:val="false"/>
          <w:color w:val="000000"/>
          <w:sz w:val="18"/>
        </w:rPr>
        <w:t>GAAP revenue increased 7.1% and GAAP operating income increased 11.7% for the fiscal year ended June 30, 2026, compared to the prior fiscal year.</w:t>
      </w:r>
    </w:p>
    <w:p>
      <w:pPr>
        <w:pStyle w:val="TextBody"/>
        <w:bidi w:val="0"/>
        <w:spacing w:lineRule="auto" w:line="288" w:before="0" w:after="40"/>
        <w:ind w:left="0" w:right="0" w:hanging="360"/>
        <w:jc w:val="both"/>
        <w:rPr/>
      </w:pPr>
      <w:r>
        <w:rPr>
          <w:color w:val="000000"/>
        </w:rPr>
        <w:t>•     </w:t>
      </w:r>
      <w:r>
        <w:rPr>
          <w:rFonts w:ascii="Poppins;sans-serif" w:hAnsi="Poppins;sans-serif"/>
          <w:b w:val="false"/>
          <w:color w:val="000000"/>
          <w:sz w:val="18"/>
        </w:rPr>
        <w:t>Non-GAAP adjusted revenue increased 7.3% and non-GAAP adjusted operating income increased 11.6% for the fiscal year ended June 30, 2026, compared to the prior fiscal year.</w:t>
      </w:r>
      <w:r>
        <w:rPr>
          <w:rFonts w:ascii="Poppins;sans-serif" w:hAnsi="Poppins;sans-serif"/>
          <w:b w:val="false"/>
          <w:color w:val="000000"/>
          <w:sz w:val="12"/>
        </w:rPr>
        <w:t>1</w:t>
      </w:r>
    </w:p>
    <w:p>
      <w:pPr>
        <w:pStyle w:val="TextBody"/>
        <w:bidi w:val="0"/>
        <w:spacing w:lineRule="auto" w:line="288" w:before="0" w:after="40"/>
        <w:ind w:left="0" w:right="0" w:hanging="360"/>
        <w:jc w:val="both"/>
        <w:rPr>
          <w:color w:val="000000"/>
        </w:rPr>
      </w:pPr>
      <w:r>
        <w:rPr>
          <w:color w:val="000000"/>
        </w:rPr>
        <w:t>•     </w:t>
      </w:r>
      <w:r>
        <w:rPr>
          <w:rFonts w:ascii="Poppins;sans-serif" w:hAnsi="Poppins;sans-serif"/>
          <w:b w:val="false"/>
          <w:color w:val="000000"/>
          <w:sz w:val="18"/>
        </w:rPr>
        <w:t>GAAP EPS was $6.98 per diluted share for the fiscal year ended June 30, 2026, compared to $6.24 per diluted share in the prior fiscal year representing growth of 11.9%.</w:t>
      </w:r>
    </w:p>
    <w:p>
      <w:pPr>
        <w:pStyle w:val="TextBody"/>
        <w:bidi w:val="0"/>
        <w:spacing w:lineRule="auto" w:line="288" w:before="60" w:after="40"/>
        <w:ind w:left="0" w:right="0" w:hanging="360"/>
        <w:jc w:val="both"/>
        <w:rPr>
          <w:color w:val="000000"/>
        </w:rPr>
      </w:pPr>
      <w:r>
        <w:rPr>
          <w:color w:val="000000"/>
        </w:rPr>
        <w:t>•     </w:t>
      </w:r>
      <w:r>
        <w:rPr>
          <w:rFonts w:ascii="Poppins;sans-serif" w:hAnsi="Poppins;sans-serif"/>
          <w:b w:val="false"/>
          <w:color w:val="000000"/>
          <w:sz w:val="18"/>
        </w:rPr>
        <w:t>Cash and cash equivalents were $12.1 million at June 30, 2026, and $102.0 million at June 30, 2025.</w:t>
      </w:r>
    </w:p>
    <w:p>
      <w:pPr>
        <w:pStyle w:val="TextBody"/>
        <w:bidi w:val="0"/>
        <w:spacing w:lineRule="auto" w:line="288" w:before="0" w:after="0"/>
        <w:ind w:left="0" w:right="0" w:hanging="360"/>
        <w:jc w:val="both"/>
        <w:rPr>
          <w:color w:val="000000"/>
        </w:rPr>
      </w:pPr>
      <w:r>
        <w:rPr>
          <w:color w:val="000000"/>
        </w:rPr>
        <w:t>•    </w:t>
      </w:r>
      <w:r>
        <w:rPr>
          <w:rFonts w:ascii="Poppins;sans-serif" w:hAnsi="Poppins;sans-serif"/>
          <w:b w:val="false"/>
          <w:color w:val="000000"/>
          <w:sz w:val="18"/>
        </w:rPr>
        <w:t>Debt outstanding for credit facilities was $40 million at June 30, 2026, and $0 at June 30, 2025.</w:t>
      </w:r>
    </w:p>
    <w:p>
      <w:pPr>
        <w:pStyle w:val="TextBody"/>
        <w:bidi w:val="0"/>
        <w:spacing w:lineRule="auto" w:line="288" w:before="0" w:after="0"/>
        <w:ind w:left="0" w:right="0" w:hanging="360"/>
        <w:jc w:val="both"/>
        <w:rPr/>
      </w:pPr>
      <w:r>
        <w:rPr>
          <w:color w:val="000000"/>
        </w:rPr>
        <w:t>•</w:t>
      </w:r>
      <w:r>
        <w:rPr>
          <w:rFonts w:ascii="Poppins;sans-serif" w:hAnsi="Poppins;sans-serif"/>
          <w:b w:val="false"/>
          <w:color w:val="000000"/>
          <w:sz w:val="18"/>
        </w:rPr>
        <w:t>Stock repurchases for fiscal year ended June 30, 2026, were $448 million at an average price of $152 per share.</w:t>
      </w:r>
    </w:p>
    <w:p>
      <w:pPr>
        <w:pStyle w:val="TextBody"/>
        <w:bidi w:val="0"/>
        <w:spacing w:lineRule="auto" w:line="288" w:before="120" w:after="283"/>
        <w:jc w:val="both"/>
        <w:rPr>
          <w:rFonts w:ascii="Poppins;sans-serif" w:hAnsi="Poppins;sans-serif"/>
          <w:b/>
          <w:color w:val="06185F"/>
          <w:sz w:val="20"/>
          <w:u w:val="single"/>
        </w:rPr>
      </w:pPr>
      <w:r>
        <w:rPr>
          <w:rFonts w:ascii="Poppins;sans-serif" w:hAnsi="Poppins;sans-serif"/>
          <w:b/>
          <w:color w:val="06185F"/>
          <w:sz w:val="20"/>
          <w:u w:val="single"/>
        </w:rPr>
        <w:t>Compared to the same period in the prior fiscal year:</w:t>
      </w:r>
    </w:p>
    <w:tbl>
      <w:tblPr>
        <w:tblW w:w="9522" w:type="dxa"/>
        <w:jc w:val="left"/>
        <w:tblInd w:w="0" w:type="dxa"/>
        <w:tblLayout w:type="fixed"/>
        <w:tblCellMar>
          <w:top w:w="28" w:type="dxa"/>
          <w:left w:w="28" w:type="dxa"/>
          <w:bottom w:w="28" w:type="dxa"/>
          <w:right w:w="28" w:type="dxa"/>
        </w:tblCellMar>
      </w:tblPr>
      <w:tblGrid>
        <w:gridCol w:w="282"/>
        <w:gridCol w:w="248"/>
        <w:gridCol w:w="248"/>
        <w:gridCol w:w="248"/>
        <w:gridCol w:w="248"/>
        <w:gridCol w:w="248"/>
        <w:gridCol w:w="403"/>
        <w:gridCol w:w="403"/>
        <w:gridCol w:w="425"/>
        <w:gridCol w:w="109"/>
        <w:gridCol w:w="109"/>
        <w:gridCol w:w="109"/>
        <w:gridCol w:w="565"/>
        <w:gridCol w:w="565"/>
        <w:gridCol w:w="565"/>
        <w:gridCol w:w="545"/>
        <w:gridCol w:w="545"/>
        <w:gridCol w:w="556"/>
        <w:gridCol w:w="109"/>
        <w:gridCol w:w="109"/>
        <w:gridCol w:w="109"/>
        <w:gridCol w:w="618"/>
        <w:gridCol w:w="373"/>
        <w:gridCol w:w="373"/>
        <w:gridCol w:w="408"/>
        <w:gridCol w:w="408"/>
        <w:gridCol w:w="594"/>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9"/>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20"/>
              </w:rPr>
            </w:pPr>
            <w:r>
              <w:rPr>
                <w:rFonts w:ascii="Poppins;sans-serif" w:hAnsi="Poppins;sans-serif"/>
                <w:b/>
                <w:color w:val="000000"/>
                <w:sz w:val="20"/>
              </w:rPr>
              <w:t>Fourth Qtr Revenue</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3341"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20"/>
              </w:rPr>
            </w:pPr>
            <w:r>
              <w:rPr>
                <w:rFonts w:ascii="Poppins;sans-serif" w:hAnsi="Poppins;sans-serif"/>
                <w:b/>
                <w:color w:val="000000"/>
                <w:sz w:val="20"/>
              </w:rPr>
              <w:t>Fourth Qtr Operating Income</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774" w:type="dxa"/>
            <w:gridSpan w:val="6"/>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FY'26 Net Income</w:t>
            </w:r>
          </w:p>
        </w:tc>
      </w:tr>
      <w:tr>
        <w:trPr/>
        <w:tc>
          <w:tcPr>
            <w:tcW w:w="2753" w:type="dxa"/>
            <w:gridSpan w:val="9"/>
            <w:tcBorders>
              <w:left w:val="single" w:sz="8"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571500" cy="47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571500" cy="47625"/>
                          </a:xfrm>
                          <a:prstGeom prst="rect">
                            <a:avLst/>
                          </a:prstGeom>
                        </pic:spPr>
                      </pic:pic>
                    </a:graphicData>
                  </a:graphic>
                </wp:inline>
              </w:drawing>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3341"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71500" cy="47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571500" cy="47625"/>
                          </a:xfrm>
                          <a:prstGeom prst="rect">
                            <a:avLst/>
                          </a:prstGeom>
                        </pic:spPr>
                      </pic:pic>
                    </a:graphicData>
                  </a:graphic>
                </wp:inline>
              </w:drawing>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774" w:type="dxa"/>
            <w:gridSpan w:val="6"/>
            <w:tcBorders>
              <w:right w:val="single" w:sz="8" w:space="0" w:color="000000"/>
            </w:tcBorders>
            <w:tcMar>
              <w:top w:w="0" w:type="dxa"/>
              <w:left w:w="0" w:type="dxa"/>
              <w:bottom w:w="0" w:type="dxa"/>
            </w:tcMar>
            <w:vAlign w:val="center"/>
          </w:tcPr>
          <w:p>
            <w:pPr>
              <w:pStyle w:val="TableContents"/>
              <w:bidi w:val="0"/>
              <w:spacing w:before="0" w:after="0"/>
              <w:jc w:val="center"/>
              <w:rPr/>
            </w:pPr>
            <w:r>
              <w:rPr/>
              <w:drawing>
                <wp:inline distT="0" distB="0" distL="0" distR="0">
                  <wp:extent cx="571500" cy="47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571500" cy="47625"/>
                          </a:xfrm>
                          <a:prstGeom prst="rect">
                            <a:avLst/>
                          </a:prstGeom>
                        </pic:spPr>
                      </pic:pic>
                    </a:graphicData>
                  </a:graphic>
                </wp:inline>
              </w:drawing>
            </w:r>
          </w:p>
        </w:tc>
      </w:tr>
      <w:tr>
        <w:trPr/>
        <w:tc>
          <w:tcPr>
            <w:tcW w:w="1522" w:type="dxa"/>
            <w:gridSpan w:val="6"/>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GAAP</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Poppins;sans-serif" w:hAnsi="Poppins;sans-serif"/>
                <w:b/>
                <w:color w:val="06185F"/>
                <w:sz w:val="18"/>
              </w:rPr>
              <w:t>Non-GAAP</w:t>
            </w:r>
            <w:r>
              <w:rPr>
                <w:rFonts w:ascii="Poppins;sans-serif" w:hAnsi="Poppins;sans-serif"/>
                <w:b/>
                <w:color w:val="06185F"/>
                <w:sz w:val="12"/>
              </w:rPr>
              <w:t>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GAAP</w:t>
            </w:r>
          </w:p>
        </w:tc>
        <w:tc>
          <w:tcPr>
            <w:tcW w:w="16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Poppins;sans-serif" w:hAnsi="Poppins;sans-serif"/>
                <w:b/>
                <w:color w:val="06185F"/>
                <w:sz w:val="18"/>
              </w:rPr>
              <w:t>Non-GAAP</w:t>
            </w:r>
            <w:r>
              <w:rPr>
                <w:rFonts w:ascii="Poppins;sans-serif" w:hAnsi="Poppins;sans-serif"/>
                <w:b/>
                <w:color w:val="06185F"/>
                <w:sz w:val="12"/>
              </w:rPr>
              <w:t>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GAAP</w:t>
            </w:r>
          </w:p>
        </w:tc>
        <w:tc>
          <w:tcPr>
            <w:tcW w:w="1410"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0"/>
              <w:jc w:val="center"/>
              <w:rPr/>
            </w:pPr>
            <w:r>
              <w:rPr>
                <w:rFonts w:ascii="Poppins;sans-serif" w:hAnsi="Poppins;sans-serif"/>
                <w:b/>
                <w:color w:val="06185F"/>
                <w:sz w:val="18"/>
              </w:rPr>
              <w:t>Non-GAAP</w:t>
            </w:r>
            <w:r>
              <w:rPr>
                <w:rFonts w:ascii="Poppins;sans-serif" w:hAnsi="Poppins;sans-serif"/>
                <w:b/>
                <w:color w:val="06185F"/>
                <w:sz w:val="12"/>
              </w:rPr>
              <w:t>1</w:t>
            </w:r>
          </w:p>
        </w:tc>
      </w:tr>
      <w:tr>
        <w:trPr/>
        <w:tc>
          <w:tcPr>
            <w:tcW w:w="1522" w:type="dxa"/>
            <w:gridSpan w:val="6"/>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increased</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increased</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decreased</w:t>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decreased</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increased</w:t>
            </w:r>
          </w:p>
        </w:tc>
        <w:tc>
          <w:tcPr>
            <w:tcW w:w="1410"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increased</w:t>
            </w:r>
          </w:p>
        </w:tc>
      </w:tr>
      <w:tr>
        <w:trPr/>
        <w:tc>
          <w:tcPr>
            <w:tcW w:w="1522" w:type="dxa"/>
            <w:gridSpan w:val="6"/>
            <w:vMerge w:val="restart"/>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36"/>
              </w:rPr>
            </w:pPr>
            <w:r>
              <w:rPr>
                <w:rFonts w:ascii="Poppins;sans-serif" w:hAnsi="Poppins;sans-serif"/>
                <w:b/>
                <w:color w:val="06185F"/>
                <w:sz w:val="36"/>
              </w:rPr>
              <w:t>4.7%</w:t>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36"/>
              </w:rPr>
            </w:pPr>
            <w:r>
              <w:rPr>
                <w:rFonts w:ascii="Poppins;sans-serif" w:hAnsi="Poppins;sans-serif"/>
                <w:b/>
                <w:color w:val="06185F"/>
                <w:sz w:val="36"/>
              </w:rPr>
              <w:t>6.6%</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6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36"/>
              </w:rPr>
            </w:pPr>
            <w:r>
              <w:rPr>
                <w:rFonts w:ascii="Poppins;sans-serif" w:hAnsi="Poppins;sans-serif"/>
                <w:b/>
                <w:color w:val="06185F"/>
                <w:sz w:val="36"/>
              </w:rPr>
              <w:t>(12.2)%</w:t>
            </w:r>
          </w:p>
        </w:tc>
        <w:tc>
          <w:tcPr>
            <w:tcW w:w="16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36"/>
              </w:rPr>
            </w:pPr>
            <w:r>
              <w:rPr>
                <w:rFonts w:ascii="Poppins;sans-serif" w:hAnsi="Poppins;sans-serif"/>
                <w:b/>
                <w:color w:val="06185F"/>
                <w:sz w:val="36"/>
              </w:rPr>
              <w:t>(3.1)%</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3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36"/>
              </w:rPr>
            </w:pPr>
            <w:r>
              <w:rPr>
                <w:rFonts w:ascii="Poppins;sans-serif" w:hAnsi="Poppins;sans-serif"/>
                <w:b/>
                <w:color w:val="06185F"/>
                <w:sz w:val="36"/>
              </w:rPr>
              <w:t>10.3%</w:t>
            </w:r>
          </w:p>
        </w:tc>
        <w:tc>
          <w:tcPr>
            <w:tcW w:w="1410" w:type="dxa"/>
            <w:gridSpan w:val="3"/>
            <w:vMerge w:val="restart"/>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Poppins;sans-serif" w:hAnsi="Poppins;sans-serif"/>
                <w:b/>
                <w:color w:val="06185F"/>
                <w:sz w:val="36"/>
              </w:rPr>
            </w:pPr>
            <w:r>
              <w:rPr>
                <w:rFonts w:ascii="Poppins;sans-serif" w:hAnsi="Poppins;sans-serif"/>
                <w:b/>
                <w:color w:val="06185F"/>
                <w:sz w:val="36"/>
              </w:rPr>
              <w:t>10.2%</w:t>
            </w:r>
          </w:p>
        </w:tc>
      </w:tr>
      <w:tr>
        <w:trPr/>
        <w:tc>
          <w:tcPr>
            <w:tcW w:w="1522" w:type="dxa"/>
            <w:gridSpan w:val="6"/>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695" w:type="dxa"/>
            <w:gridSpan w:val="3"/>
            <w:vMerge w:val="continue"/>
            <w:tcBorders/>
            <w:tcMar>
              <w:top w:w="0" w:type="dxa"/>
              <w:left w:w="0" w:type="dxa"/>
              <w:bottom w:w="0" w:type="dxa"/>
              <w:right w:w="0" w:type="dxa"/>
            </w:tcMar>
            <w:vAlign w:val="center"/>
          </w:tcPr>
          <w:p>
            <w:pPr>
              <w:pStyle w:val="Normal"/>
              <w:bidi w:val="0"/>
              <w:jc w:val="left"/>
              <w:rPr/>
            </w:pPr>
            <w:r>
              <w:rPr/>
            </w:r>
          </w:p>
        </w:tc>
        <w:tc>
          <w:tcPr>
            <w:tcW w:w="16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364" w:type="dxa"/>
            <w:gridSpan w:val="3"/>
            <w:vMerge w:val="continue"/>
            <w:tcBorders/>
            <w:tcMar>
              <w:top w:w="0" w:type="dxa"/>
              <w:left w:w="0" w:type="dxa"/>
              <w:bottom w:w="0" w:type="dxa"/>
              <w:right w:w="0" w:type="dxa"/>
            </w:tcMar>
            <w:vAlign w:val="center"/>
          </w:tcPr>
          <w:p>
            <w:pPr>
              <w:pStyle w:val="Normal"/>
              <w:bidi w:val="0"/>
              <w:jc w:val="left"/>
              <w:rPr/>
            </w:pPr>
            <w:r>
              <w:rPr/>
            </w:r>
          </w:p>
        </w:tc>
        <w:tc>
          <w:tcPr>
            <w:tcW w:w="1410" w:type="dxa"/>
            <w:gridSpan w:val="3"/>
            <w:vMerge w:val="continue"/>
            <w:tcBorders>
              <w:right w:val="single" w:sz="8" w:space="0" w:color="000000"/>
            </w:tcBorders>
            <w:tcMar>
              <w:top w:w="0" w:type="dxa"/>
              <w:left w:w="0" w:type="dxa"/>
              <w:bottom w:w="0" w:type="dxa"/>
            </w:tcMar>
            <w:vAlign w:val="center"/>
          </w:tcPr>
          <w:p>
            <w:pPr>
              <w:pStyle w:val="Normal"/>
              <w:bidi w:val="0"/>
              <w:jc w:val="left"/>
              <w:rPr/>
            </w:pPr>
            <w:r>
              <w:rPr/>
            </w:r>
          </w:p>
        </w:tc>
      </w:tr>
      <w:tr>
        <w:trPr/>
        <w:tc>
          <w:tcPr>
            <w:tcW w:w="77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2753" w:type="dxa"/>
            <w:gridSpan w:val="9"/>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FY'26 Revenue</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334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FY'26 Operating Income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6"/>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FY'26 EBITDA</w:t>
            </w:r>
          </w:p>
        </w:tc>
      </w:tr>
      <w:tr>
        <w:trPr/>
        <w:tc>
          <w:tcPr>
            <w:tcW w:w="2753" w:type="dxa"/>
            <w:gridSpan w:val="9"/>
            <w:tcBorders>
              <w:left w:val="single" w:sz="8"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571500" cy="47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571500" cy="47625"/>
                          </a:xfrm>
                          <a:prstGeom prst="rect">
                            <a:avLst/>
                          </a:prstGeom>
                        </pic:spPr>
                      </pic:pic>
                    </a:graphicData>
                  </a:graphic>
                </wp:inline>
              </w:drawing>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3341"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71500" cy="47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571500" cy="47625"/>
                          </a:xfrm>
                          <a:prstGeom prst="rect">
                            <a:avLst/>
                          </a:prstGeom>
                        </pic:spPr>
                      </pic:pic>
                    </a:graphicData>
                  </a:graphic>
                </wp:inline>
              </w:drawing>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774" w:type="dxa"/>
            <w:gridSpan w:val="6"/>
            <w:tcBorders>
              <w:right w:val="single" w:sz="8" w:space="0" w:color="000000"/>
            </w:tcBorders>
            <w:tcMar>
              <w:top w:w="0" w:type="dxa"/>
              <w:left w:w="0" w:type="dxa"/>
              <w:bottom w:w="0" w:type="dxa"/>
            </w:tcMar>
            <w:vAlign w:val="center"/>
          </w:tcPr>
          <w:p>
            <w:pPr>
              <w:pStyle w:val="TableContents"/>
              <w:bidi w:val="0"/>
              <w:spacing w:before="0" w:after="0"/>
              <w:jc w:val="center"/>
              <w:rPr/>
            </w:pPr>
            <w:r>
              <w:rPr/>
              <w:drawing>
                <wp:inline distT="0" distB="0" distL="0" distR="0">
                  <wp:extent cx="571500" cy="47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571500" cy="47625"/>
                          </a:xfrm>
                          <a:prstGeom prst="rect">
                            <a:avLst/>
                          </a:prstGeom>
                        </pic:spPr>
                      </pic:pic>
                    </a:graphicData>
                  </a:graphic>
                </wp:inline>
              </w:drawing>
            </w:r>
          </w:p>
        </w:tc>
      </w:tr>
      <w:tr>
        <w:trPr/>
        <w:tc>
          <w:tcPr>
            <w:tcW w:w="1522" w:type="dxa"/>
            <w:gridSpan w:val="6"/>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GAAP</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Poppins;sans-serif" w:hAnsi="Poppins;sans-serif"/>
                <w:b/>
                <w:color w:val="06185F"/>
                <w:sz w:val="18"/>
              </w:rPr>
              <w:t>Non-GAAP</w:t>
            </w:r>
            <w:r>
              <w:rPr>
                <w:rFonts w:ascii="Poppins;sans-serif" w:hAnsi="Poppins;sans-serif"/>
                <w:b/>
                <w:color w:val="06185F"/>
                <w:sz w:val="12"/>
              </w:rPr>
              <w:t>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GAAP</w:t>
            </w:r>
          </w:p>
        </w:tc>
        <w:tc>
          <w:tcPr>
            <w:tcW w:w="16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Poppins;sans-serif" w:hAnsi="Poppins;sans-serif"/>
                <w:b/>
                <w:color w:val="06185F"/>
                <w:sz w:val="18"/>
              </w:rPr>
              <w:t>Non-GAAP</w:t>
            </w:r>
            <w:r>
              <w:rPr>
                <w:rFonts w:ascii="Poppins;sans-serif" w:hAnsi="Poppins;sans-serif"/>
                <w:b/>
                <w:color w:val="06185F"/>
                <w:sz w:val="12"/>
              </w:rPr>
              <w:t>1</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774" w:type="dxa"/>
            <w:gridSpan w:val="6"/>
            <w:tcBorders>
              <w:right w:val="single" w:sz="8" w:space="0" w:color="000000"/>
            </w:tcBorders>
            <w:tcMar>
              <w:top w:w="0" w:type="dxa"/>
              <w:left w:w="0" w:type="dxa"/>
              <w:bottom w:w="0" w:type="dxa"/>
            </w:tcMar>
            <w:vAlign w:val="center"/>
          </w:tcPr>
          <w:p>
            <w:pPr>
              <w:pStyle w:val="TableContents"/>
              <w:bidi w:val="0"/>
              <w:spacing w:lineRule="auto" w:line="240" w:before="0" w:after="0"/>
              <w:jc w:val="center"/>
              <w:rPr/>
            </w:pPr>
            <w:r>
              <w:rPr>
                <w:rFonts w:ascii="Poppins;sans-serif" w:hAnsi="Poppins;sans-serif"/>
                <w:b/>
                <w:color w:val="06185F"/>
                <w:sz w:val="18"/>
              </w:rPr>
              <w:t>Non-GAAP</w:t>
            </w:r>
            <w:r>
              <w:rPr>
                <w:rFonts w:ascii="Poppins;sans-serif" w:hAnsi="Poppins;sans-serif"/>
                <w:b/>
                <w:color w:val="06185F"/>
                <w:sz w:val="12"/>
              </w:rPr>
              <w:t>2</w:t>
            </w:r>
          </w:p>
        </w:tc>
      </w:tr>
      <w:tr>
        <w:trPr/>
        <w:tc>
          <w:tcPr>
            <w:tcW w:w="1522" w:type="dxa"/>
            <w:gridSpan w:val="6"/>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increased</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increased</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increased</w:t>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increased</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774" w:type="dxa"/>
            <w:gridSpan w:val="6"/>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increased</w:t>
            </w:r>
          </w:p>
        </w:tc>
      </w:tr>
      <w:tr>
        <w:trPr/>
        <w:tc>
          <w:tcPr>
            <w:tcW w:w="1522" w:type="dxa"/>
            <w:gridSpan w:val="6"/>
            <w:vMerge w:val="restart"/>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36"/>
              </w:rPr>
            </w:pPr>
            <w:r>
              <w:rPr>
                <w:rFonts w:ascii="Poppins;sans-serif" w:hAnsi="Poppins;sans-serif"/>
                <w:b/>
                <w:color w:val="06185F"/>
                <w:sz w:val="36"/>
              </w:rPr>
              <w:t>7.1%</w:t>
            </w:r>
          </w:p>
        </w:tc>
        <w:tc>
          <w:tcPr>
            <w:tcW w:w="1231" w:type="dxa"/>
            <w:gridSpan w:val="3"/>
            <w:vMerge w:val="restart"/>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Poppins;sans-serif" w:hAnsi="Poppins;sans-serif"/>
                <w:b/>
                <w:color w:val="06185F"/>
                <w:sz w:val="36"/>
              </w:rPr>
            </w:pPr>
            <w:r>
              <w:rPr>
                <w:rFonts w:ascii="Poppins;sans-serif" w:hAnsi="Poppins;sans-serif"/>
                <w:b/>
                <w:color w:val="06185F"/>
                <w:sz w:val="36"/>
              </w:rPr>
              <w:t>7.3%</w:t>
            </w:r>
          </w:p>
        </w:tc>
        <w:tc>
          <w:tcPr>
            <w:tcW w:w="327" w:type="dxa"/>
            <w:gridSpan w:val="3"/>
            <w:vMerge w:val="restart"/>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695" w:type="dxa"/>
            <w:gridSpan w:val="3"/>
            <w:vMerge w:val="restart"/>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36"/>
              </w:rPr>
            </w:pPr>
            <w:r>
              <w:rPr>
                <w:rFonts w:ascii="Poppins;sans-serif" w:hAnsi="Poppins;sans-serif"/>
                <w:b/>
                <w:color w:val="06185F"/>
                <w:sz w:val="36"/>
              </w:rPr>
              <w:t>11.7%</w:t>
            </w:r>
          </w:p>
        </w:tc>
        <w:tc>
          <w:tcPr>
            <w:tcW w:w="16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36"/>
              </w:rPr>
            </w:pPr>
            <w:r>
              <w:rPr>
                <w:rFonts w:ascii="Poppins;sans-serif" w:hAnsi="Poppins;sans-serif"/>
                <w:b/>
                <w:color w:val="06185F"/>
                <w:sz w:val="36"/>
              </w:rPr>
              <w:t>11.6%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6"/>
            <w:vMerge w:val="restart"/>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Poppins;sans-serif" w:hAnsi="Poppins;sans-serif"/>
                <w:b/>
                <w:color w:val="06185F"/>
                <w:sz w:val="36"/>
              </w:rPr>
            </w:pPr>
            <w:r>
              <w:rPr>
                <w:rFonts w:ascii="Poppins;sans-serif" w:hAnsi="Poppins;sans-serif"/>
                <w:b/>
                <w:color w:val="06185F"/>
                <w:sz w:val="36"/>
              </w:rPr>
              <w:t>9.4%</w:t>
            </w:r>
          </w:p>
        </w:tc>
      </w:tr>
      <w:tr>
        <w:trPr/>
        <w:tc>
          <w:tcPr>
            <w:tcW w:w="1522" w:type="dxa"/>
            <w:gridSpan w:val="6"/>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231" w:type="dxa"/>
            <w:gridSpan w:val="3"/>
            <w:vMerge w:val="continue"/>
            <w:tcBorders>
              <w:right w:val="single" w:sz="8" w:space="0" w:color="000000"/>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8" w:space="0" w:color="000000"/>
              <w:right w:val="single" w:sz="8" w:space="0" w:color="000000"/>
            </w:tcBorders>
            <w:tcMar>
              <w:top w:w="0" w:type="dxa"/>
              <w:bottom w:w="0" w:type="dxa"/>
            </w:tcMar>
            <w:vAlign w:val="center"/>
          </w:tcPr>
          <w:p>
            <w:pPr>
              <w:pStyle w:val="Normal"/>
              <w:bidi w:val="0"/>
              <w:jc w:val="left"/>
              <w:rPr/>
            </w:pPr>
            <w:r>
              <w:rPr/>
            </w:r>
          </w:p>
        </w:tc>
        <w:tc>
          <w:tcPr>
            <w:tcW w:w="1695"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6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774" w:type="dxa"/>
            <w:gridSpan w:val="6"/>
            <w:vMerge w:val="continue"/>
            <w:tcBorders>
              <w:left w:val="single" w:sz="8" w:space="0" w:color="000000"/>
              <w:right w:val="single" w:sz="8" w:space="0" w:color="000000"/>
            </w:tcBorders>
            <w:tcMar>
              <w:top w:w="0" w:type="dxa"/>
              <w:bottom w:w="0" w:type="dxa"/>
            </w:tcMar>
            <w:vAlign w:val="center"/>
          </w:tcPr>
          <w:p>
            <w:pPr>
              <w:pStyle w:val="Normal"/>
              <w:bidi w:val="0"/>
              <w:jc w:val="left"/>
              <w:rPr/>
            </w:pPr>
            <w:r>
              <w:rPr/>
            </w:r>
          </w:p>
        </w:tc>
      </w:tr>
      <w:tr>
        <w:trPr/>
        <w:tc>
          <w:tcPr>
            <w:tcW w:w="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Poppins;sans-serif" w:hAnsi="Poppins;sans-serif"/>
          <w:b/>
          <w:color w:val="06185F"/>
          <w:sz w:val="20"/>
          <w:u w:val="single"/>
        </w:rPr>
        <w:t>Full year fiscal 2027 guidance (Dollars in millions, other than per share amounts)</w:t>
      </w:r>
      <w:r>
        <w:rPr>
          <w:rFonts w:ascii="Poppins;sans-serif" w:hAnsi="Poppins;sans-serif"/>
          <w:b/>
          <w:color w:val="06185F"/>
          <w:sz w:val="20"/>
        </w:rPr>
        <w:t>:</w:t>
      </w:r>
      <w:r>
        <w:rPr>
          <w:rFonts w:ascii="Poppins;sans-serif" w:hAnsi="Poppins;sans-serif"/>
          <w:b/>
          <w:color w:val="06185F"/>
          <w:sz w:val="13"/>
        </w:rPr>
        <w:t xml:space="preserve">3 </w:t>
      </w:r>
    </w:p>
    <w:tbl>
      <w:tblPr>
        <w:tblW w:w="4633" w:type="dxa"/>
        <w:jc w:val="left"/>
        <w:tblInd w:w="0" w:type="dxa"/>
        <w:tblLayout w:type="fixed"/>
        <w:tblCellMar>
          <w:top w:w="28" w:type="dxa"/>
          <w:left w:w="28" w:type="dxa"/>
          <w:bottom w:w="28" w:type="dxa"/>
          <w:right w:w="28" w:type="dxa"/>
        </w:tblCellMar>
      </w:tblPr>
      <w:tblGrid>
        <w:gridCol w:w="921"/>
        <w:gridCol w:w="809"/>
        <w:gridCol w:w="819"/>
        <w:gridCol w:w="284"/>
        <w:gridCol w:w="284"/>
        <w:gridCol w:w="288"/>
        <w:gridCol w:w="283"/>
        <w:gridCol w:w="283"/>
        <w:gridCol w:w="290"/>
        <w:gridCol w:w="109"/>
        <w:gridCol w:w="109"/>
        <w:gridCol w:w="154"/>
      </w:tblGrid>
      <w:tr>
        <w:trPr/>
        <w:tc>
          <w:tcPr>
            <w:tcW w:w="92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Current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Low</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High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Revenue</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$2,684</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$2,709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Poppins;sans-serif" w:hAnsi="Poppins;sans-serif"/>
                <w:b w:val="false"/>
                <w:color w:val="000000"/>
                <w:sz w:val="18"/>
              </w:rPr>
              <w:t>Operating margin</w:t>
            </w:r>
            <w:r>
              <w:rPr>
                <w:rFonts w:ascii="Poppins;sans-serif" w:hAnsi="Poppins;sans-serif"/>
                <w:b w:val="false"/>
                <w:color w:val="000000"/>
                <w:sz w:val="12"/>
              </w:rPr>
              <w:t>4</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24.5%</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24.7%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EPS</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$7.33</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$7.38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Poppins;sans-serif" w:hAnsi="Poppins;sans-serif"/>
                <w:b/>
                <w:color w:val="000000"/>
                <w:sz w:val="18"/>
              </w:rPr>
              <w:t>Non-GAAP</w:t>
            </w:r>
            <w:r>
              <w:rPr>
                <w:rFonts w:ascii="Poppins;sans-serif" w:hAnsi="Poppins;sans-serif"/>
                <w:b/>
                <w:color w:val="000000"/>
                <w:sz w:val="12"/>
              </w:rPr>
              <w:t>5</w:t>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Adjusted revenue</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$2,659</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$2,684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Adjusted operating margin</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24.1%</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24.3%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Poppins;sans-serif" w:hAnsi="Poppins;sans-serif"/>
          <w:b/>
          <w:color w:val="000000"/>
          <w:sz w:val="18"/>
        </w:rPr>
        <w:t>Monett, MO, August 18, 2026</w:t>
      </w:r>
      <w:r>
        <w:rPr>
          <w:color w:val="000000"/>
        </w:rPr>
        <w:t xml:space="preserve"> </w:t>
      </w:r>
      <w:r>
        <w:rPr>
          <w:rFonts w:ascii="Poppins;sans-serif" w:hAnsi="Poppins;sans-serif"/>
          <w:b w:val="false"/>
          <w:color w:val="000000"/>
          <w:sz w:val="18"/>
        </w:rPr>
        <w:t>- Jack Henry &amp; Associates, Inc. (Nasdaq: JKHY), a leading financial technology provider, today announced results for fiscal fourth quarter and fiscal full year ended June 30, 2026.</w:t>
      </w:r>
    </w:p>
    <w:p>
      <w:pPr>
        <w:pStyle w:val="TextBody"/>
        <w:bidi w:val="0"/>
        <w:spacing w:before="0" w:after="0"/>
        <w:jc w:val="both"/>
        <w:rPr/>
      </w:pPr>
      <w:r>
        <w:rPr/>
      </w:r>
    </w:p>
    <w:p>
      <w:pPr>
        <w:pStyle w:val="TextBody"/>
        <w:bidi w:val="0"/>
        <w:spacing w:lineRule="auto" w:line="288" w:before="0" w:after="0"/>
        <w:jc w:val="both"/>
        <w:rPr/>
      </w:pPr>
      <w:r>
        <w:rPr>
          <w:rFonts w:ascii="Poppins;sans-serif" w:hAnsi="Poppins;sans-serif"/>
          <w:b w:val="false"/>
          <w:color w:val="000000"/>
          <w:sz w:val="8"/>
        </w:rPr>
        <w:t xml:space="preserve">1 </w:t>
      </w:r>
      <w:r>
        <w:rPr>
          <w:rFonts w:ascii="Poppins;sans-serif" w:hAnsi="Poppins;sans-serif"/>
          <w:b w:val="false"/>
          <w:color w:val="000000"/>
          <w:sz w:val="13"/>
        </w:rPr>
        <w:t>See tables below on page 4 reconciling non-GAAP financial measures to GAAP.</w:t>
      </w:r>
    </w:p>
    <w:p>
      <w:pPr>
        <w:pStyle w:val="TextBody"/>
        <w:bidi w:val="0"/>
        <w:spacing w:lineRule="auto" w:line="288" w:before="0" w:after="0"/>
        <w:jc w:val="both"/>
        <w:rPr/>
      </w:pPr>
      <w:r>
        <w:rPr>
          <w:rFonts w:ascii="Poppins;sans-serif" w:hAnsi="Poppins;sans-serif"/>
          <w:b w:val="false"/>
          <w:color w:val="000000"/>
          <w:sz w:val="8"/>
        </w:rPr>
        <w:t>2</w:t>
      </w:r>
      <w:r>
        <w:rPr>
          <w:rFonts w:ascii="Poppins;sans-serif" w:hAnsi="Poppins;sans-serif"/>
          <w:b w:val="false"/>
          <w:color w:val="000000"/>
          <w:sz w:val="13"/>
        </w:rPr>
        <w:t>See table below on page 14 reconciling net income to non-GAAP EBITDA.</w:t>
      </w:r>
    </w:p>
    <w:p>
      <w:pPr>
        <w:pStyle w:val="TextBody"/>
        <w:bidi w:val="0"/>
        <w:spacing w:lineRule="auto" w:line="288" w:before="0" w:after="0"/>
        <w:jc w:val="both"/>
        <w:rPr/>
      </w:pPr>
      <w:r>
        <w:rPr>
          <w:rFonts w:ascii="Poppins;sans-serif" w:hAnsi="Poppins;sans-serif"/>
          <w:b w:val="false"/>
          <w:color w:val="000000"/>
          <w:sz w:val="8"/>
        </w:rPr>
        <w:t xml:space="preserve">3 </w:t>
      </w:r>
      <w:r>
        <w:rPr>
          <w:rFonts w:ascii="Poppins;sans-serif" w:hAnsi="Poppins;sans-serif"/>
          <w:b w:val="false"/>
          <w:color w:val="000000"/>
          <w:sz w:val="13"/>
        </w:rPr>
        <w:t>The full fiscal year guidance assumes no acquisitions or dispositions will be made during fiscal year 2027.</w:t>
      </w:r>
    </w:p>
    <w:p>
      <w:pPr>
        <w:pStyle w:val="TextBody"/>
        <w:bidi w:val="0"/>
        <w:spacing w:lineRule="auto" w:line="288" w:before="0" w:after="0"/>
        <w:jc w:val="both"/>
        <w:rPr/>
      </w:pPr>
      <w:r>
        <w:rPr>
          <w:rFonts w:ascii="Poppins;sans-serif" w:hAnsi="Poppins;sans-serif"/>
          <w:b w:val="false"/>
          <w:color w:val="000000"/>
          <w:sz w:val="8"/>
        </w:rPr>
        <w:t>4</w:t>
      </w:r>
      <w:r>
        <w:rPr>
          <w:rFonts w:ascii="Poppins;sans-serif" w:hAnsi="Poppins;sans-serif"/>
          <w:b w:val="false"/>
          <w:color w:val="000000"/>
          <w:sz w:val="13"/>
        </w:rPr>
        <w:t>Operating margin is calculated by dividing operating income by revenue.</w:t>
      </w:r>
    </w:p>
    <w:p>
      <w:pPr>
        <w:pStyle w:val="TextBody"/>
        <w:bidi w:val="0"/>
        <w:spacing w:lineRule="auto" w:line="288" w:before="0" w:after="0"/>
        <w:ind w:left="0" w:right="0" w:hanging="630"/>
        <w:jc w:val="right"/>
        <w:rPr/>
      </w:pPr>
      <w:r>
        <w:rPr/>
        <w:drawing>
          <wp:inline distT="0" distB="0" distL="0" distR="0">
            <wp:extent cx="7772400" cy="9525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1"/>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814705"/>
                <wp:effectExtent l="0" t="0" r="0" b="0"/>
                <wp:wrapNone/>
                <wp:docPr id="14" name="Frame4"/>
                <a:graphic xmlns:a="http://schemas.openxmlformats.org/drawingml/2006/main">
                  <a:graphicData uri="http://schemas.microsoft.com/office/word/2010/wordprocessingShape">
                    <wps:wsp>
                      <wps:cNvSpPr txBox="1"/>
                      <wps:spPr>
                        <a:xfrm>
                          <a:off x="0" y="0"/>
                          <a:ext cx="6480175" cy="814705"/>
                        </a:xfrm>
                        <a:prstGeom prst="rect"/>
                        <a:solidFill>
                          <a:srgbClr val="FFFFFF"/>
                        </a:solidFill>
                      </wps:spPr>
                      <wps:txb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2"/>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15pt;mso-wrap-distance-left:0pt;mso-wrap-distance-right:0pt;mso-wrap-distance-top:0pt;mso-wrap-distance-bottom:0pt;margin-top:0pt;mso-position-vertical:top;mso-position-vertical-relative:text;margin-left:0pt;mso-position-horizontal:left;mso-position-horizontal-relative:text">
                <v:textbo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3"/>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Poppins;sans-serif" w:hAnsi="Poppins;sans-serif"/>
          <w:b w:val="false"/>
          <w:color w:val="000000"/>
          <w:sz w:val="8"/>
        </w:rPr>
        <w:t>5</w:t>
      </w:r>
      <w:r>
        <w:rPr>
          <w:rFonts w:ascii="Poppins;sans-serif" w:hAnsi="Poppins;sans-serif"/>
          <w:b w:val="false"/>
          <w:color w:val="000000"/>
          <w:sz w:val="13"/>
        </w:rPr>
        <w:t>See tables below on page 9 reconciling fiscal year 2027 GAAP to non-GAAP guidance.</w:t>
      </w:r>
    </w:p>
    <w:p>
      <w:pPr>
        <w:pStyle w:val="TextBody"/>
        <w:bidi w:val="0"/>
        <w:spacing w:lineRule="auto" w:line="288" w:before="0" w:after="0"/>
        <w:ind w:left="0" w:right="0" w:hanging="630"/>
        <w:jc w:val="right"/>
        <w:rPr/>
      </w:pPr>
      <w:r>
        <w:rPr/>
        <w:drawing>
          <wp:inline distT="0" distB="0" distL="0" distR="0">
            <wp:extent cx="7772400" cy="9525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14705"/>
                <wp:effectExtent l="0" t="0" r="0" b="0"/>
                <wp:wrapNone/>
                <wp:docPr id="18" name="Frame5"/>
                <a:graphic xmlns:a="http://schemas.openxmlformats.org/drawingml/2006/main">
                  <a:graphicData uri="http://schemas.microsoft.com/office/word/2010/wordprocessingShape">
                    <wps:wsp>
                      <wps:cNvSpPr txBox="1"/>
                      <wps:spPr>
                        <a:xfrm>
                          <a:off x="0" y="0"/>
                          <a:ext cx="6480175" cy="814705"/>
                        </a:xfrm>
                        <a:prstGeom prst="rect"/>
                        <a:solidFill>
                          <a:srgbClr val="FFFFFF"/>
                        </a:solidFill>
                      </wps:spPr>
                      <wps:txb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2" descr=""/>
                                                <pic:cNvPicPr>
                                                  <a:picLocks noChangeAspect="1" noChangeArrowheads="1"/>
                                                </pic:cNvPicPr>
                                              </pic:nvPicPr>
                                              <pic:blipFill>
                                                <a:blip r:embed="rId15"/>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15pt;mso-wrap-distance-left:0pt;mso-wrap-distance-right:0pt;mso-wrap-distance-top:0pt;mso-wrap-distance-bottom:0pt;margin-top:0pt;mso-position-vertical:top;mso-position-vertical-relative:text;margin-left:0pt;mso-position-horizontal:left;mso-position-horizontal-relative:text">
                <v:textbo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2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2" descr=""/>
                                          <pic:cNvPicPr>
                                            <a:picLocks noChangeAspect="1" noChangeArrowheads="1"/>
                                          </pic:cNvPicPr>
                                        </pic:nvPicPr>
                                        <pic:blipFill>
                                          <a:blip r:embed="rId16"/>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0"/>
        <w:gridCol w:w="554"/>
        <w:gridCol w:w="554"/>
        <w:gridCol w:w="554"/>
        <w:gridCol w:w="554"/>
        <w:gridCol w:w="554"/>
        <w:gridCol w:w="554"/>
        <w:gridCol w:w="554"/>
        <w:gridCol w:w="554"/>
        <w:gridCol w:w="554"/>
        <w:gridCol w:w="554"/>
        <w:gridCol w:w="554"/>
        <w:gridCol w:w="554"/>
        <w:gridCol w:w="554"/>
        <w:gridCol w:w="554"/>
        <w:gridCol w:w="554"/>
        <w:gridCol w:w="554"/>
        <w:gridCol w:w="554"/>
        <w:gridCol w:w="157"/>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10048" w:type="dxa"/>
            <w:gridSpan w:val="18"/>
            <w:vMerge w:val="restart"/>
            <w:tcBorders>
              <w:top w:val="single" w:sz="8" w:space="0" w:color="76DCFD"/>
              <w:left w:val="single" w:sz="8" w:space="0" w:color="76DCFD"/>
              <w:bottom w:val="single" w:sz="8" w:space="0" w:color="76DCFD"/>
              <w:right w:val="single" w:sz="8" w:space="0" w:color="76DCFD"/>
            </w:tcBorders>
            <w:tcMar>
              <w:top w:w="52" w:type="dxa"/>
              <w:bottom w:w="30" w:type="dxa"/>
            </w:tcMar>
            <w:vAlign w:val="center"/>
          </w:tcPr>
          <w:p>
            <w:pPr>
              <w:pStyle w:val="TableContents"/>
              <w:bidi w:val="0"/>
              <w:spacing w:lineRule="auto" w:line="288" w:before="0" w:after="0"/>
              <w:jc w:val="both"/>
              <w:rPr/>
            </w:pPr>
            <w:r>
              <w:rPr>
                <w:rFonts w:ascii="Poppins;sans-serif" w:hAnsi="Poppins;sans-serif"/>
                <w:b w:val="false"/>
                <w:color w:val="000000"/>
                <w:sz w:val="18"/>
              </w:rPr>
              <w:t xml:space="preserve">According to </w:t>
            </w:r>
            <w:r>
              <w:rPr>
                <w:rFonts w:ascii="Poppins;sans-serif" w:hAnsi="Poppins;sans-serif"/>
                <w:b/>
                <w:color w:val="085CE5"/>
                <w:sz w:val="20"/>
              </w:rPr>
              <w:t>Greg Adelson, President and CEO</w:t>
            </w:r>
            <w:r>
              <w:rPr>
                <w:rFonts w:ascii="Poppins;sans-serif" w:hAnsi="Poppins;sans-serif"/>
                <w:b w:val="false"/>
                <w:color w:val="085CE5"/>
                <w:sz w:val="20"/>
              </w:rPr>
              <w:t>,</w:t>
            </w:r>
            <w:r>
              <w:rPr>
                <w:color w:val="000000"/>
              </w:rPr>
              <w:t xml:space="preserve"> “</w:t>
            </w:r>
            <w:r>
              <w:rPr>
                <w:rFonts w:ascii="Poppins;sans-serif" w:hAnsi="Poppins;sans-serif"/>
                <w:b w:val="false"/>
                <w:color w:val="000000"/>
                <w:sz w:val="18"/>
              </w:rPr>
              <w:t>We are extremely pleased to report record sales and financial results for fiscal 2026. We delivered a record 58 competitive core wins for the year, including 14 institutions with more than $1 billion in assets, and both fourth-quarter and full-year non-GAAP revenue reached new highs. Technology spending remains strong, which is reflected in our robust sales pipeline as we continue to provide innovative solutions and expand the use of artificial intelligence to help banks and credit unions win in the markets they serve. As we enter fiscal 2027, we are well positioned to continue driving consistent revenue growth, margin expansion, and long-term value through our unwavering focus on culture, service, innovation, strategy, and execution.”</w:t>
            </w:r>
          </w:p>
        </w:tc>
        <w:tc>
          <w:tcPr>
            <w:tcW w:w="157" w:type="dxa"/>
            <w:tcBorders/>
          </w:tcPr>
          <w:p>
            <w:pPr>
              <w:pStyle w:val="TableContents"/>
              <w:bidi w:val="0"/>
              <w:spacing w:before="0" w:after="283"/>
              <w:jc w:val="left"/>
              <w:rPr>
                <w:sz w:val="4"/>
                <w:szCs w:val="4"/>
              </w:rPr>
            </w:pPr>
            <w:r>
              <w:rPr>
                <w:sz w:val="4"/>
                <w:szCs w:val="4"/>
              </w:rPr>
            </w:r>
          </w:p>
        </w:tc>
      </w:tr>
      <w:tr>
        <w:trPr/>
        <w:tc>
          <w:tcPr>
            <w:tcW w:w="10048" w:type="dxa"/>
            <w:gridSpan w:val="18"/>
            <w:vMerge w:val="continue"/>
            <w:tcBorders>
              <w:top w:val="single" w:sz="8" w:space="0" w:color="76DCFD"/>
              <w:left w:val="single" w:sz="8" w:space="0" w:color="76DCFD"/>
              <w:bottom w:val="single" w:sz="8" w:space="0" w:color="76DCFD"/>
              <w:right w:val="single" w:sz="8" w:space="0" w:color="76DCFD"/>
            </w:tcBorders>
            <w:tcMar>
              <w:top w:w="52" w:type="dxa"/>
              <w:bottom w:w="3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8"/>
            <w:vMerge w:val="continue"/>
            <w:tcBorders>
              <w:top w:val="single" w:sz="8" w:space="0" w:color="76DCFD"/>
              <w:left w:val="single" w:sz="8" w:space="0" w:color="76DCFD"/>
              <w:bottom w:val="single" w:sz="8" w:space="0" w:color="76DCFD"/>
              <w:right w:val="single" w:sz="8" w:space="0" w:color="76DCFD"/>
            </w:tcBorders>
            <w:tcMar>
              <w:top w:w="52" w:type="dxa"/>
              <w:bottom w:w="3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8"/>
            <w:vMerge w:val="continue"/>
            <w:tcBorders>
              <w:top w:val="single" w:sz="8" w:space="0" w:color="76DCFD"/>
              <w:left w:val="single" w:sz="8" w:space="0" w:color="76DCFD"/>
              <w:bottom w:val="single" w:sz="8" w:space="0" w:color="76DCFD"/>
              <w:right w:val="single" w:sz="8" w:space="0" w:color="76DCFD"/>
            </w:tcBorders>
            <w:tcMar>
              <w:top w:w="52" w:type="dxa"/>
              <w:bottom w:w="3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8"/>
            <w:vMerge w:val="continue"/>
            <w:tcBorders>
              <w:top w:val="single" w:sz="8" w:space="0" w:color="76DCFD"/>
              <w:left w:val="single" w:sz="8" w:space="0" w:color="76DCFD"/>
              <w:bottom w:val="single" w:sz="8" w:space="0" w:color="76DCFD"/>
              <w:right w:val="single" w:sz="8" w:space="0" w:color="76DCFD"/>
            </w:tcBorders>
            <w:tcMar>
              <w:top w:w="52" w:type="dxa"/>
              <w:bottom w:w="3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8"/>
            <w:vMerge w:val="continue"/>
            <w:tcBorders>
              <w:top w:val="single" w:sz="8" w:space="0" w:color="76DCFD"/>
              <w:left w:val="single" w:sz="8" w:space="0" w:color="76DCFD"/>
              <w:bottom w:val="single" w:sz="8" w:space="0" w:color="76DCFD"/>
              <w:right w:val="single" w:sz="8" w:space="0" w:color="76DCFD"/>
            </w:tcBorders>
            <w:tcMar>
              <w:top w:w="52" w:type="dxa"/>
              <w:bottom w:w="3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8"/>
            <w:vMerge w:val="continue"/>
            <w:tcBorders>
              <w:top w:val="single" w:sz="8" w:space="0" w:color="76DCFD"/>
              <w:left w:val="single" w:sz="8" w:space="0" w:color="76DCFD"/>
              <w:bottom w:val="single" w:sz="8" w:space="0" w:color="76DCFD"/>
              <w:right w:val="single" w:sz="8" w:space="0" w:color="76DCFD"/>
            </w:tcBorders>
            <w:tcMar>
              <w:top w:w="52" w:type="dxa"/>
              <w:bottom w:w="3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Poppins;sans-serif" w:hAnsi="Poppins;sans-serif"/>
          <w:b/>
          <w:color w:val="06185F"/>
          <w:sz w:val="20"/>
        </w:rPr>
      </w:pPr>
      <w:r>
        <w:rPr>
          <w:rFonts w:ascii="Poppins;sans-serif" w:hAnsi="Poppins;sans-serif"/>
          <w:b/>
          <w:color w:val="06185F"/>
          <w:sz w:val="20"/>
        </w:rPr>
        <w:t>Operating Results</w:t>
      </w:r>
    </w:p>
    <w:p>
      <w:pPr>
        <w:pStyle w:val="TextBody"/>
        <w:bidi w:val="0"/>
        <w:spacing w:lineRule="auto" w:line="288" w:before="0" w:after="0"/>
        <w:jc w:val="both"/>
        <w:rPr>
          <w:rFonts w:ascii="Poppins;sans-serif" w:hAnsi="Poppins;sans-serif"/>
          <w:b w:val="false"/>
          <w:color w:val="000000"/>
          <w:sz w:val="18"/>
        </w:rPr>
      </w:pPr>
      <w:r>
        <w:rPr>
          <w:rFonts w:ascii="Poppins;sans-serif" w:hAnsi="Poppins;sans-serif"/>
          <w:b w:val="false"/>
          <w:color w:val="000000"/>
          <w:sz w:val="18"/>
        </w:rPr>
        <w:t>Revenue, operating expenses, operating income, and net income for the fiscal three months and fiscal year ended June 30, 2026, compared to the fiscal three months and fiscal year ended June 30, 2025, were as follows:</w:t>
      </w:r>
    </w:p>
    <w:tbl>
      <w:tblPr>
        <w:tblW w:w="11142" w:type="dxa"/>
        <w:jc w:val="left"/>
        <w:tblInd w:w="0" w:type="dxa"/>
        <w:tblLayout w:type="fixed"/>
        <w:tblCellMar>
          <w:top w:w="28" w:type="dxa"/>
          <w:left w:w="28" w:type="dxa"/>
          <w:bottom w:w="28" w:type="dxa"/>
          <w:right w:w="28" w:type="dxa"/>
        </w:tblCellMar>
      </w:tblPr>
      <w:tblGrid>
        <w:gridCol w:w="434"/>
        <w:gridCol w:w="381"/>
        <w:gridCol w:w="386"/>
        <w:gridCol w:w="226"/>
        <w:gridCol w:w="961"/>
        <w:gridCol w:w="286"/>
        <w:gridCol w:w="109"/>
        <w:gridCol w:w="109"/>
        <w:gridCol w:w="109"/>
        <w:gridCol w:w="226"/>
        <w:gridCol w:w="946"/>
        <w:gridCol w:w="271"/>
        <w:gridCol w:w="109"/>
        <w:gridCol w:w="109"/>
        <w:gridCol w:w="109"/>
        <w:gridCol w:w="240"/>
        <w:gridCol w:w="241"/>
        <w:gridCol w:w="538"/>
        <w:gridCol w:w="109"/>
        <w:gridCol w:w="109"/>
        <w:gridCol w:w="109"/>
        <w:gridCol w:w="226"/>
        <w:gridCol w:w="1156"/>
        <w:gridCol w:w="286"/>
        <w:gridCol w:w="109"/>
        <w:gridCol w:w="109"/>
        <w:gridCol w:w="109"/>
        <w:gridCol w:w="226"/>
        <w:gridCol w:w="1126"/>
        <w:gridCol w:w="271"/>
        <w:gridCol w:w="109"/>
        <w:gridCol w:w="109"/>
        <w:gridCol w:w="109"/>
        <w:gridCol w:w="240"/>
        <w:gridCol w:w="241"/>
        <w:gridCol w:w="599"/>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6185F"/>
                <w:sz w:val="20"/>
              </w:rPr>
            </w:pPr>
            <w:r>
              <w:rPr>
                <w:rFonts w:ascii="Poppins;sans-serif" w:hAnsi="Poppins;sans-serif"/>
                <w:b/>
                <w:color w:val="06185F"/>
                <w:sz w:val="20"/>
              </w:rPr>
              <w:t>Revenue</w:t>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(Unaudited, dollars in thousands)</w:t>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6"/>
              </w:rPr>
            </w:pPr>
            <w:r>
              <w:rPr>
                <w:rFonts w:ascii="Poppins;sans-serif" w:hAnsi="Poppins;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Year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6"/>
              </w:rPr>
            </w:pPr>
            <w:r>
              <w:rPr>
                <w:rFonts w:ascii="Poppins;sans-serif" w:hAnsi="Poppins;sans-serif"/>
                <w:b w:val="false"/>
                <w:color w:val="000000"/>
                <w:sz w:val="16"/>
              </w:rPr>
              <w:t>% Change</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Revenue</w:t>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Services and Support</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360,195</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351,239 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2.5</w:t>
            </w:r>
            <w:r>
              <w:rPr>
                <w:color w:val="000000"/>
              </w:rPr>
              <w:t> </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1,448,003</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1,361,737 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6.3</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i/>
                <w:color w:val="000000"/>
                <w:sz w:val="18"/>
              </w:rPr>
            </w:pPr>
            <w:r>
              <w:rPr>
                <w:rFonts w:ascii="Poppins;sans-serif" w:hAnsi="Poppins;sans-serif"/>
                <w:b w:val="false"/>
                <w:i/>
                <w:color w:val="000000"/>
                <w:sz w:val="18"/>
              </w:rPr>
              <w:t>Percentage of Total Revenue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i/>
                <w:color w:val="000000"/>
                <w:sz w:val="18"/>
              </w:rPr>
              <w:t>55.9</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i/>
                <w:color w:val="000000"/>
                <w:sz w:val="18"/>
              </w:rPr>
            </w:pPr>
            <w:r>
              <w:rPr>
                <w:rFonts w:ascii="Poppins;sans-serif" w:hAnsi="Poppins;sans-serif"/>
                <w:b/>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i/>
                <w:color w:val="000000"/>
                <w:sz w:val="18"/>
              </w:rPr>
            </w:pPr>
            <w:r>
              <w:rPr>
                <w:rFonts w:ascii="Poppins;sans-serif" w:hAnsi="Poppins;sans-serif"/>
                <w:b w:val="false"/>
                <w:i/>
                <w:color w:val="000000"/>
                <w:sz w:val="18"/>
              </w:rPr>
              <w:t>57.1 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i/>
                <w:color w:val="000000"/>
                <w:sz w:val="18"/>
              </w:rPr>
            </w:pPr>
            <w:r>
              <w:rPr>
                <w:rFonts w:ascii="Poppins;sans-serif" w:hAnsi="Poppins;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i/>
                <w:color w:val="000000"/>
                <w:sz w:val="18"/>
              </w:rPr>
              <w:t>56.9</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i/>
                <w:color w:val="000000"/>
                <w:sz w:val="18"/>
              </w:rPr>
            </w:pPr>
            <w:r>
              <w:rPr>
                <w:rFonts w:ascii="Poppins;sans-serif" w:hAnsi="Poppins;sans-serif"/>
                <w:b/>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i/>
                <w:color w:val="000000"/>
                <w:sz w:val="18"/>
              </w:rPr>
            </w:pPr>
            <w:r>
              <w:rPr>
                <w:rFonts w:ascii="Poppins;sans-serif" w:hAnsi="Poppins;sans-serif"/>
                <w:b w:val="false"/>
                <w:i/>
                <w:color w:val="000000"/>
                <w:sz w:val="18"/>
              </w:rPr>
              <w:t>57.3 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i/>
                <w:color w:val="000000"/>
                <w:sz w:val="18"/>
              </w:rPr>
            </w:pPr>
            <w:r>
              <w:rPr>
                <w:rFonts w:ascii="Poppins;sans-serif" w:hAnsi="Poppins;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Processing</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283,828</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264,133 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7.5</w:t>
            </w:r>
            <w:r>
              <w:rPr>
                <w:color w:val="000000"/>
              </w:rPr>
              <w:t> </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1,096,336</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1,013,551 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8.2</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i/>
                <w:color w:val="000000"/>
                <w:sz w:val="18"/>
              </w:rPr>
            </w:pPr>
            <w:r>
              <w:rPr>
                <w:rFonts w:ascii="Poppins;sans-serif" w:hAnsi="Poppins;sans-serif"/>
                <w:b w:val="false"/>
                <w:i/>
                <w:color w:val="000000"/>
                <w:sz w:val="18"/>
              </w:rPr>
              <w:t>Percentage of Total Revenue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i/>
                <w:color w:val="000000"/>
                <w:sz w:val="18"/>
              </w:rPr>
              <w:t>44.1</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i/>
                <w:color w:val="000000"/>
                <w:sz w:val="18"/>
              </w:rPr>
            </w:pPr>
            <w:r>
              <w:rPr>
                <w:rFonts w:ascii="Poppins;sans-serif" w:hAnsi="Poppins;sans-serif"/>
                <w:b/>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i/>
                <w:color w:val="000000"/>
                <w:sz w:val="18"/>
              </w:rPr>
            </w:pPr>
            <w:r>
              <w:rPr>
                <w:rFonts w:ascii="Poppins;sans-serif" w:hAnsi="Poppins;sans-serif"/>
                <w:b w:val="false"/>
                <w:i/>
                <w:color w:val="000000"/>
                <w:sz w:val="18"/>
              </w:rPr>
              <w:t>42.9 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i/>
                <w:color w:val="000000"/>
                <w:sz w:val="18"/>
              </w:rPr>
            </w:pPr>
            <w:r>
              <w:rPr>
                <w:rFonts w:ascii="Poppins;sans-serif" w:hAnsi="Poppins;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i/>
                <w:color w:val="000000"/>
                <w:sz w:val="18"/>
              </w:rPr>
              <w:t>43.1</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i/>
                <w:color w:val="000000"/>
                <w:sz w:val="18"/>
              </w:rPr>
            </w:pPr>
            <w:r>
              <w:rPr>
                <w:rFonts w:ascii="Poppins;sans-serif" w:hAnsi="Poppins;sans-serif"/>
                <w:b/>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i/>
                <w:color w:val="000000"/>
                <w:sz w:val="18"/>
              </w:rPr>
            </w:pPr>
            <w:r>
              <w:rPr>
                <w:rFonts w:ascii="Poppins;sans-serif" w:hAnsi="Poppins;sans-serif"/>
                <w:b w:val="false"/>
                <w:i/>
                <w:color w:val="000000"/>
                <w:sz w:val="18"/>
              </w:rPr>
              <w:t>42.7 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i/>
                <w:color w:val="000000"/>
                <w:sz w:val="18"/>
              </w:rPr>
            </w:pPr>
            <w:r>
              <w:rPr>
                <w:rFonts w:ascii="Poppins;sans-serif" w:hAnsi="Poppins;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REVENUE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644,023</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615,372 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4.7</w:t>
            </w:r>
            <w:r>
              <w:rPr>
                <w:color w:val="000000"/>
              </w:rPr>
              <w:t>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2,544,339</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2,375,288 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7.1</w:t>
            </w:r>
            <w:r>
              <w:rPr>
                <w:color w:val="000000"/>
              </w:rPr>
              <w:t>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bl>
    <w:p>
      <w:pPr>
        <w:pStyle w:val="TextBody"/>
        <w:bidi w:val="0"/>
        <w:spacing w:lineRule="auto" w:line="288" w:before="100" w:after="120"/>
        <w:ind w:left="0" w:right="0" w:hanging="360"/>
        <w:jc w:val="both"/>
        <w:rPr/>
      </w:pPr>
      <w:r>
        <w:rPr>
          <w:color w:val="000000"/>
        </w:rPr>
        <w:t>•</w:t>
      </w:r>
      <w:r>
        <w:rPr>
          <w:rFonts w:ascii="Poppins;sans-serif" w:hAnsi="Poppins;sans-serif"/>
          <w:b w:val="false"/>
          <w:color w:val="000000"/>
          <w:sz w:val="18"/>
        </w:rPr>
        <w:t>Services and support revenue increased for the fiscal three months ended June 30, 2026, compared to the fiscal three months ended June 30, 2025, primarily driven by growth in data processing and hosting revenue within private and public cloud revenue of 7.4% and higher license and hardware revenue by 27.3% and increased education, royalty, and other revenues by 38.6% partially offset by a decrease in deconversion revenue of $11,168. Processing revenue increased for the fiscal three months ended June 30, 2026, compared to the fiscal three months ended June 30, 2025, mainly driven by growth in card revenue of 5.4% from monthly service and risk management fees, improvement in Jack Henry digital and transaction revenue of 8.6% from a higher number of active users on our digital platform, and a rise in faster payments revenue of 47.0%.</w:t>
      </w:r>
    </w:p>
    <w:p>
      <w:pPr>
        <w:pStyle w:val="TextBody"/>
        <w:bidi w:val="0"/>
        <w:spacing w:lineRule="auto" w:line="288" w:before="100" w:after="120"/>
        <w:ind w:left="0" w:right="0" w:hanging="360"/>
        <w:jc w:val="both"/>
        <w:rPr/>
      </w:pPr>
      <w:r>
        <w:rPr>
          <w:color w:val="000000"/>
        </w:rPr>
        <w:t>•</w:t>
      </w:r>
      <w:r>
        <w:rPr>
          <w:rFonts w:ascii="Poppins;sans-serif" w:hAnsi="Poppins;sans-serif"/>
          <w:b w:val="false"/>
          <w:color w:val="000000"/>
          <w:sz w:val="18"/>
        </w:rPr>
        <w:t>Services and support revenue increased for the fiscal year ended June 30, 2026, compared to the fiscal year ended June 30, 2025, primarily driven by growth in data processing and hosting revenue within private and public cloud revenue of 8.5%, higher consulting, work orders and release fees revenue by 13.0%, a rise in implementation revenue by 14.1%, and increased license and hardware revenue by 19.5% partially offset by the decrease in software usage revenue (mainly due to a contract change in the prior fiscal year) by 26.2%. Processing revenue increased for the fiscal year ended June 30, 2026, compared to the fiscal year ended June 30, 2025, mainly driven by growth in card revenue of 6.0% from monthly service and risk management fees, improvement in Jack Henry digital and transaction revenue of 11.6% from a higher number of active users on our digital platform, and a rise in faster payments revenue of 49.5%.</w:t>
      </w:r>
    </w:p>
    <w:p>
      <w:pPr>
        <w:pStyle w:val="TextBody"/>
        <w:bidi w:val="0"/>
        <w:spacing w:lineRule="auto" w:line="288" w:before="100" w:after="120"/>
        <w:ind w:left="0" w:right="0" w:hanging="360"/>
        <w:jc w:val="both"/>
        <w:rPr/>
      </w:pPr>
      <w:r>
        <w:rPr>
          <w:color w:val="000000"/>
        </w:rPr>
        <w:t>•</w:t>
      </w:r>
      <w:r>
        <w:rPr>
          <w:rFonts w:ascii="Poppins;sans-serif" w:hAnsi="Poppins;sans-serif"/>
          <w:b w:val="false"/>
          <w:color w:val="000000"/>
          <w:sz w:val="18"/>
        </w:rPr>
        <w:t xml:space="preserve">For the fiscal three months ended June 30, 2026, compared to the fiscal three months ended June 30, 2025, core segment revenue increased 1.9%, payments segment revenue increased 4.9%, complementary segment revenue increased 4.7%, and corporate services segment revenue increased 30.4%. For the fiscal three months ended June 30, 2026, compared to the fiscal three months ended June 30, 2025, core segment non-GAAP adjusted revenue increased 6.0%, payments segment non-GAAP adjusted revenue increased 6.1%, complementary segment non-GAAP adjusted revenue increased 5.6%, and corporate services non-GAAP adjusted segment revenue increased 31.3%. Total non-GAAP adjusted revenue increased 6.6% for the same comparative periods (see revenue lines of segment break-out tables on pages 5 and 6 below for a reconciliation of GAAP segment revenue to non-GAAP adjusted segment revenue). </w:t>
      </w:r>
    </w:p>
    <w:p>
      <w:pPr>
        <w:pStyle w:val="TextBody"/>
        <w:bidi w:val="0"/>
        <w:spacing w:lineRule="auto" w:line="268" w:before="0" w:after="0"/>
        <w:ind w:left="0" w:right="0" w:hanging="360"/>
        <w:jc w:val="both"/>
        <w:rPr/>
      </w:pPr>
      <w:r>
        <w:rPr>
          <w:color w:val="000000"/>
        </w:rPr>
        <w:t>•</w:t>
      </w:r>
      <w:r>
        <w:rPr>
          <w:rFonts w:ascii="Poppins;sans-serif" w:hAnsi="Poppins;sans-serif"/>
          <w:b w:val="false"/>
          <w:color w:val="000000"/>
          <w:sz w:val="18"/>
        </w:rPr>
        <w:t xml:space="preserve">For the fiscal year ended June 30, 2026, compared to the fiscal year ended June 30, 2025, core segment revenue increased 4.8%, payments segment revenue increased 7.2%, complementary segment revenue increased 8.3%, and corporate services segment revenue increased 18.3%. For the fiscal year ended June 30, 2026, compared to the fiscal year ended June 30, 2025, core segment non-GAAP adjusted revenue increased 7.1%, payments segment non-GAAP adjusted revenue increased 6.4%, complementary segment non-GAAP adjusted revenue increased 7.7%, and corporate services non-GAAP adjusted segment revenue increased 18.3%. Total non-GAAP adjusted revenue increased 7.3% for the same comparative periods (see revenue lines of segment break-out tables on pages 7 and 8 below for a reconciliation of GAAP segment revenue to non-GAAP adjusted segment revenue). </w:t>
      </w:r>
    </w:p>
    <w:p>
      <w:pPr>
        <w:pStyle w:val="TextBody"/>
        <w:bidi w:val="0"/>
        <w:spacing w:lineRule="auto" w:line="288" w:before="0" w:after="0"/>
        <w:ind w:left="0" w:right="0" w:hanging="630"/>
        <w:jc w:val="right"/>
        <w:rPr/>
      </w:pPr>
      <w:r>
        <w:rPr/>
        <w:drawing>
          <wp:inline distT="0" distB="0" distL="0" distR="0">
            <wp:extent cx="7772400" cy="95250"/>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17"/>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14705"/>
                <wp:effectExtent l="0" t="0" r="0" b="0"/>
                <wp:wrapNone/>
                <wp:docPr id="22" name="Frame6"/>
                <a:graphic xmlns:a="http://schemas.openxmlformats.org/drawingml/2006/main">
                  <a:graphicData uri="http://schemas.microsoft.com/office/word/2010/wordprocessingShape">
                    <wps:wsp>
                      <wps:cNvSpPr txBox="1"/>
                      <wps:spPr>
                        <a:xfrm>
                          <a:off x="0" y="0"/>
                          <a:ext cx="6480175" cy="814705"/>
                        </a:xfrm>
                        <a:prstGeom prst="rect"/>
                        <a:solidFill>
                          <a:srgbClr val="FFFFFF"/>
                        </a:solidFill>
                      </wps:spPr>
                      <wps:txb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18"/>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15pt;mso-wrap-distance-left:0pt;mso-wrap-distance-right:0pt;mso-wrap-distance-top:0pt;mso-wrap-distance-bottom:0pt;margin-top:0pt;mso-position-vertical:top;mso-position-vertical-relative:text;margin-left:0pt;mso-position-horizontal:left;mso-position-horizontal-relative:text">
                <v:textbo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 descr=""/>
                                          <pic:cNvPicPr>
                                            <a:picLocks noChangeAspect="1" noChangeArrowheads="1"/>
                                          </pic:cNvPicPr>
                                        </pic:nvPicPr>
                                        <pic:blipFill>
                                          <a:blip r:embed="rId19"/>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2019" w:type="dxa"/>
        <w:jc w:val="left"/>
        <w:tblInd w:w="0" w:type="dxa"/>
        <w:tblLayout w:type="fixed"/>
        <w:tblCellMar>
          <w:top w:w="28" w:type="dxa"/>
          <w:left w:w="28" w:type="dxa"/>
          <w:bottom w:w="28" w:type="dxa"/>
          <w:right w:w="28" w:type="dxa"/>
        </w:tblCellMar>
      </w:tblPr>
      <w:tblGrid>
        <w:gridCol w:w="660"/>
        <w:gridCol w:w="382"/>
        <w:gridCol w:w="384"/>
        <w:gridCol w:w="226"/>
        <w:gridCol w:w="961"/>
        <w:gridCol w:w="286"/>
        <w:gridCol w:w="109"/>
        <w:gridCol w:w="109"/>
        <w:gridCol w:w="109"/>
        <w:gridCol w:w="226"/>
        <w:gridCol w:w="946"/>
        <w:gridCol w:w="271"/>
        <w:gridCol w:w="109"/>
        <w:gridCol w:w="109"/>
        <w:gridCol w:w="109"/>
        <w:gridCol w:w="306"/>
        <w:gridCol w:w="310"/>
        <w:gridCol w:w="581"/>
        <w:gridCol w:w="109"/>
        <w:gridCol w:w="109"/>
        <w:gridCol w:w="109"/>
        <w:gridCol w:w="226"/>
        <w:gridCol w:w="1156"/>
        <w:gridCol w:w="286"/>
        <w:gridCol w:w="109"/>
        <w:gridCol w:w="109"/>
        <w:gridCol w:w="109"/>
        <w:gridCol w:w="226"/>
        <w:gridCol w:w="1126"/>
        <w:gridCol w:w="271"/>
        <w:gridCol w:w="109"/>
        <w:gridCol w:w="109"/>
        <w:gridCol w:w="109"/>
        <w:gridCol w:w="299"/>
        <w:gridCol w:w="302"/>
        <w:gridCol w:w="581"/>
        <w:gridCol w:w="109"/>
        <w:gridCol w:w="109"/>
        <w:gridCol w:w="154"/>
      </w:tblGrid>
      <w:tr>
        <w:trPr/>
        <w:tc>
          <w:tcPr>
            <w:tcW w:w="6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9" w:type="dxa"/>
            <w:gridSpan w:val="12"/>
            <w:tcBorders/>
            <w:tcMar>
              <w:top w:w="0" w:type="dxa"/>
              <w:left w:w="0" w:type="dxa"/>
              <w:bottom w:w="0" w:type="dxa"/>
              <w:right w:w="0" w:type="dxa"/>
            </w:tcMar>
            <w:vAlign w:val="center"/>
          </w:tcPr>
          <w:p>
            <w:pPr>
              <w:pStyle w:val="TableContents"/>
              <w:bidi w:val="0"/>
              <w:spacing w:lineRule="auto" w:line="240" w:before="100" w:after="120"/>
              <w:jc w:val="both"/>
              <w:rPr>
                <w:rFonts w:ascii="Poppins;sans-serif" w:hAnsi="Poppins;sans-serif"/>
                <w:b/>
                <w:color w:val="06185F"/>
                <w:sz w:val="20"/>
              </w:rPr>
            </w:pPr>
            <w:r>
              <w:rPr>
                <w:rFonts w:ascii="Poppins;sans-serif" w:hAnsi="Poppins;sans-serif"/>
                <w:b/>
                <w:color w:val="06185F"/>
                <w:sz w:val="20"/>
              </w:rPr>
              <w:t>Operating Expenses and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(Unaudited, dollars in thousands)</w:t>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Year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Cost of Revenue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370,175</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343,879 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7.6</w:t>
            </w:r>
            <w:r>
              <w:rPr>
                <w:color w:val="000000"/>
              </w:rPr>
              <w:t>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1,433,651</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1,360,747 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5.4</w:t>
            </w:r>
            <w:r>
              <w:rPr>
                <w:color w:val="000000"/>
              </w:rPr>
              <w:t>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Poppins;sans-serif" w:hAnsi="Poppins;sans-serif"/>
                <w:b w:val="false"/>
                <w:i/>
                <w:color w:val="000000"/>
                <w:sz w:val="18"/>
              </w:rPr>
              <w:t>Percentage of Total Revenue</w:t>
            </w:r>
            <w:r>
              <w:rPr>
                <w:rFonts w:ascii="Poppins;sans-serif" w:hAnsi="Poppins;sans-serif"/>
                <w:b w:val="false"/>
                <w:i/>
                <w:color w:val="000000"/>
                <w:sz w:val="12"/>
              </w:rPr>
              <w:t>6</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57.5</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55.9 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56.3</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57.3</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Research and Development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49,830</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42,580 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17.0</w:t>
            </w:r>
            <w:r>
              <w:rPr>
                <w:color w:val="000000"/>
              </w:rPr>
              <w:t>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176,445</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162,771 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8.4</w:t>
            </w:r>
            <w:r>
              <w:rPr>
                <w:color w:val="000000"/>
              </w:rPr>
              <w:t>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Poppins;sans-serif" w:hAnsi="Poppins;sans-serif"/>
                <w:b w:val="false"/>
                <w:i/>
                <w:color w:val="000000"/>
                <w:sz w:val="18"/>
              </w:rPr>
              <w:t>Percentage of Total Revenue</w:t>
            </w:r>
            <w:r>
              <w:rPr>
                <w:rFonts w:ascii="Poppins;sans-serif" w:hAnsi="Poppins;sans-serif"/>
                <w:b w:val="false"/>
                <w:i/>
                <w:color w:val="000000"/>
                <w:sz w:val="12"/>
              </w:rPr>
              <w:t>6</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7.7</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6.9</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6.9</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Selling, General, and Administrative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87,245</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73,216 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19.2</w:t>
            </w:r>
            <w:r>
              <w:rPr>
                <w:color w:val="000000"/>
              </w:rPr>
              <w:t>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299,210</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283,055 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5.7</w:t>
            </w:r>
            <w:r>
              <w:rPr>
                <w:color w:val="000000"/>
              </w:rPr>
              <w:t>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Poppins;sans-serif" w:hAnsi="Poppins;sans-serif"/>
                <w:b w:val="false"/>
                <w:i/>
                <w:color w:val="000000"/>
                <w:sz w:val="18"/>
              </w:rPr>
              <w:t>Percentage of Total Revenue</w:t>
            </w:r>
            <w:r>
              <w:rPr>
                <w:rFonts w:ascii="Poppins;sans-serif" w:hAnsi="Poppins;sans-serif"/>
                <w:b w:val="false"/>
                <w:i/>
                <w:color w:val="000000"/>
                <w:sz w:val="12"/>
              </w:rPr>
              <w:t>6</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13.5</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11.8</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OPERATING EXPENSES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507,250</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459,675 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10.3</w:t>
            </w: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1,909,306</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1,806,573 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5.7</w:t>
            </w: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OPERATING INCOME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136,773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155,697 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(12.2)</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635,033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568,715 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11.7</w:t>
            </w: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Poppins;sans-serif" w:hAnsi="Poppins;sans-serif"/>
                <w:b w:val="false"/>
                <w:i/>
                <w:color w:val="000000"/>
                <w:sz w:val="18"/>
              </w:rPr>
              <w:t>Operating Margin</w:t>
            </w:r>
            <w:r>
              <w:rPr>
                <w:rFonts w:ascii="Poppins;sans-serif" w:hAnsi="Poppins;sans-serif"/>
                <w:b w:val="false"/>
                <w:i/>
                <w:color w:val="000000"/>
                <w:sz w:val="12"/>
              </w:rPr>
              <w:t>6</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21.2</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25.3 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25.0</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23.9</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color w:val="000000"/>
        </w:rPr>
        <w:t>•</w:t>
      </w:r>
      <w:r>
        <w:rPr>
          <w:rFonts w:ascii="Poppins;sans-serif" w:hAnsi="Poppins;sans-serif"/>
          <w:b w:val="false"/>
          <w:color w:val="000000"/>
          <w:sz w:val="18"/>
        </w:rPr>
        <w:t>Cost of revenue increased for the fiscal three months and fiscal year ended June 30, 2026, compared to the fiscal three months and fiscal year ended June 30, 2025, primarily due to higher personnel costs, including compensation and benefit costs, partially related to trailing twelve month headcount growth, higher direct costs generally consistent with increases in related lines of revenue, as well as higher amortization of capitalized software and increased internal licenses and fees.</w:t>
      </w:r>
    </w:p>
    <w:p>
      <w:pPr>
        <w:pStyle w:val="TextBody"/>
        <w:bidi w:val="0"/>
        <w:spacing w:lineRule="auto" w:line="288" w:before="100" w:after="120"/>
        <w:ind w:left="0" w:right="0" w:hanging="360"/>
        <w:jc w:val="both"/>
        <w:rPr/>
      </w:pPr>
      <w:r>
        <w:rPr>
          <w:color w:val="000000"/>
        </w:rPr>
        <w:t>•</w:t>
      </w:r>
      <w:r>
        <w:rPr>
          <w:rFonts w:ascii="Poppins;sans-serif" w:hAnsi="Poppins;sans-serif"/>
          <w:b w:val="false"/>
          <w:color w:val="000000"/>
          <w:sz w:val="18"/>
        </w:rPr>
        <w:t>Research and development expense increased for the fiscal three months and fiscal year ended June 30, 2026, compared to the fiscal three months and fiscal year ended June 30, 2025, primarily due to higher personnel costs (net of capitalization), including compensation and benefit costs, partially related to trailing twelve month headcount growth.</w:t>
      </w:r>
    </w:p>
    <w:p>
      <w:pPr>
        <w:pStyle w:val="TextBody"/>
        <w:bidi w:val="0"/>
        <w:spacing w:lineRule="auto" w:line="288" w:before="100" w:after="120"/>
        <w:ind w:left="0" w:right="0" w:hanging="360"/>
        <w:jc w:val="both"/>
        <w:rPr/>
      </w:pPr>
      <w:r>
        <w:rPr>
          <w:color w:val="000000"/>
        </w:rPr>
        <w:t>•</w:t>
      </w:r>
      <w:r>
        <w:rPr>
          <w:rFonts w:ascii="Poppins;sans-serif" w:hAnsi="Poppins;sans-serif"/>
          <w:b w:val="false"/>
          <w:color w:val="000000"/>
          <w:sz w:val="18"/>
        </w:rPr>
        <w:t>Selling, general, and administrative expense increased for the fiscal three months and fiscal year ended June 30, 2026, compared to the fiscal three months and fiscal year ended June 30, 2025, mainly due to higher personnel costs, including increased medical costs from second-half normalization trends and higher compensation tied to trailing twelve month headcount growth.</w:t>
      </w:r>
    </w:p>
    <w:p>
      <w:pPr>
        <w:pStyle w:val="TextBody"/>
        <w:bidi w:val="0"/>
        <w:spacing w:before="100" w:after="120"/>
        <w:jc w:val="both"/>
        <w:rPr/>
      </w:pPr>
      <w:r>
        <w:rPr/>
      </w:r>
    </w:p>
    <w:p>
      <w:pPr>
        <w:pStyle w:val="TextBody"/>
        <w:bidi w:val="0"/>
        <w:spacing w:lineRule="auto" w:line="288" w:before="100" w:after="120"/>
        <w:jc w:val="both"/>
        <w:rPr>
          <w:rFonts w:ascii="Poppins;sans-serif" w:hAnsi="Poppins;sans-serif"/>
          <w:b/>
          <w:color w:val="06185F"/>
          <w:sz w:val="20"/>
        </w:rPr>
      </w:pPr>
      <w:r>
        <w:rPr>
          <w:rFonts w:ascii="Poppins;sans-serif" w:hAnsi="Poppins;sans-serif"/>
          <w:b/>
          <w:color w:val="06185F"/>
          <w:sz w:val="20"/>
        </w:rPr>
        <w:t>Net Income</w:t>
      </w:r>
    </w:p>
    <w:tbl>
      <w:tblPr>
        <w:tblW w:w="10344" w:type="dxa"/>
        <w:jc w:val="left"/>
        <w:tblInd w:w="0" w:type="dxa"/>
        <w:tblLayout w:type="fixed"/>
        <w:tblCellMar>
          <w:top w:w="28" w:type="dxa"/>
          <w:left w:w="28" w:type="dxa"/>
          <w:bottom w:w="28" w:type="dxa"/>
          <w:right w:w="28" w:type="dxa"/>
        </w:tblCellMar>
      </w:tblPr>
      <w:tblGrid>
        <w:gridCol w:w="435"/>
        <w:gridCol w:w="382"/>
        <w:gridCol w:w="384"/>
        <w:gridCol w:w="226"/>
        <w:gridCol w:w="961"/>
        <w:gridCol w:w="109"/>
        <w:gridCol w:w="109"/>
        <w:gridCol w:w="109"/>
        <w:gridCol w:w="109"/>
        <w:gridCol w:w="226"/>
        <w:gridCol w:w="946"/>
        <w:gridCol w:w="109"/>
        <w:gridCol w:w="109"/>
        <w:gridCol w:w="109"/>
        <w:gridCol w:w="109"/>
        <w:gridCol w:w="308"/>
        <w:gridCol w:w="308"/>
        <w:gridCol w:w="538"/>
        <w:gridCol w:w="109"/>
        <w:gridCol w:w="109"/>
        <w:gridCol w:w="109"/>
        <w:gridCol w:w="226"/>
        <w:gridCol w:w="961"/>
        <w:gridCol w:w="109"/>
        <w:gridCol w:w="109"/>
        <w:gridCol w:w="109"/>
        <w:gridCol w:w="109"/>
        <w:gridCol w:w="226"/>
        <w:gridCol w:w="946"/>
        <w:gridCol w:w="109"/>
        <w:gridCol w:w="109"/>
        <w:gridCol w:w="109"/>
        <w:gridCol w:w="109"/>
        <w:gridCol w:w="300"/>
        <w:gridCol w:w="301"/>
        <w:gridCol w:w="599"/>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 xml:space="preserve">(Unaudited, in thousands, </w:t>
            </w:r>
          </w:p>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except per share data)</w:t>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6"/>
              </w:rPr>
            </w:pPr>
            <w:r>
              <w:rPr>
                <w:rFonts w:ascii="Poppins;sans-serif" w:hAnsi="Poppins;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Year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6"/>
              </w:rPr>
            </w:pPr>
            <w:r>
              <w:rPr>
                <w:rFonts w:ascii="Poppins;sans-serif" w:hAnsi="Poppins;sans-serif"/>
                <w:b w:val="false"/>
                <w:color w:val="000000"/>
                <w:sz w:val="16"/>
              </w:rPr>
              <w:t>% Change</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Income Before Income Taxes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139,738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159,949 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(12.6)</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652,790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586,036 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11.4</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Provision for Income Taxes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28,510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32,345 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(11.9)</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150,014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130,288 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15.1</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NET INCOME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111,228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127,604 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(12.8)</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502,776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455,748 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10.3</w:t>
            </w:r>
            <w:r>
              <w:rPr>
                <w:color w:val="000000"/>
              </w:rPr>
              <w:t>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Diluted earnings per share</w:t>
            </w:r>
          </w:p>
        </w:tc>
        <w:tc>
          <w:tcPr>
            <w:tcW w:w="22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1.57</w:t>
            </w:r>
            <w:r>
              <w:rPr>
                <w:color w:val="000000"/>
              </w:rPr>
              <w:t>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1.75 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(10.2)</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6.98</w:t>
            </w:r>
            <w:r>
              <w:rPr>
                <w:color w:val="000000"/>
              </w:rPr>
              <w:t>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6.24 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11.9</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bl>
    <w:p>
      <w:pPr>
        <w:pStyle w:val="TextBody"/>
        <w:bidi w:val="0"/>
        <w:spacing w:lineRule="auto" w:line="268" w:before="0" w:after="0"/>
        <w:ind w:left="0" w:right="0" w:hanging="360"/>
        <w:jc w:val="left"/>
        <w:rPr/>
      </w:pPr>
      <w:r>
        <w:rPr>
          <w:color w:val="000000"/>
        </w:rPr>
        <w:t>•</w:t>
      </w:r>
      <w:r>
        <w:rPr>
          <w:rFonts w:ascii="Poppins;sans-serif" w:hAnsi="Poppins;sans-serif"/>
          <w:b w:val="false"/>
          <w:color w:val="000000"/>
          <w:sz w:val="18"/>
        </w:rPr>
        <w:t xml:space="preserve">Effective tax rates for the fiscal three months and fiscal year ended June 30, 2026, were 20.4% and 23.0% respectively, and for the fiscal three months and fiscal year ended June 30, 2025 were 20.2% and 22.2%, respectively.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0"/>
        <w:gridCol w:w="554"/>
        <w:gridCol w:w="554"/>
        <w:gridCol w:w="554"/>
        <w:gridCol w:w="554"/>
        <w:gridCol w:w="554"/>
        <w:gridCol w:w="554"/>
        <w:gridCol w:w="554"/>
        <w:gridCol w:w="554"/>
        <w:gridCol w:w="554"/>
        <w:gridCol w:w="554"/>
        <w:gridCol w:w="554"/>
        <w:gridCol w:w="554"/>
        <w:gridCol w:w="554"/>
        <w:gridCol w:w="554"/>
        <w:gridCol w:w="554"/>
        <w:gridCol w:w="554"/>
        <w:gridCol w:w="554"/>
        <w:gridCol w:w="157"/>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10048" w:type="dxa"/>
            <w:gridSpan w:val="18"/>
            <w:vMerge w:val="restart"/>
            <w:tcBorders>
              <w:top w:val="single" w:sz="8" w:space="0" w:color="76DCFD"/>
              <w:left w:val="single" w:sz="8" w:space="0" w:color="76DCFD"/>
              <w:bottom w:val="single" w:sz="8" w:space="0" w:color="76DCFD"/>
              <w:right w:val="single" w:sz="8" w:space="0" w:color="76DCFD"/>
            </w:tcBorders>
            <w:tcMar>
              <w:top w:w="52" w:type="dxa"/>
              <w:bottom w:w="30" w:type="dxa"/>
            </w:tcMar>
            <w:vAlign w:val="center"/>
          </w:tcPr>
          <w:p>
            <w:pPr>
              <w:pStyle w:val="TableContents"/>
              <w:bidi w:val="0"/>
              <w:spacing w:lineRule="auto" w:line="288" w:before="0" w:after="0"/>
              <w:jc w:val="both"/>
              <w:rPr/>
            </w:pPr>
            <w:r>
              <w:rPr>
                <w:rFonts w:ascii="Poppins;sans-serif" w:hAnsi="Poppins;sans-serif"/>
                <w:b w:val="false"/>
                <w:color w:val="000000"/>
                <w:sz w:val="18"/>
              </w:rPr>
              <w:t xml:space="preserve">According to </w:t>
            </w:r>
            <w:r>
              <w:rPr>
                <w:rFonts w:ascii="Poppins;sans-serif" w:hAnsi="Poppins;sans-serif"/>
                <w:b/>
                <w:color w:val="085CE5"/>
                <w:sz w:val="20"/>
              </w:rPr>
              <w:t>Mimi Carsley, CFO and Treasurer</w:t>
            </w:r>
            <w:r>
              <w:rPr>
                <w:rFonts w:ascii="Poppins;sans-serif" w:hAnsi="Poppins;sans-serif"/>
                <w:b w:val="false"/>
                <w:color w:val="085CE5"/>
                <w:sz w:val="20"/>
              </w:rPr>
              <w:t>,</w:t>
            </w:r>
            <w:r>
              <w:rPr>
                <w:color w:val="000000"/>
              </w:rPr>
              <w:t xml:space="preserve"> “</w:t>
            </w:r>
            <w:r>
              <w:rPr>
                <w:rFonts w:ascii="Poppins;sans-serif" w:hAnsi="Poppins;sans-serif"/>
                <w:b w:val="false"/>
                <w:color w:val="000000"/>
                <w:sz w:val="18"/>
              </w:rPr>
              <w:t>Our full year performance delivered record revenues, substantial margin expansion, and robust free cash flow, yielding value—culminating in an outstanding ROIC of 23.2% that reflects the underlying strength of our business model. Looking ahead to full-year 2027, our non-GAAP revenue growth should remain consistent, but margin comparisons will be impacted by tough comparisons from the first half of last year. Overall, we expect another strong performance in fiscal 2027.”</w:t>
            </w:r>
          </w:p>
        </w:tc>
        <w:tc>
          <w:tcPr>
            <w:tcW w:w="157" w:type="dxa"/>
            <w:tcBorders/>
          </w:tcPr>
          <w:p>
            <w:pPr>
              <w:pStyle w:val="TableContents"/>
              <w:bidi w:val="0"/>
              <w:spacing w:before="0" w:after="283"/>
              <w:jc w:val="left"/>
              <w:rPr>
                <w:sz w:val="4"/>
                <w:szCs w:val="4"/>
              </w:rPr>
            </w:pPr>
            <w:r>
              <w:rPr>
                <w:sz w:val="4"/>
                <w:szCs w:val="4"/>
              </w:rPr>
            </w:r>
          </w:p>
        </w:tc>
      </w:tr>
      <w:tr>
        <w:trPr/>
        <w:tc>
          <w:tcPr>
            <w:tcW w:w="10048" w:type="dxa"/>
            <w:gridSpan w:val="18"/>
            <w:vMerge w:val="continue"/>
            <w:tcBorders>
              <w:top w:val="single" w:sz="8" w:space="0" w:color="76DCFD"/>
              <w:left w:val="single" w:sz="8" w:space="0" w:color="76DCFD"/>
              <w:bottom w:val="single" w:sz="8" w:space="0" w:color="76DCFD"/>
              <w:right w:val="single" w:sz="8" w:space="0" w:color="76DCFD"/>
            </w:tcBorders>
            <w:tcMar>
              <w:top w:w="52" w:type="dxa"/>
              <w:bottom w:w="3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8"/>
            <w:vMerge w:val="continue"/>
            <w:tcBorders>
              <w:top w:val="single" w:sz="8" w:space="0" w:color="76DCFD"/>
              <w:left w:val="single" w:sz="8" w:space="0" w:color="76DCFD"/>
              <w:bottom w:val="single" w:sz="8" w:space="0" w:color="76DCFD"/>
              <w:right w:val="single" w:sz="8" w:space="0" w:color="76DCFD"/>
            </w:tcBorders>
            <w:tcMar>
              <w:top w:w="52" w:type="dxa"/>
              <w:bottom w:w="3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8"/>
            <w:vMerge w:val="continue"/>
            <w:tcBorders>
              <w:top w:val="single" w:sz="8" w:space="0" w:color="76DCFD"/>
              <w:left w:val="single" w:sz="8" w:space="0" w:color="76DCFD"/>
              <w:bottom w:val="single" w:sz="8" w:space="0" w:color="76DCFD"/>
              <w:right w:val="single" w:sz="8" w:space="0" w:color="76DCFD"/>
            </w:tcBorders>
            <w:tcMar>
              <w:top w:w="52" w:type="dxa"/>
              <w:bottom w:w="3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8"/>
            <w:vMerge w:val="continue"/>
            <w:tcBorders>
              <w:top w:val="single" w:sz="8" w:space="0" w:color="76DCFD"/>
              <w:left w:val="single" w:sz="8" w:space="0" w:color="76DCFD"/>
              <w:bottom w:val="single" w:sz="8" w:space="0" w:color="76DCFD"/>
              <w:right w:val="single" w:sz="8" w:space="0" w:color="76DCFD"/>
            </w:tcBorders>
            <w:tcMar>
              <w:top w:w="52" w:type="dxa"/>
              <w:bottom w:w="3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8"/>
            <w:vMerge w:val="continue"/>
            <w:tcBorders>
              <w:top w:val="single" w:sz="8" w:space="0" w:color="76DCFD"/>
              <w:left w:val="single" w:sz="8" w:space="0" w:color="76DCFD"/>
              <w:bottom w:val="single" w:sz="8" w:space="0" w:color="76DCFD"/>
              <w:right w:val="single" w:sz="8" w:space="0" w:color="76DCFD"/>
            </w:tcBorders>
            <w:tcMar>
              <w:top w:w="52" w:type="dxa"/>
              <w:bottom w:w="3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8"/>
            <w:vMerge w:val="continue"/>
            <w:tcBorders>
              <w:top w:val="single" w:sz="8" w:space="0" w:color="76DCFD"/>
              <w:left w:val="single" w:sz="8" w:space="0" w:color="76DCFD"/>
              <w:bottom w:val="single" w:sz="8" w:space="0" w:color="76DCFD"/>
              <w:right w:val="single" w:sz="8" w:space="0" w:color="76DCFD"/>
            </w:tcBorders>
            <w:tcMar>
              <w:top w:w="52" w:type="dxa"/>
              <w:bottom w:w="3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40"/>
        <w:jc w:val="both"/>
        <w:rPr/>
      </w:pPr>
      <w:r>
        <w:rPr/>
      </w:r>
    </w:p>
    <w:p>
      <w:pPr>
        <w:pStyle w:val="TextBody"/>
        <w:bidi w:val="0"/>
        <w:spacing w:before="120" w:after="140"/>
        <w:jc w:val="both"/>
        <w:rPr/>
      </w:pPr>
      <w:r>
        <w:rPr/>
      </w:r>
    </w:p>
    <w:p>
      <w:pPr>
        <w:pStyle w:val="TextBody"/>
        <w:bidi w:val="0"/>
        <w:spacing w:before="120" w:after="140"/>
        <w:jc w:val="both"/>
        <w:rPr/>
      </w:pPr>
      <w:r>
        <w:rPr/>
      </w:r>
    </w:p>
    <w:p>
      <w:pPr>
        <w:pStyle w:val="TextBody"/>
        <w:bidi w:val="0"/>
        <w:spacing w:lineRule="auto" w:line="288" w:before="120" w:after="140"/>
        <w:jc w:val="both"/>
        <w:rPr/>
      </w:pPr>
      <w:r>
        <w:rPr>
          <w:rFonts w:ascii="Poppins;sans-serif" w:hAnsi="Poppins;sans-serif"/>
          <w:b w:val="false"/>
          <w:color w:val="000000"/>
          <w:sz w:val="8"/>
        </w:rPr>
        <w:t>6</w:t>
      </w:r>
      <w:r>
        <w:rPr>
          <w:rFonts w:ascii="Poppins;sans-serif" w:hAnsi="Poppins;sans-serif"/>
          <w:b w:val="false"/>
          <w:color w:val="000000"/>
          <w:sz w:val="13"/>
        </w:rPr>
        <w:t>Operating margin is calculated by dividing operating income by revenue. Operating margin plus operating expense components as a percentage of total revenue may not equal 100% due to rounding.</w:t>
      </w:r>
    </w:p>
    <w:p>
      <w:pPr>
        <w:pStyle w:val="TextBody"/>
        <w:bidi w:val="0"/>
        <w:spacing w:lineRule="auto" w:line="288" w:before="0" w:after="0"/>
        <w:ind w:left="0" w:right="0" w:hanging="630"/>
        <w:jc w:val="right"/>
        <w:rPr/>
      </w:pPr>
      <w:r>
        <w:rPr/>
        <w:drawing>
          <wp:inline distT="0" distB="0" distL="0" distR="0">
            <wp:extent cx="7772400" cy="95250"/>
            <wp:effectExtent l="0" t="0" r="0" b="0"/>
            <wp:docPr id="2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7" descr=""/>
                    <pic:cNvPicPr>
                      <a:picLocks noChangeAspect="1" noChangeArrowheads="1"/>
                    </pic:cNvPicPr>
                  </pic:nvPicPr>
                  <pic:blipFill>
                    <a:blip r:embed="rId20"/>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14705"/>
                <wp:effectExtent l="0" t="0" r="0" b="0"/>
                <wp:wrapNone/>
                <wp:docPr id="26" name="Frame7"/>
                <a:graphic xmlns:a="http://schemas.openxmlformats.org/drawingml/2006/main">
                  <a:graphicData uri="http://schemas.microsoft.com/office/word/2010/wordprocessingShape">
                    <wps:wsp>
                      <wps:cNvSpPr txBox="1"/>
                      <wps:spPr>
                        <a:xfrm>
                          <a:off x="0" y="0"/>
                          <a:ext cx="6480175" cy="814705"/>
                        </a:xfrm>
                        <a:prstGeom prst="rect"/>
                        <a:solidFill>
                          <a:srgbClr val="FFFFFF"/>
                        </a:solidFill>
                      </wps:spPr>
                      <wps:txb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21"/>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15pt;mso-wrap-distance-left:0pt;mso-wrap-distance-right:0pt;mso-wrap-distance-top:0pt;mso-wrap-distance-bottom:0pt;margin-top:0pt;mso-position-vertical:top;mso-position-vertical-relative:text;margin-left:0pt;mso-position-horizontal:left;mso-position-horizontal-relative:text">
                <v:textbo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2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 descr=""/>
                                          <pic:cNvPicPr>
                                            <a:picLocks noChangeAspect="1" noChangeArrowheads="1"/>
                                          </pic:cNvPicPr>
                                        </pic:nvPicPr>
                                        <pic:blipFill>
                                          <a:blip r:embed="rId22"/>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both"/>
        <w:rPr>
          <w:rFonts w:ascii="Poppins;sans-serif" w:hAnsi="Poppins;sans-serif"/>
          <w:b/>
          <w:color w:val="06185F"/>
          <w:sz w:val="20"/>
        </w:rPr>
      </w:pPr>
      <w:r>
        <w:rPr>
          <w:rFonts w:ascii="Poppins;sans-serif" w:hAnsi="Poppins;sans-serif"/>
          <w:b/>
          <w:color w:val="06185F"/>
          <w:sz w:val="20"/>
        </w:rPr>
        <w:t>Impact of Non-GAAP Adjustments</w:t>
      </w:r>
    </w:p>
    <w:p>
      <w:pPr>
        <w:pStyle w:val="TextBody"/>
        <w:bidi w:val="0"/>
        <w:spacing w:lineRule="auto" w:line="268" w:before="0" w:after="0"/>
        <w:jc w:val="both"/>
        <w:rPr>
          <w:rFonts w:ascii="Poppins;sans-serif" w:hAnsi="Poppins;sans-serif"/>
          <w:b w:val="false"/>
          <w:color w:val="000000"/>
          <w:sz w:val="16"/>
        </w:rPr>
      </w:pPr>
      <w:r>
        <w:rPr>
          <w:rFonts w:ascii="Poppins;sans-serif" w:hAnsi="Poppins;sans-serif"/>
          <w:b w:val="false"/>
          <w:color w:val="000000"/>
          <w:sz w:val="16"/>
        </w:rPr>
        <w:t>The tables below show our revenue, operating income, and net income for the fiscal three months and fiscal year ended June 30, 2026, compared to the fiscal three months and fiscal year ended June 30, 2025, excluding the impacts of deconversions in the fiscal quarter and fiscal year ended June 30, 2026, and June 30, 2025, the impact in the current fiscal quarter and fiscal year of an acquisition made during the current fiscal year, the gain on assets, net, in the current fiscal year, and the impact of a contract change in the prior fiscal quarter and fiscal year.</w:t>
      </w:r>
    </w:p>
    <w:p>
      <w:pPr>
        <w:pStyle w:val="TextBody"/>
        <w:bidi w:val="0"/>
        <w:spacing w:before="0" w:after="0"/>
        <w:jc w:val="both"/>
        <w:rPr/>
      </w:pPr>
      <w:r>
        <w:rPr/>
      </w:r>
    </w:p>
    <w:tbl>
      <w:tblPr>
        <w:tblW w:w="11667" w:type="dxa"/>
        <w:jc w:val="left"/>
        <w:tblInd w:w="0" w:type="dxa"/>
        <w:tblLayout w:type="fixed"/>
        <w:tblCellMar>
          <w:top w:w="28" w:type="dxa"/>
          <w:left w:w="28" w:type="dxa"/>
          <w:bottom w:w="28" w:type="dxa"/>
          <w:right w:w="28" w:type="dxa"/>
        </w:tblCellMar>
      </w:tblPr>
      <w:tblGrid>
        <w:gridCol w:w="660"/>
        <w:gridCol w:w="382"/>
        <w:gridCol w:w="384"/>
        <w:gridCol w:w="226"/>
        <w:gridCol w:w="961"/>
        <w:gridCol w:w="286"/>
        <w:gridCol w:w="109"/>
        <w:gridCol w:w="109"/>
        <w:gridCol w:w="109"/>
        <w:gridCol w:w="226"/>
        <w:gridCol w:w="961"/>
        <w:gridCol w:w="271"/>
        <w:gridCol w:w="109"/>
        <w:gridCol w:w="109"/>
        <w:gridCol w:w="109"/>
        <w:gridCol w:w="307"/>
        <w:gridCol w:w="309"/>
        <w:gridCol w:w="538"/>
        <w:gridCol w:w="109"/>
        <w:gridCol w:w="109"/>
        <w:gridCol w:w="109"/>
        <w:gridCol w:w="226"/>
        <w:gridCol w:w="1156"/>
        <w:gridCol w:w="286"/>
        <w:gridCol w:w="109"/>
        <w:gridCol w:w="109"/>
        <w:gridCol w:w="109"/>
        <w:gridCol w:w="226"/>
        <w:gridCol w:w="1156"/>
        <w:gridCol w:w="271"/>
        <w:gridCol w:w="109"/>
        <w:gridCol w:w="109"/>
        <w:gridCol w:w="109"/>
        <w:gridCol w:w="299"/>
        <w:gridCol w:w="302"/>
        <w:gridCol w:w="599"/>
      </w:tblGrid>
      <w:tr>
        <w:trPr/>
        <w:tc>
          <w:tcPr>
            <w:tcW w:w="6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(Unaudited, dollars in thousands)</w:t>
            </w:r>
          </w:p>
        </w:tc>
        <w:tc>
          <w:tcPr>
            <w:tcW w:w="32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6"/>
              </w:rPr>
            </w:pPr>
            <w:r>
              <w:rPr>
                <w:rFonts w:ascii="Poppins;sans-serif" w:hAnsi="Poppins;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6"/>
              </w:rPr>
            </w:pPr>
            <w:r>
              <w:rPr>
                <w:rFonts w:ascii="Poppins;sans-serif" w:hAnsi="Poppins;sans-serif"/>
                <w:b w:val="false"/>
                <w:color w:val="000000"/>
                <w:sz w:val="16"/>
              </w:rPr>
              <w:t>% Change</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GAAP Revenue*</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644,023</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615,372</w:t>
            </w:r>
            <w:r>
              <w:rPr>
                <w:color w:val="000000"/>
              </w:rPr>
              <w:t>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4.7</w:t>
            </w:r>
            <w:r>
              <w:rPr>
                <w:color w:val="000000"/>
              </w:rPr>
              <w:t> </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2,544,339</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2,375,288</w:t>
            </w:r>
            <w:r>
              <w:rPr>
                <w:color w:val="000000"/>
              </w:rPr>
              <w:t>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7.1</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Adjustments:</w:t>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Deconversion revenue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(9,327)</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(20,495)</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(42,830)</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(33,905)</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Revenue related to a contract change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(1,202)</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(15,874)</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Revenue from the acquisition</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(1,598)</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(5,193)</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NON-GAAP ADJUSTED REVENUE*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633,098</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593,675</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6.6</w:t>
            </w:r>
            <w:r>
              <w:rPr>
                <w:color w:val="000000"/>
              </w:rPr>
              <w:t>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2,496,316</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2,325,509</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7.3</w:t>
            </w:r>
            <w:r>
              <w:rPr>
                <w:color w:val="000000"/>
              </w:rPr>
              <w:t>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Operating Income</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136,773</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155,697</w:t>
            </w:r>
            <w:r>
              <w:rPr>
                <w:color w:val="000000"/>
              </w:rPr>
              <w:t>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(12.2)</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635,033</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568,715</w:t>
            </w:r>
            <w:r>
              <w:rPr>
                <w:color w:val="000000"/>
              </w:rPr>
              <w:t>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11.7</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Adjustments:</w:t>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Operating income from deconversions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(4,616)</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(17,938)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(29,953)</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(27,663)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Operating income related to a contract change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(180)</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(2,358)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Gain on assets, net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(6,829)</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Operating loss from the acquisition</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1,141 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2,959 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OPERATING INCOME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133,298</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137,579</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(3.1)</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601,210</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538,694</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11.6</w:t>
            </w:r>
            <w:r>
              <w:rPr>
                <w:color w:val="000000"/>
              </w:rPr>
              <w:t>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i/>
                <w:color w:val="000000"/>
                <w:sz w:val="18"/>
              </w:rPr>
            </w:pPr>
            <w:r>
              <w:rPr>
                <w:rFonts w:ascii="Poppins;sans-serif" w:hAnsi="Poppins;sans-serif"/>
                <w:b w:val="false"/>
                <w:i/>
                <w:color w:val="000000"/>
                <w:sz w:val="18"/>
              </w:rPr>
              <w:t>Non-GAAP Adjusted Operating Margin**</w:t>
            </w:r>
          </w:p>
        </w:tc>
        <w:tc>
          <w:tcPr>
            <w:tcW w:w="118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21.1</w:t>
            </w:r>
            <w:r>
              <w:rPr>
                <w:color w:val="000000"/>
              </w:rPr>
              <w:t> </w:t>
            </w:r>
          </w:p>
        </w:tc>
        <w:tc>
          <w:tcPr>
            <w:tcW w:w="28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23.2 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24.1</w:t>
            </w:r>
            <w:r>
              <w:rPr>
                <w:color w:val="000000"/>
              </w:rPr>
              <w:t> </w:t>
            </w:r>
          </w:p>
        </w:tc>
        <w:tc>
          <w:tcPr>
            <w:tcW w:w="28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23.2 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Net Income</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111,228</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127,604</w:t>
            </w:r>
            <w:r>
              <w:rPr>
                <w:color w:val="000000"/>
              </w:rPr>
              <w:t>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(12.8)</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502,776</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455,748</w:t>
            </w:r>
            <w:r>
              <w:rPr>
                <w:color w:val="000000"/>
              </w:rPr>
              <w:t>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10.3</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Adjustments:</w:t>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Net income from deconversions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(4,616)</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(17,938)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(29,953)</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(27,663)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Net income related to a contract change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(180)</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(2,358)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Gain on assets, net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(6,829)</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Net loss from the acquisition</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1,141 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2,959 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Tax impact of adjustments***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834 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4,348 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8,118 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7,205 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NET INCOME</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108,587</w:t>
            </w:r>
            <w:r>
              <w:rPr>
                <w:color w:val="000000"/>
              </w:rPr>
              <w:t>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113,834</w:t>
            </w:r>
            <w:r>
              <w:rPr>
                <w:color w:val="000000"/>
              </w:rPr>
              <w:t>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(4.6)</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477,071</w:t>
            </w:r>
            <w:r>
              <w:rPr>
                <w:color w:val="000000"/>
              </w:rPr>
              <w:t>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432,932</w:t>
            </w:r>
            <w:r>
              <w:rPr>
                <w:color w:val="000000"/>
              </w:rPr>
              <w:t>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10.2</w:t>
            </w:r>
            <w:r>
              <w:rPr>
                <w:color w:val="000000"/>
              </w:rPr>
              <w:t>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bl>
    <w:p>
      <w:pPr>
        <w:pStyle w:val="TextBody"/>
        <w:bidi w:val="0"/>
        <w:spacing w:lineRule="auto" w:line="288" w:before="0" w:after="60"/>
        <w:jc w:val="both"/>
        <w:rPr>
          <w:rFonts w:ascii="Poppins;sans-serif" w:hAnsi="Poppins;sans-serif"/>
          <w:b w:val="false"/>
          <w:color w:val="000000"/>
          <w:sz w:val="14"/>
        </w:rPr>
      </w:pPr>
      <w:r>
        <w:rPr>
          <w:rFonts w:ascii="Poppins;sans-serif" w:hAnsi="Poppins;sans-serif"/>
          <w:b w:val="false"/>
          <w:color w:val="000000"/>
          <w:sz w:val="14"/>
        </w:rPr>
        <w:t xml:space="preserve">*GAAP revenue is comprised of services and support and processing revenues (see page 2). Services and support revenue less deconversion revenue for the fiscal three months ended June 30, 2026, and 2025, which was $9,327 for the current fiscal year quarter and $20,495 for the prior fiscal year quarter, and reducing the fiscal three months ended June 30, 2025, amount also for revenue related to a contractual change of $1,202, results in non-GAAP adjusted services and support revenue growth of 6.5% quarter over quarter. Processing revenue less revenue from the acquisition for the fiscal three months ended June 30, 2026, of $1,598, results in non-GAAP adjusted processing revenue growth of 6.9% quarter over quarter. </w:t>
      </w:r>
    </w:p>
    <w:p>
      <w:pPr>
        <w:pStyle w:val="TextBody"/>
        <w:bidi w:val="0"/>
        <w:spacing w:lineRule="auto" w:line="288" w:before="0" w:after="100"/>
        <w:jc w:val="both"/>
        <w:rPr/>
      </w:pPr>
      <w:r>
        <w:rPr>
          <w:rFonts w:ascii="Poppins;sans-serif" w:hAnsi="Poppins;sans-serif"/>
          <w:b w:val="false"/>
          <w:color w:val="000000"/>
          <w:sz w:val="14"/>
        </w:rPr>
        <w:t>Services and support revenue less deconversion revenue for the fiscal year ended June 30, 2026, and 2025 which was $42,830 for the current fiscal year and $33,905 for the prior fiscal year, and reducing the fiscal year ended June 30, 2025, amount also for revenue related to a contractual change of $15,874, results in non-GAAP adjusted services and support revenue growth of 7.1% year over year. Processing revenue less revenue from the acquisition for the fiscal</w:t>
      </w:r>
      <w:r>
        <w:rPr>
          <w:color w:val="000000"/>
        </w:rPr>
        <w:t xml:space="preserve"> </w:t>
      </w:r>
      <w:r>
        <w:rPr>
          <w:rFonts w:ascii="Poppins;sans-serif" w:hAnsi="Poppins;sans-serif"/>
          <w:b w:val="false"/>
          <w:color w:val="000000"/>
          <w:sz w:val="14"/>
        </w:rPr>
        <w:t xml:space="preserve">year ended June 30, 2026, of $5,193, results in non-GAAP adjusted processing revenue growth of 7.7% year over year. </w:t>
      </w:r>
    </w:p>
    <w:p>
      <w:pPr>
        <w:pStyle w:val="TextBody"/>
        <w:bidi w:val="0"/>
        <w:spacing w:lineRule="auto" w:line="288" w:before="0" w:after="100"/>
        <w:jc w:val="both"/>
        <w:rPr>
          <w:rFonts w:ascii="Poppins;sans-serif" w:hAnsi="Poppins;sans-serif"/>
          <w:b w:val="false"/>
          <w:color w:val="000000"/>
          <w:sz w:val="14"/>
        </w:rPr>
      </w:pPr>
      <w:r>
        <w:rPr>
          <w:rFonts w:ascii="Poppins;sans-serif" w:hAnsi="Poppins;sans-serif"/>
          <w:b w:val="false"/>
          <w:color w:val="000000"/>
          <w:sz w:val="14"/>
        </w:rPr>
        <w:t>**Non-GAAP adjusted operating margin is calculated by dividing non-GAAP adjusted operating income by non-GAAP adjusted revenue.</w:t>
      </w:r>
    </w:p>
    <w:p>
      <w:pPr>
        <w:pStyle w:val="TextBody"/>
        <w:bidi w:val="0"/>
        <w:spacing w:lineRule="auto" w:line="288" w:before="0" w:after="100"/>
        <w:jc w:val="both"/>
        <w:rPr>
          <w:rFonts w:ascii="Poppins;sans-serif" w:hAnsi="Poppins;sans-serif"/>
          <w:b w:val="false"/>
          <w:color w:val="000000"/>
          <w:sz w:val="14"/>
        </w:rPr>
      </w:pPr>
      <w:r>
        <w:rPr>
          <w:rFonts w:ascii="Poppins;sans-serif" w:hAnsi="Poppins;sans-serif"/>
          <w:b w:val="false"/>
          <w:color w:val="000000"/>
          <w:sz w:val="14"/>
        </w:rPr>
        <w:t>***The tax impact of adjustments is calculated using a tax rate of 24% for the fiscal three months and fiscal year ended June 30, 2026, and 2025. The tax rate for non-GAAP adjustment items takes a broad look at the Company's recurring tax adjustments and applies them to non-GAAP revenue that does not have its own specific tax impacts.</w:t>
      </w:r>
    </w:p>
    <w:p>
      <w:pPr>
        <w:pStyle w:val="TextBody"/>
        <w:bidi w:val="0"/>
        <w:spacing w:lineRule="auto" w:line="288" w:before="0" w:after="0"/>
        <w:ind w:left="0" w:right="0" w:hanging="630"/>
        <w:jc w:val="right"/>
        <w:rPr/>
      </w:pPr>
      <w:r>
        <w:rPr/>
        <w:drawing>
          <wp:inline distT="0" distB="0" distL="0" distR="0">
            <wp:extent cx="7772400" cy="95250"/>
            <wp:effectExtent l="0" t="0" r="0" b="0"/>
            <wp:docPr id="2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9" descr=""/>
                    <pic:cNvPicPr>
                      <a:picLocks noChangeAspect="1" noChangeArrowheads="1"/>
                    </pic:cNvPicPr>
                  </pic:nvPicPr>
                  <pic:blipFill>
                    <a:blip r:embed="rId23"/>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14705"/>
                <wp:effectExtent l="0" t="0" r="0" b="0"/>
                <wp:wrapNone/>
                <wp:docPr id="30" name="Frame8"/>
                <a:graphic xmlns:a="http://schemas.openxmlformats.org/drawingml/2006/main">
                  <a:graphicData uri="http://schemas.microsoft.com/office/word/2010/wordprocessingShape">
                    <wps:wsp>
                      <wps:cNvSpPr txBox="1"/>
                      <wps:spPr>
                        <a:xfrm>
                          <a:off x="0" y="0"/>
                          <a:ext cx="6480175" cy="814705"/>
                        </a:xfrm>
                        <a:prstGeom prst="rect"/>
                        <a:solidFill>
                          <a:srgbClr val="FFFFFF"/>
                        </a:solidFill>
                      </wps:spPr>
                      <wps:txb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3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8" descr=""/>
                                                <pic:cNvPicPr>
                                                  <a:picLocks noChangeAspect="1" noChangeArrowheads="1"/>
                                                </pic:cNvPicPr>
                                              </pic:nvPicPr>
                                              <pic:blipFill>
                                                <a:blip r:embed="rId24"/>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15pt;mso-wrap-distance-left:0pt;mso-wrap-distance-right:0pt;mso-wrap-distance-top:0pt;mso-wrap-distance-bottom:0pt;margin-top:0pt;mso-position-vertical:top;mso-position-vertical-relative:text;margin-left:0pt;mso-position-horizontal:left;mso-position-horizontal-relative:text">
                <v:textbo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3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 descr=""/>
                                          <pic:cNvPicPr>
                                            <a:picLocks noChangeAspect="1" noChangeArrowheads="1"/>
                                          </pic:cNvPicPr>
                                        </pic:nvPicPr>
                                        <pic:blipFill>
                                          <a:blip r:embed="rId25"/>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40"/>
        <w:jc w:val="both"/>
        <w:rPr>
          <w:rFonts w:ascii="Poppins;sans-serif" w:hAnsi="Poppins;sans-serif"/>
          <w:b w:val="false"/>
          <w:color w:val="000000"/>
          <w:sz w:val="18"/>
        </w:rPr>
      </w:pPr>
      <w:r>
        <w:rPr>
          <w:rFonts w:ascii="Poppins;sans-serif" w:hAnsi="Poppins;sans-serif"/>
          <w:b w:val="false"/>
          <w:color w:val="000000"/>
          <w:sz w:val="18"/>
        </w:rPr>
        <w:t>The tables below show the segment break-out of revenue and cost of revenue for each period presented, as adjusted for the items above, and include a reconciliation to non-GAAP adjusted operating income presented above.</w:t>
      </w:r>
    </w:p>
    <w:p>
      <w:pPr>
        <w:pStyle w:val="TextBody"/>
        <w:bidi w:val="0"/>
        <w:spacing w:before="120" w:after="140"/>
        <w:jc w:val="both"/>
        <w:rPr/>
      </w:pPr>
      <w:r>
        <w:rPr/>
      </w:r>
    </w:p>
    <w:tbl>
      <w:tblPr>
        <w:tblW w:w="10205" w:type="dxa"/>
        <w:jc w:val="left"/>
        <w:tblInd w:w="0" w:type="dxa"/>
        <w:tblLayout w:type="fixed"/>
        <w:tblCellMar>
          <w:top w:w="28" w:type="dxa"/>
          <w:left w:w="28" w:type="dxa"/>
          <w:bottom w:w="28" w:type="dxa"/>
          <w:right w:w="28" w:type="dxa"/>
        </w:tblCellMar>
      </w:tblPr>
      <w:tblGrid>
        <w:gridCol w:w="705"/>
        <w:gridCol w:w="431"/>
        <w:gridCol w:w="433"/>
        <w:gridCol w:w="226"/>
        <w:gridCol w:w="946"/>
        <w:gridCol w:w="271"/>
        <w:gridCol w:w="109"/>
        <w:gridCol w:w="109"/>
        <w:gridCol w:w="109"/>
        <w:gridCol w:w="226"/>
        <w:gridCol w:w="946"/>
        <w:gridCol w:w="271"/>
        <w:gridCol w:w="109"/>
        <w:gridCol w:w="109"/>
        <w:gridCol w:w="109"/>
        <w:gridCol w:w="272"/>
        <w:gridCol w:w="1141"/>
        <w:gridCol w:w="328"/>
        <w:gridCol w:w="109"/>
        <w:gridCol w:w="109"/>
        <w:gridCol w:w="109"/>
        <w:gridCol w:w="230"/>
        <w:gridCol w:w="864"/>
        <w:gridCol w:w="276"/>
        <w:gridCol w:w="109"/>
        <w:gridCol w:w="109"/>
        <w:gridCol w:w="109"/>
        <w:gridCol w:w="226"/>
        <w:gridCol w:w="946"/>
        <w:gridCol w:w="159"/>
      </w:tblGrid>
      <w:tr>
        <w:trPr/>
        <w:tc>
          <w:tcPr>
            <w:tcW w:w="70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Three Months Ended June 30, 2026</w:t>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(Unaudited, dollars in thousands)</w:t>
            </w:r>
          </w:p>
        </w:tc>
        <w:tc>
          <w:tcPr>
            <w:tcW w:w="14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Core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Complementary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18"/>
              </w:rPr>
            </w:pPr>
            <w:r>
              <w:rPr>
                <w:rFonts w:ascii="Poppins;sans-serif" w:hAnsi="Poppins;sans-serif"/>
                <w:b/>
                <w:color w:val="000000"/>
                <w:sz w:val="18"/>
              </w:rPr>
              <w:t>Corporate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Total</w:t>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REVENUE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191,611 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240,419 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188,800 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23,193 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644,023 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Non-GAAP adjustments*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(2,830)</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(4,454)</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(3,588)</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(53)</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(10,925)</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REVENUE</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188,781 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235,965 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185,212 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23,140 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633,098 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COST OF REVENUE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75,756 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121,233 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73,009 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100,177 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370,175 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Non-GAAP adjustments*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(1,450)</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(2,295)</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(1,040)</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(129)</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(4,914)</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COST OF REVENUE</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74,306 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118,938 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71,969 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100,048 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365,261 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SEGMENT INCOME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115,855 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119,186 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115,791 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(76,984)</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i/>
                <w:color w:val="000000"/>
                <w:sz w:val="18"/>
              </w:rPr>
            </w:pPr>
            <w:r>
              <w:rPr>
                <w:rFonts w:ascii="Poppins;sans-serif" w:hAnsi="Poppins;sans-serif"/>
                <w:b w:val="false"/>
                <w:i/>
                <w:color w:val="000000"/>
                <w:sz w:val="18"/>
              </w:rPr>
              <w:t>Segment Income Margin**</w:t>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60.5 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49.6 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61.3 </w:t>
            </w:r>
          </w:p>
        </w:tc>
        <w:tc>
          <w:tcPr>
            <w:tcW w:w="328"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(331.9)</w:t>
            </w:r>
          </w:p>
        </w:tc>
        <w:tc>
          <w:tcPr>
            <w:tcW w:w="27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SEGMENT INCOME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114,475 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117,027 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113,243 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(76,908)</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i/>
                <w:color w:val="000000"/>
                <w:sz w:val="18"/>
              </w:rPr>
            </w:pPr>
            <w:r>
              <w:rPr>
                <w:rFonts w:ascii="Poppins;sans-serif" w:hAnsi="Poppins;sans-serif"/>
                <w:b w:val="false"/>
                <w:i/>
                <w:color w:val="000000"/>
                <w:sz w:val="18"/>
              </w:rPr>
              <w:t>Non-GAAP Adjusted Segment Income Margin**</w:t>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60.6 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49.6 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61.1 </w:t>
            </w:r>
          </w:p>
        </w:tc>
        <w:tc>
          <w:tcPr>
            <w:tcW w:w="328"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(332.4)</w:t>
            </w:r>
          </w:p>
        </w:tc>
        <w:tc>
          <w:tcPr>
            <w:tcW w:w="27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Research and Development</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49,830 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Selling, General, and Administrative</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87,245 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Non-GAAP adjustments unassigned to a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(2,536)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TOTAL ADJUSTED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499,800 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133,298 </w:t>
            </w:r>
          </w:p>
        </w:tc>
        <w:tc>
          <w:tcPr>
            <w:tcW w:w="1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both"/>
        <w:rPr>
          <w:rFonts w:ascii="Poppins;sans-serif" w:hAnsi="Poppins;sans-serif"/>
          <w:b w:val="false"/>
          <w:color w:val="000000"/>
          <w:sz w:val="16"/>
        </w:rPr>
      </w:pPr>
      <w:r>
        <w:rPr>
          <w:rFonts w:ascii="Poppins;sans-serif" w:hAnsi="Poppins;sans-serif"/>
          <w:b w:val="false"/>
          <w:color w:val="000000"/>
          <w:sz w:val="16"/>
        </w:rPr>
        <w:t>*Revenue non-GAAP adjustments for the Payments segment were ($1,598) of acquisition revenue and ($2,856) of deconversion revenue. Revenue non-GAAP adjustments for the remainder of the segments were deconversion revenue. Cost of revenue non-GAAP adjustments for the Payments segment were ($1,991) of acquisition costs and ($304) of deconversion costs. Cost of revenue non-GAAP adjustments for the Corporate Services segment were ($118) of acquisition costs and ($11) of deconversion costs. Cost of revenue non-GAAP adjustments for the remainder of the segments were deconversion costs.</w:t>
      </w:r>
    </w:p>
    <w:p>
      <w:pPr>
        <w:pStyle w:val="TextBody"/>
        <w:bidi w:val="0"/>
        <w:spacing w:lineRule="auto" w:line="288" w:before="0" w:after="100"/>
        <w:jc w:val="both"/>
        <w:rPr>
          <w:rFonts w:ascii="Poppins;sans-serif" w:hAnsi="Poppins;sans-serif"/>
          <w:b w:val="false"/>
          <w:color w:val="000000"/>
          <w:sz w:val="16"/>
        </w:rPr>
      </w:pPr>
      <w:r>
        <w:rPr>
          <w:rFonts w:ascii="Poppins;sans-serif" w:hAnsi="Poppins;sans-serif"/>
          <w:b w:val="false"/>
          <w:color w:val="000000"/>
          <w:sz w:val="16"/>
        </w:rPr>
        <w:t>**Segment income margin is calculated by dividing segment income by revenue for each segment. Non-GAAP adjusted segment income margin is calculated by dividing non-GAAP adjusted segment income by non-GAAP adjusted revenue for each segment.</w:t>
      </w:r>
    </w:p>
    <w:p>
      <w:pPr>
        <w:pStyle w:val="TextBody"/>
        <w:bidi w:val="0"/>
        <w:spacing w:lineRule="auto" w:line="288" w:before="0" w:after="0"/>
        <w:jc w:val="both"/>
        <w:rPr>
          <w:rFonts w:ascii="Poppins;sans-serif" w:hAnsi="Poppins;sans-serif"/>
          <w:b w:val="false"/>
          <w:color w:val="000000"/>
          <w:sz w:val="16"/>
        </w:rPr>
      </w:pPr>
      <w:r>
        <w:rPr>
          <w:rFonts w:ascii="Poppins;sans-serif" w:hAnsi="Poppins;sans-serif"/>
          <w:b w:val="false"/>
          <w:color w:val="000000"/>
          <w:sz w:val="16"/>
        </w:rPr>
        <w:t>***Non-GAAP adjustments unassigned to a segment were deconversion costs of $1,906, research and development costs related to the acquisition of $590, and selling, general, and administrative costs related to the acquisition of $40.</w:t>
      </w:r>
    </w:p>
    <w:p>
      <w:pPr>
        <w:pStyle w:val="TextBody"/>
        <w:bidi w:val="0"/>
        <w:spacing w:lineRule="auto" w:line="288" w:before="0" w:after="0"/>
        <w:ind w:left="0" w:right="0" w:hanging="630"/>
        <w:jc w:val="right"/>
        <w:rPr/>
      </w:pPr>
      <w:r>
        <w:rPr/>
        <w:drawing>
          <wp:inline distT="0" distB="0" distL="0" distR="0">
            <wp:extent cx="7772400" cy="95250"/>
            <wp:effectExtent l="0" t="0" r="0" b="0"/>
            <wp:docPr id="3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1" descr=""/>
                    <pic:cNvPicPr>
                      <a:picLocks noChangeAspect="1" noChangeArrowheads="1"/>
                    </pic:cNvPicPr>
                  </pic:nvPicPr>
                  <pic:blipFill>
                    <a:blip r:embed="rId26"/>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814705"/>
                <wp:effectExtent l="0" t="0" r="0" b="0"/>
                <wp:wrapNone/>
                <wp:docPr id="34" name="Frame9"/>
                <a:graphic xmlns:a="http://schemas.openxmlformats.org/drawingml/2006/main">
                  <a:graphicData uri="http://schemas.microsoft.com/office/word/2010/wordprocessingShape">
                    <wps:wsp>
                      <wps:cNvSpPr txBox="1"/>
                      <wps:spPr>
                        <a:xfrm>
                          <a:off x="0" y="0"/>
                          <a:ext cx="6480175" cy="814705"/>
                        </a:xfrm>
                        <a:prstGeom prst="rect"/>
                        <a:solidFill>
                          <a:srgbClr val="FFFFFF"/>
                        </a:solidFill>
                      </wps:spPr>
                      <wps:txb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3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0" descr=""/>
                                                <pic:cNvPicPr>
                                                  <a:picLocks noChangeAspect="1" noChangeArrowheads="1"/>
                                                </pic:cNvPicPr>
                                              </pic:nvPicPr>
                                              <pic:blipFill>
                                                <a:blip r:embed="rId27"/>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15pt;mso-wrap-distance-left:0pt;mso-wrap-distance-right:0pt;mso-wrap-distance-top:0pt;mso-wrap-distance-bottom:0pt;margin-top:0pt;mso-position-vertical:top;mso-position-vertical-relative:text;margin-left:0pt;mso-position-horizontal:left;mso-position-horizontal-relative:text">
                <v:textbo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3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0" descr=""/>
                                          <pic:cNvPicPr>
                                            <a:picLocks noChangeAspect="1" noChangeArrowheads="1"/>
                                          </pic:cNvPicPr>
                                        </pic:nvPicPr>
                                        <pic:blipFill>
                                          <a:blip r:embed="rId28"/>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04"/>
        <w:gridCol w:w="431"/>
        <w:gridCol w:w="433"/>
        <w:gridCol w:w="226"/>
        <w:gridCol w:w="946"/>
        <w:gridCol w:w="271"/>
        <w:gridCol w:w="109"/>
        <w:gridCol w:w="109"/>
        <w:gridCol w:w="109"/>
        <w:gridCol w:w="226"/>
        <w:gridCol w:w="946"/>
        <w:gridCol w:w="271"/>
        <w:gridCol w:w="109"/>
        <w:gridCol w:w="109"/>
        <w:gridCol w:w="109"/>
        <w:gridCol w:w="272"/>
        <w:gridCol w:w="1141"/>
        <w:gridCol w:w="328"/>
        <w:gridCol w:w="109"/>
        <w:gridCol w:w="109"/>
        <w:gridCol w:w="109"/>
        <w:gridCol w:w="231"/>
        <w:gridCol w:w="865"/>
        <w:gridCol w:w="277"/>
        <w:gridCol w:w="109"/>
        <w:gridCol w:w="109"/>
        <w:gridCol w:w="109"/>
        <w:gridCol w:w="226"/>
        <w:gridCol w:w="946"/>
        <w:gridCol w:w="157"/>
      </w:tblGrid>
      <w:tr>
        <w:trPr/>
        <w:tc>
          <w:tcPr>
            <w:tcW w:w="70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Three Months Ended June 30, 2025</w:t>
            </w:r>
          </w:p>
        </w:tc>
      </w:tr>
      <w:tr>
        <w:trPr/>
        <w:tc>
          <w:tcPr>
            <w:tcW w:w="15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(Unaudited, dollars in thousands)</w:t>
            </w:r>
          </w:p>
        </w:tc>
        <w:tc>
          <w:tcPr>
            <w:tcW w:w="14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Core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Complementary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18"/>
              </w:rPr>
            </w:pPr>
            <w:r>
              <w:rPr>
                <w:rFonts w:ascii="Poppins;sans-serif" w:hAnsi="Poppins;sans-serif"/>
                <w:b/>
                <w:color w:val="000000"/>
                <w:sz w:val="18"/>
              </w:rPr>
              <w:t>Corporate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Total</w:t>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REVENUE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187,976 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229,292 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180,317 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17,787 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615,372 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Non-GAAP adjustments*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(9,863)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(6,818)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(4,852)</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(164)</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(21,697)</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REVENUE</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178,113 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222,474 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175,465 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17,623 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593,675 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COST OF REVENUE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69,389 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116,128 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68,894 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89,468 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343,879 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Non-GAAP adjustments*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(1,753)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(440)</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(9)</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(2,311)</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COST OF REVENUE</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67,636 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116,019 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68,454 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89,459 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341,568 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SEGMENT INCOME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118,587 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113,164 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111,423 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(71,681)</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i/>
                <w:color w:val="000000"/>
                <w:sz w:val="18"/>
              </w:rPr>
            </w:pPr>
            <w:r>
              <w:rPr>
                <w:rFonts w:ascii="Poppins;sans-serif" w:hAnsi="Poppins;sans-serif"/>
                <w:b w:val="false"/>
                <w:i/>
                <w:color w:val="000000"/>
                <w:sz w:val="18"/>
              </w:rPr>
              <w:t>Segment Income Margin**</w:t>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63.1 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49.4 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61.8 </w:t>
            </w:r>
          </w:p>
        </w:tc>
        <w:tc>
          <w:tcPr>
            <w:tcW w:w="328"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(403.0)</w:t>
            </w:r>
          </w:p>
        </w:tc>
        <w:tc>
          <w:tcPr>
            <w:tcW w:w="277"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SEGMENT INCOME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110,477 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106,455 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107,011 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(71,836)</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i/>
                <w:color w:val="000000"/>
                <w:sz w:val="18"/>
              </w:rPr>
            </w:pPr>
            <w:r>
              <w:rPr>
                <w:rFonts w:ascii="Poppins;sans-serif" w:hAnsi="Poppins;sans-serif"/>
                <w:b w:val="false"/>
                <w:i/>
                <w:color w:val="000000"/>
                <w:sz w:val="18"/>
              </w:rPr>
              <w:t>Non-GAAP Adjusted Segment Income Margin</w:t>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62.0 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47.9 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61.0 </w:t>
            </w:r>
          </w:p>
        </w:tc>
        <w:tc>
          <w:tcPr>
            <w:tcW w:w="328"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(407.6)</w:t>
            </w:r>
          </w:p>
        </w:tc>
        <w:tc>
          <w:tcPr>
            <w:tcW w:w="277"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Research and Development</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42,580 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Selling, General, and Administrative</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73,216 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Non-GAAP adjustments unassigned to a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(1,268)</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TOTAL ADJUSTED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456,096 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137,579 </w:t>
            </w:r>
          </w:p>
        </w:tc>
        <w:tc>
          <w:tcPr>
            <w:tcW w:w="1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Poppins;sans-serif" w:hAnsi="Poppins;sans-serif"/>
          <w:b w:val="false"/>
          <w:color w:val="000000"/>
          <w:sz w:val="16"/>
        </w:rPr>
      </w:pPr>
      <w:r>
        <w:rPr>
          <w:rFonts w:ascii="Poppins;sans-serif" w:hAnsi="Poppins;sans-serif"/>
          <w:b w:val="false"/>
          <w:color w:val="000000"/>
          <w:sz w:val="16"/>
        </w:rPr>
        <w:t>*Revenue non-GAAP adjustments for the Core segment were ($1,202) of revenue related to the contractual change and ($8,661) of deconversion revenue. Revenue non-GAAP adjustments for the remainder of the segments were deconversion revenue. Cost of revenue non-GAAP adjustments for the Core segment were cost of revenue related to a contractual change of ($1,022) and ($731) of deconversion costs. Cost of revenue non-GAAP adjustments for the remainder of the segments were deconversion costs.</w:t>
      </w:r>
    </w:p>
    <w:p>
      <w:pPr>
        <w:pStyle w:val="TextBody"/>
        <w:bidi w:val="0"/>
        <w:spacing w:lineRule="auto" w:line="288" w:before="0" w:after="100"/>
        <w:jc w:val="both"/>
        <w:rPr>
          <w:rFonts w:ascii="Poppins;sans-serif" w:hAnsi="Poppins;sans-serif"/>
          <w:b w:val="false"/>
          <w:color w:val="000000"/>
          <w:sz w:val="16"/>
        </w:rPr>
      </w:pPr>
      <w:r>
        <w:rPr>
          <w:rFonts w:ascii="Poppins;sans-serif" w:hAnsi="Poppins;sans-serif"/>
          <w:b w:val="false"/>
          <w:color w:val="000000"/>
          <w:sz w:val="16"/>
        </w:rPr>
        <w:t>**Segment income margin is calculated by dividing segment income by revenue for each segment. Non-GAAP adjusted segment income margin is calculated by dividing non-GAAP adjusted segment income by non-GAAP adjusted revenue for each segment.</w:t>
      </w:r>
    </w:p>
    <w:p>
      <w:pPr>
        <w:pStyle w:val="TextBody"/>
        <w:bidi w:val="0"/>
        <w:spacing w:lineRule="auto" w:line="288" w:before="0" w:after="0"/>
        <w:jc w:val="both"/>
        <w:rPr>
          <w:rFonts w:ascii="Poppins;sans-serif" w:hAnsi="Poppins;sans-serif"/>
          <w:b w:val="false"/>
          <w:color w:val="000000"/>
          <w:sz w:val="16"/>
        </w:rPr>
      </w:pPr>
      <w:r>
        <w:rPr>
          <w:rFonts w:ascii="Poppins;sans-serif" w:hAnsi="Poppins;sans-serif"/>
          <w:b w:val="false"/>
          <w:color w:val="000000"/>
          <w:sz w:val="16"/>
        </w:rPr>
        <w:t>***Non-GAAP adjustments unassigned to a segment were deconversion costs.</w:t>
      </w:r>
    </w:p>
    <w:p>
      <w:pPr>
        <w:pStyle w:val="TextBody"/>
        <w:bidi w:val="0"/>
        <w:spacing w:before="0" w:after="0"/>
        <w:jc w:val="both"/>
        <w:rPr/>
      </w:pPr>
      <w:r>
        <w:rPr/>
      </w:r>
    </w:p>
    <w:p>
      <w:pPr>
        <w:pStyle w:val="TextBody"/>
        <w:bidi w:val="0"/>
        <w:spacing w:before="0" w:after="60"/>
        <w:jc w:val="both"/>
        <w:rPr/>
      </w:pPr>
      <w:r>
        <w:rPr/>
      </w:r>
    </w:p>
    <w:p>
      <w:pPr>
        <w:pStyle w:val="TextBody"/>
        <w:bidi w:val="0"/>
        <w:spacing w:lineRule="auto" w:line="288" w:before="0" w:after="0"/>
        <w:ind w:left="0" w:right="0" w:hanging="630"/>
        <w:jc w:val="right"/>
        <w:rPr/>
      </w:pPr>
      <w:r>
        <w:rPr/>
        <w:drawing>
          <wp:inline distT="0" distB="0" distL="0" distR="0">
            <wp:extent cx="7772400" cy="95250"/>
            <wp:effectExtent l="0" t="0" r="0" b="0"/>
            <wp:docPr id="3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3" descr=""/>
                    <pic:cNvPicPr>
                      <a:picLocks noChangeAspect="1" noChangeArrowheads="1"/>
                    </pic:cNvPicPr>
                  </pic:nvPicPr>
                  <pic:blipFill>
                    <a:blip r:embed="rId29"/>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814705"/>
                <wp:effectExtent l="0" t="0" r="0" b="0"/>
                <wp:wrapNone/>
                <wp:docPr id="38" name="Frame10"/>
                <a:graphic xmlns:a="http://schemas.openxmlformats.org/drawingml/2006/main">
                  <a:graphicData uri="http://schemas.microsoft.com/office/word/2010/wordprocessingShape">
                    <wps:wsp>
                      <wps:cNvSpPr txBox="1"/>
                      <wps:spPr>
                        <a:xfrm>
                          <a:off x="0" y="0"/>
                          <a:ext cx="6480175" cy="814705"/>
                        </a:xfrm>
                        <a:prstGeom prst="rect"/>
                        <a:solidFill>
                          <a:srgbClr val="FFFFFF"/>
                        </a:solidFill>
                      </wps:spPr>
                      <wps:txb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3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2" descr=""/>
                                                <pic:cNvPicPr>
                                                  <a:picLocks noChangeAspect="1" noChangeArrowheads="1"/>
                                                </pic:cNvPicPr>
                                              </pic:nvPicPr>
                                              <pic:blipFill>
                                                <a:blip r:embed="rId30"/>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15pt;mso-wrap-distance-left:0pt;mso-wrap-distance-right:0pt;mso-wrap-distance-top:0pt;mso-wrap-distance-bottom:0pt;margin-top:0pt;mso-position-vertical:top;mso-position-vertical-relative:text;margin-left:0pt;mso-position-horizontal:left;mso-position-horizontal-relative:text">
                <v:textbo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4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2" descr=""/>
                                          <pic:cNvPicPr>
                                            <a:picLocks noChangeAspect="1" noChangeArrowheads="1"/>
                                          </pic:cNvPicPr>
                                        </pic:nvPicPr>
                                        <pic:blipFill>
                                          <a:blip r:embed="rId31"/>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325" w:type="dxa"/>
        <w:jc w:val="left"/>
        <w:tblInd w:w="0" w:type="dxa"/>
        <w:tblLayout w:type="fixed"/>
        <w:tblCellMar>
          <w:top w:w="28" w:type="dxa"/>
          <w:left w:w="28" w:type="dxa"/>
          <w:bottom w:w="28" w:type="dxa"/>
          <w:right w:w="28" w:type="dxa"/>
        </w:tblCellMar>
      </w:tblPr>
      <w:tblGrid>
        <w:gridCol w:w="660"/>
        <w:gridCol w:w="382"/>
        <w:gridCol w:w="384"/>
        <w:gridCol w:w="226"/>
        <w:gridCol w:w="946"/>
        <w:gridCol w:w="271"/>
        <w:gridCol w:w="109"/>
        <w:gridCol w:w="109"/>
        <w:gridCol w:w="109"/>
        <w:gridCol w:w="226"/>
        <w:gridCol w:w="946"/>
        <w:gridCol w:w="271"/>
        <w:gridCol w:w="109"/>
        <w:gridCol w:w="109"/>
        <w:gridCol w:w="109"/>
        <w:gridCol w:w="272"/>
        <w:gridCol w:w="1141"/>
        <w:gridCol w:w="328"/>
        <w:gridCol w:w="109"/>
        <w:gridCol w:w="109"/>
        <w:gridCol w:w="109"/>
        <w:gridCol w:w="226"/>
        <w:gridCol w:w="961"/>
        <w:gridCol w:w="271"/>
        <w:gridCol w:w="109"/>
        <w:gridCol w:w="109"/>
        <w:gridCol w:w="109"/>
        <w:gridCol w:w="226"/>
        <w:gridCol w:w="1126"/>
        <w:gridCol w:w="154"/>
      </w:tblGrid>
      <w:tr>
        <w:trPr/>
        <w:tc>
          <w:tcPr>
            <w:tcW w:w="6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Year Ended June 30, 2026</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(Unaudited, dollars in thousands)</w:t>
            </w:r>
          </w:p>
        </w:tc>
        <w:tc>
          <w:tcPr>
            <w:tcW w:w="14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Core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Complementary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18"/>
              </w:rPr>
            </w:pPr>
            <w:r>
              <w:rPr>
                <w:rFonts w:ascii="Poppins;sans-serif" w:hAnsi="Poppins;sans-serif"/>
                <w:b/>
                <w:color w:val="000000"/>
                <w:sz w:val="18"/>
              </w:rPr>
              <w:t>Corporate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Total</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REVENUE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768,452 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936,006 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752,214 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87,667 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2,544,339 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Non-GAAP adjustments*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(16,605)</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(18,853)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(12,219)</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(346)</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(48,023)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REVENUE</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751,847 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917,153 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739,995 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87,321 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2,496,316 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COST OF REVENUE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304,886 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479,539 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286,726 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362,500 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1,433,651 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Non-GAAP adjustments*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(4,566)</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(6,571)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(2,119)</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(389)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(13,645)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COST OF REVENUE</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300,320 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472,968 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284,607 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362,111 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1,420,006 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SEGMENT INCOME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463,566 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456,467 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465,488 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(274,833)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i/>
                <w:color w:val="000000"/>
                <w:sz w:val="18"/>
              </w:rPr>
            </w:pPr>
            <w:r>
              <w:rPr>
                <w:rFonts w:ascii="Poppins;sans-serif" w:hAnsi="Poppins;sans-serif"/>
                <w:b w:val="false"/>
                <w:i/>
                <w:color w:val="000000"/>
                <w:sz w:val="18"/>
              </w:rPr>
              <w:t>Segment Income Margin**</w:t>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60.3 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48.8 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61.9 </w:t>
            </w:r>
          </w:p>
        </w:tc>
        <w:tc>
          <w:tcPr>
            <w:tcW w:w="328"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(313.5)</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SEGMENT INCOME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451,527 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444,185 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455,388 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(274,790)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i/>
                <w:color w:val="000000"/>
                <w:sz w:val="18"/>
              </w:rPr>
            </w:pPr>
            <w:r>
              <w:rPr>
                <w:rFonts w:ascii="Poppins;sans-serif" w:hAnsi="Poppins;sans-serif"/>
                <w:b w:val="false"/>
                <w:i/>
                <w:color w:val="000000"/>
                <w:sz w:val="18"/>
              </w:rPr>
              <w:t>Non-GAAP Adjusted Segment Income Margin</w:t>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60.1 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48.4 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61.5 </w:t>
            </w:r>
          </w:p>
        </w:tc>
        <w:tc>
          <w:tcPr>
            <w:tcW w:w="328"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(314.7)</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Research and Development</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176,445 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Selling, General, and Administrative</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299,210 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286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Non-GAAP adjustments unassigned to a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(555)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TOTAL ADJUSTED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1,895,106 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601,210 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Poppins;sans-serif" w:hAnsi="Poppins;sans-serif"/>
          <w:b w:val="false"/>
          <w:color w:val="000000"/>
          <w:sz w:val="16"/>
        </w:rPr>
      </w:pPr>
      <w:r>
        <w:rPr>
          <w:rFonts w:ascii="Poppins;sans-serif" w:hAnsi="Poppins;sans-serif"/>
          <w:b w:val="false"/>
          <w:color w:val="000000"/>
          <w:sz w:val="16"/>
        </w:rPr>
        <w:t>*Revenue non-GAAP adjustments for the Payments segment were ($5,193) of acquisition revenue and ($13,660) of deconversion revenue. Revenue non-GAAP adjustments for the remainder of the segments were deconversion revenue. Cost of revenue non-GAAP adjustments for the Payments segment were ($5,854) of acquisition costs and ($717) of deconversion costs. Cost of revenue non-GAAP adjustments for the Corporate Services segment were ($371) of acquisition costs and ($18) of deconversion costs. Cost of revenue non-GAAP adjustments for the remainder of the segments were deconversion costs.</w:t>
      </w:r>
    </w:p>
    <w:p>
      <w:pPr>
        <w:pStyle w:val="TextBody"/>
        <w:bidi w:val="0"/>
        <w:spacing w:lineRule="auto" w:line="288" w:before="0" w:after="60"/>
        <w:jc w:val="both"/>
        <w:rPr>
          <w:rFonts w:ascii="Poppins;sans-serif" w:hAnsi="Poppins;sans-serif"/>
          <w:b w:val="false"/>
          <w:color w:val="000000"/>
          <w:sz w:val="16"/>
        </w:rPr>
      </w:pPr>
      <w:r>
        <w:rPr>
          <w:rFonts w:ascii="Poppins;sans-serif" w:hAnsi="Poppins;sans-serif"/>
          <w:b w:val="false"/>
          <w:color w:val="000000"/>
          <w:sz w:val="16"/>
        </w:rPr>
        <w:t>**Segment income margin is calculated by dividing segment income by revenue for each segment. Non-GAAP adjusted segment income margin is calculated by dividing non-GAAP adjusted segment income by non-GAAP adjusted revenue for each segment.</w:t>
      </w:r>
    </w:p>
    <w:p>
      <w:pPr>
        <w:pStyle w:val="TextBody"/>
        <w:bidi w:val="0"/>
        <w:spacing w:lineRule="auto" w:line="288" w:before="0" w:after="60"/>
        <w:jc w:val="both"/>
        <w:rPr>
          <w:rFonts w:ascii="Poppins;sans-serif" w:hAnsi="Poppins;sans-serif"/>
          <w:b w:val="false"/>
          <w:color w:val="000000"/>
          <w:sz w:val="16"/>
        </w:rPr>
      </w:pPr>
      <w:r>
        <w:rPr>
          <w:rFonts w:ascii="Poppins;sans-serif" w:hAnsi="Poppins;sans-serif"/>
          <w:b w:val="false"/>
          <w:color w:val="000000"/>
          <w:sz w:val="16"/>
        </w:rPr>
        <w:t>***Non-GAAP adjustments unassigned to a segment were a gain on assets, net, of $6,829 less deconversion costs of $5,457, research and development costs related to the acquisition of $1,803, and selling, general, and administrative costs related to the acquisition of $124.</w:t>
      </w:r>
    </w:p>
    <w:p>
      <w:pPr>
        <w:pStyle w:val="TextBody"/>
        <w:bidi w:val="0"/>
        <w:spacing w:lineRule="auto" w:line="288" w:before="0" w:after="0"/>
        <w:ind w:left="0" w:right="0" w:hanging="630"/>
        <w:jc w:val="right"/>
        <w:rPr/>
      </w:pPr>
      <w:r>
        <w:rPr/>
        <w:drawing>
          <wp:inline distT="0" distB="0" distL="0" distR="0">
            <wp:extent cx="7772400" cy="95250"/>
            <wp:effectExtent l="0" t="0" r="0" b="0"/>
            <wp:docPr id="4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5" descr=""/>
                    <pic:cNvPicPr>
                      <a:picLocks noChangeAspect="1" noChangeArrowheads="1"/>
                    </pic:cNvPicPr>
                  </pic:nvPicPr>
                  <pic:blipFill>
                    <a:blip r:embed="rId32"/>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14705"/>
                <wp:effectExtent l="0" t="0" r="0" b="0"/>
                <wp:wrapNone/>
                <wp:docPr id="42" name="Frame11"/>
                <a:graphic xmlns:a="http://schemas.openxmlformats.org/drawingml/2006/main">
                  <a:graphicData uri="http://schemas.microsoft.com/office/word/2010/wordprocessingShape">
                    <wps:wsp>
                      <wps:cNvSpPr txBox="1"/>
                      <wps:spPr>
                        <a:xfrm>
                          <a:off x="0" y="0"/>
                          <a:ext cx="6480175" cy="814705"/>
                        </a:xfrm>
                        <a:prstGeom prst="rect"/>
                        <a:solidFill>
                          <a:srgbClr val="FFFFFF"/>
                        </a:solidFill>
                      </wps:spPr>
                      <wps:txb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4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4" descr=""/>
                                                <pic:cNvPicPr>
                                                  <a:picLocks noChangeAspect="1" noChangeArrowheads="1"/>
                                                </pic:cNvPicPr>
                                              </pic:nvPicPr>
                                              <pic:blipFill>
                                                <a:blip r:embed="rId33"/>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15pt;mso-wrap-distance-left:0pt;mso-wrap-distance-right:0pt;mso-wrap-distance-top:0pt;mso-wrap-distance-bottom:0pt;margin-top:0pt;mso-position-vertical:top;mso-position-vertical-relative:text;margin-left:0pt;mso-position-horizontal:left;mso-position-horizontal-relative:text">
                <v:textbo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4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4" descr=""/>
                                          <pic:cNvPicPr>
                                            <a:picLocks noChangeAspect="1" noChangeArrowheads="1"/>
                                          </pic:cNvPicPr>
                                        </pic:nvPicPr>
                                        <pic:blipFill>
                                          <a:blip r:embed="rId34"/>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325" w:type="dxa"/>
        <w:jc w:val="left"/>
        <w:tblInd w:w="0" w:type="dxa"/>
        <w:tblLayout w:type="fixed"/>
        <w:tblCellMar>
          <w:top w:w="28" w:type="dxa"/>
          <w:left w:w="28" w:type="dxa"/>
          <w:bottom w:w="28" w:type="dxa"/>
          <w:right w:w="28" w:type="dxa"/>
        </w:tblCellMar>
      </w:tblPr>
      <w:tblGrid>
        <w:gridCol w:w="660"/>
        <w:gridCol w:w="382"/>
        <w:gridCol w:w="384"/>
        <w:gridCol w:w="226"/>
        <w:gridCol w:w="946"/>
        <w:gridCol w:w="271"/>
        <w:gridCol w:w="109"/>
        <w:gridCol w:w="109"/>
        <w:gridCol w:w="109"/>
        <w:gridCol w:w="226"/>
        <w:gridCol w:w="946"/>
        <w:gridCol w:w="271"/>
        <w:gridCol w:w="109"/>
        <w:gridCol w:w="109"/>
        <w:gridCol w:w="109"/>
        <w:gridCol w:w="272"/>
        <w:gridCol w:w="1141"/>
        <w:gridCol w:w="328"/>
        <w:gridCol w:w="109"/>
        <w:gridCol w:w="109"/>
        <w:gridCol w:w="109"/>
        <w:gridCol w:w="226"/>
        <w:gridCol w:w="961"/>
        <w:gridCol w:w="271"/>
        <w:gridCol w:w="109"/>
        <w:gridCol w:w="109"/>
        <w:gridCol w:w="109"/>
        <w:gridCol w:w="226"/>
        <w:gridCol w:w="1126"/>
        <w:gridCol w:w="154"/>
      </w:tblGrid>
      <w:tr>
        <w:trPr/>
        <w:tc>
          <w:tcPr>
            <w:tcW w:w="6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Year Ended June 30, 2025</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(Unaudited, dollars in thousands)</w:t>
            </w:r>
          </w:p>
        </w:tc>
        <w:tc>
          <w:tcPr>
            <w:tcW w:w="14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Core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Complementary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18"/>
              </w:rPr>
            </w:pPr>
            <w:r>
              <w:rPr>
                <w:rFonts w:ascii="Poppins;sans-serif" w:hAnsi="Poppins;sans-serif"/>
                <w:b/>
                <w:color w:val="000000"/>
                <w:sz w:val="18"/>
              </w:rPr>
              <w:t>Corporate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Total</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REVENUE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732,924 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873,498 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694,771 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74,095 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2,375,288 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Non-GAAP adjustments*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(30,639)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(11,159)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(7,709)</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(272)</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(49,779)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REVENUE</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702,285 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862,339 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687,062 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73,823 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2,325,509 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COST OF REVENUE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295,239 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460,151 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269,657 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335,700 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1,360,747 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Non-GAAP adjustments*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(15,612)</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(288)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(1,119)</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(14)</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(17,033)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COST OF REVENUE</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279,627 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459,863 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268,538 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335,686 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1,343,714 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SEGMENT INCOME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437,685 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413,347 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425,114 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(261,605)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i/>
                <w:color w:val="000000"/>
                <w:sz w:val="18"/>
              </w:rPr>
            </w:pPr>
            <w:r>
              <w:rPr>
                <w:rFonts w:ascii="Poppins;sans-serif" w:hAnsi="Poppins;sans-serif"/>
                <w:b w:val="false"/>
                <w:i/>
                <w:color w:val="000000"/>
                <w:sz w:val="18"/>
              </w:rPr>
              <w:t>Segment Income Margin**</w:t>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59.7 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47.3 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61.2 </w:t>
            </w:r>
          </w:p>
        </w:tc>
        <w:tc>
          <w:tcPr>
            <w:tcW w:w="328"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(353.1)</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SEGMENT INCOME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422,658 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402,476 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418,524 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(261,863)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i/>
                <w:color w:val="000000"/>
                <w:sz w:val="18"/>
              </w:rPr>
            </w:pPr>
            <w:r>
              <w:rPr>
                <w:rFonts w:ascii="Poppins;sans-serif" w:hAnsi="Poppins;sans-serif"/>
                <w:b w:val="false"/>
                <w:i/>
                <w:color w:val="000000"/>
                <w:sz w:val="18"/>
              </w:rPr>
              <w:t>Non-GAAP Adjusted Segment Income Margin</w:t>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60.2 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46.7 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60.9 </w:t>
            </w:r>
          </w:p>
        </w:tc>
        <w:tc>
          <w:tcPr>
            <w:tcW w:w="328"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(354.7)</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Research and Development</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162,771 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Selling, General, and Administrative</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283,055 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286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Non-GAAP adjustments unassigned to a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(2,725)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TOTAL ADJUSTED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1,786,815 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538,694 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Poppins;sans-serif" w:hAnsi="Poppins;sans-serif"/>
          <w:b w:val="false"/>
          <w:color w:val="000000"/>
          <w:sz w:val="16"/>
        </w:rPr>
      </w:pPr>
      <w:r>
        <w:rPr>
          <w:rFonts w:ascii="Poppins;sans-serif" w:hAnsi="Poppins;sans-serif"/>
          <w:b w:val="false"/>
          <w:color w:val="000000"/>
          <w:sz w:val="16"/>
        </w:rPr>
        <w:t>*Revenue non-GAAP adjustments for the Core segment were ($15,874) of revenue related to the contractual change and ($14,765) of deconversion revenue. Revenue non-GAAP adjustments for the remainder of the segments were deconversion revenue. Cost of revenue non-GAAP adjustments for the Core segment were cost of revenue related to a contractual change of ($13,516) and ($2,096) of deconversion costs. Cost of revenue non-GAAP adjustments for the remainder of the segments were deconversion costs.</w:t>
      </w:r>
    </w:p>
    <w:p>
      <w:pPr>
        <w:pStyle w:val="TextBody"/>
        <w:bidi w:val="0"/>
        <w:spacing w:lineRule="auto" w:line="288" w:before="0" w:after="100"/>
        <w:jc w:val="both"/>
        <w:rPr>
          <w:rFonts w:ascii="Poppins;sans-serif" w:hAnsi="Poppins;sans-serif"/>
          <w:b w:val="false"/>
          <w:color w:val="000000"/>
          <w:sz w:val="16"/>
        </w:rPr>
      </w:pPr>
      <w:r>
        <w:rPr>
          <w:rFonts w:ascii="Poppins;sans-serif" w:hAnsi="Poppins;sans-serif"/>
          <w:b w:val="false"/>
          <w:color w:val="000000"/>
          <w:sz w:val="16"/>
        </w:rPr>
        <w:t>**Segment income margin is calculated by dividing segment income by revenue for each segment. Non-GAAP adjusted segment income margin is calculated by dividing non-GAAP adjusted segment income by non-GAAP adjusted revenue for each segment.</w:t>
      </w:r>
    </w:p>
    <w:p>
      <w:pPr>
        <w:pStyle w:val="TextBody"/>
        <w:bidi w:val="0"/>
        <w:spacing w:lineRule="auto" w:line="288" w:before="0" w:after="0"/>
        <w:jc w:val="both"/>
        <w:rPr>
          <w:rFonts w:ascii="Poppins;sans-serif" w:hAnsi="Poppins;sans-serif"/>
          <w:b w:val="false"/>
          <w:color w:val="000000"/>
          <w:sz w:val="16"/>
        </w:rPr>
      </w:pPr>
      <w:r>
        <w:rPr>
          <w:rFonts w:ascii="Poppins;sans-serif" w:hAnsi="Poppins;sans-serif"/>
          <w:b w:val="false"/>
          <w:color w:val="000000"/>
          <w:sz w:val="16"/>
        </w:rPr>
        <w:t>***Non-GAAP adjustments unassigned to a segment were deconversion costs.</w:t>
      </w:r>
    </w:p>
    <w:p>
      <w:pPr>
        <w:pStyle w:val="TextBody"/>
        <w:bidi w:val="0"/>
        <w:spacing w:lineRule="auto" w:line="288" w:before="0" w:after="0"/>
        <w:ind w:left="0" w:right="0" w:hanging="630"/>
        <w:jc w:val="right"/>
        <w:rPr/>
      </w:pPr>
      <w:r>
        <w:rPr/>
        <w:drawing>
          <wp:inline distT="0" distB="0" distL="0" distR="0">
            <wp:extent cx="7772400" cy="95250"/>
            <wp:effectExtent l="0" t="0" r="0" b="0"/>
            <wp:docPr id="4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7" descr=""/>
                    <pic:cNvPicPr>
                      <a:picLocks noChangeAspect="1" noChangeArrowheads="1"/>
                    </pic:cNvPicPr>
                  </pic:nvPicPr>
                  <pic:blipFill>
                    <a:blip r:embed="rId35"/>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14705"/>
                <wp:effectExtent l="0" t="0" r="0" b="0"/>
                <wp:wrapNone/>
                <wp:docPr id="46" name="Frame12"/>
                <a:graphic xmlns:a="http://schemas.openxmlformats.org/drawingml/2006/main">
                  <a:graphicData uri="http://schemas.microsoft.com/office/word/2010/wordprocessingShape">
                    <wps:wsp>
                      <wps:cNvSpPr txBox="1"/>
                      <wps:spPr>
                        <a:xfrm>
                          <a:off x="0" y="0"/>
                          <a:ext cx="6480175" cy="814705"/>
                        </a:xfrm>
                        <a:prstGeom prst="rect"/>
                        <a:solidFill>
                          <a:srgbClr val="FFFFFF"/>
                        </a:solidFill>
                      </wps:spPr>
                      <wps:txb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4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6" descr=""/>
                                                <pic:cNvPicPr>
                                                  <a:picLocks noChangeAspect="1" noChangeArrowheads="1"/>
                                                </pic:cNvPicPr>
                                              </pic:nvPicPr>
                                              <pic:blipFill>
                                                <a:blip r:embed="rId36"/>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15pt;mso-wrap-distance-left:0pt;mso-wrap-distance-right:0pt;mso-wrap-distance-top:0pt;mso-wrap-distance-bottom:0pt;margin-top:0pt;mso-position-vertical:top;mso-position-vertical-relative:text;margin-left:0pt;mso-position-horizontal:left;mso-position-horizontal-relative:text">
                <v:textbo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4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6" descr=""/>
                                          <pic:cNvPicPr>
                                            <a:picLocks noChangeAspect="1" noChangeArrowheads="1"/>
                                          </pic:cNvPicPr>
                                        </pic:nvPicPr>
                                        <pic:blipFill>
                                          <a:blip r:embed="rId37"/>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60"/>
        <w:jc w:val="both"/>
        <w:rPr>
          <w:rFonts w:ascii="Poppins;sans-serif" w:hAnsi="Poppins;sans-serif"/>
          <w:b w:val="false"/>
          <w:color w:val="000000"/>
          <w:sz w:val="18"/>
        </w:rPr>
      </w:pPr>
      <w:r>
        <w:rPr>
          <w:rFonts w:ascii="Poppins;sans-serif" w:hAnsi="Poppins;sans-serif"/>
          <w:b w:val="false"/>
          <w:color w:val="000000"/>
          <w:sz w:val="18"/>
        </w:rPr>
        <w:t>The table below shows our GAAP to non-GAAP guidance for the fiscal year ending June 30, 2027. Fiscal year 2027 non-GAAP guidance excludes the impacts of deconversion revenue and related operating expenses, acquisition revenues and related operating expenses, the revenues and operating expenses related to a contractual change, and the gain on assets, net, and assumes no additional acquisitions or dispositions will be made during the fiscal year.</w:t>
      </w:r>
    </w:p>
    <w:p>
      <w:pPr>
        <w:pStyle w:val="TextBody"/>
        <w:bidi w:val="0"/>
        <w:spacing w:before="0" w:after="60"/>
        <w:jc w:val="both"/>
        <w:rPr/>
      </w:pPr>
      <w:r>
        <w:rPr/>
      </w:r>
    </w:p>
    <w:tbl>
      <w:tblPr>
        <w:tblW w:w="12581" w:type="dxa"/>
        <w:jc w:val="left"/>
        <w:tblInd w:w="0" w:type="dxa"/>
        <w:tblLayout w:type="fixed"/>
        <w:tblCellMar>
          <w:top w:w="28" w:type="dxa"/>
          <w:left w:w="28" w:type="dxa"/>
          <w:bottom w:w="28" w:type="dxa"/>
          <w:right w:w="28" w:type="dxa"/>
        </w:tblCellMar>
      </w:tblPr>
      <w:tblGrid>
        <w:gridCol w:w="124"/>
        <w:gridCol w:w="109"/>
        <w:gridCol w:w="109"/>
        <w:gridCol w:w="640"/>
        <w:gridCol w:w="385"/>
        <w:gridCol w:w="386"/>
        <w:gridCol w:w="109"/>
        <w:gridCol w:w="109"/>
        <w:gridCol w:w="109"/>
        <w:gridCol w:w="109"/>
        <w:gridCol w:w="109"/>
        <w:gridCol w:w="109"/>
        <w:gridCol w:w="109"/>
        <w:gridCol w:w="109"/>
        <w:gridCol w:w="226"/>
        <w:gridCol w:w="721"/>
        <w:gridCol w:w="286"/>
        <w:gridCol w:w="109"/>
        <w:gridCol w:w="109"/>
        <w:gridCol w:w="109"/>
        <w:gridCol w:w="226"/>
        <w:gridCol w:w="721"/>
        <w:gridCol w:w="286"/>
        <w:gridCol w:w="440"/>
        <w:gridCol w:w="440"/>
        <w:gridCol w:w="441"/>
        <w:gridCol w:w="226"/>
        <w:gridCol w:w="721"/>
        <w:gridCol w:w="286"/>
        <w:gridCol w:w="350"/>
        <w:gridCol w:w="350"/>
        <w:gridCol w:w="351"/>
        <w:gridCol w:w="226"/>
        <w:gridCol w:w="721"/>
        <w:gridCol w:w="286"/>
        <w:gridCol w:w="440"/>
        <w:gridCol w:w="440"/>
        <w:gridCol w:w="441"/>
        <w:gridCol w:w="226"/>
        <w:gridCol w:w="4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GAAP to Non-GAAP GUIDANCE (Dollars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Annual FY'27</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Adjusted for FY'27 Comparison</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18"/>
              </w:rPr>
            </w:pPr>
            <w:r>
              <w:rPr>
                <w:rFonts w:ascii="Poppins;sans-serif" w:hAnsi="Poppins;sans-serif"/>
                <w:b/>
                <w:color w:val="000000"/>
                <w:sz w:val="18"/>
              </w:rPr>
              <w:t>Reported</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Change (Acquisition)</w:t>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High</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FY26</w:t>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FY26</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FY26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2,684</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2,709</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2,544</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2,544</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Poppins;sans-serif" w:hAnsi="Poppins;sans-serif"/>
                <w:b w:val="false"/>
                <w:i/>
                <w:color w:val="000000"/>
                <w:sz w:val="18"/>
              </w:rPr>
              <w:t>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5.5</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6.5</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Deconversions*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23</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23</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43</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43</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NON-GAAP ADJUSTED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2,659</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2,684</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2,502</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2,496</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Poppins;sans-serif" w:hAnsi="Poppins;sans-serif"/>
                <w:b w:val="false"/>
                <w:i/>
                <w:color w:val="000000"/>
                <w:sz w:val="18"/>
              </w:rPr>
              <w:t>Non-GAAP Adjusted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6.3</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7.3</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2,025</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2,039</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1,909</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1,909</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Poppins;sans-serif" w:hAnsi="Poppins;sans-serif"/>
                <w:b w:val="false"/>
                <w:i/>
                <w:color w:val="000000"/>
                <w:sz w:val="18"/>
              </w:rPr>
              <w:t>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6.1</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6.8</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Deconversion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13</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13</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Acquisition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8</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Gain on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(7)</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(7)</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NON-GAAP ADJUSTED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2,018</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2,031</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1,903</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1,895</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Poppins;sans-serif" w:hAnsi="Poppins;sans-serif"/>
                <w:b w:val="false"/>
                <w:i/>
                <w:color w:val="000000"/>
                <w:sz w:val="18"/>
              </w:rPr>
              <w:t>Non-GAAP Adjusted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6.0</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6.7</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658</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670</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635</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635</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Poppins;sans-serif" w:hAnsi="Poppins;sans-serif"/>
                <w:b w:val="false"/>
                <w:i/>
                <w:color w:val="000000"/>
                <w:sz w:val="18"/>
              </w:rPr>
              <w:t>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3.7</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5.5</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24.5</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24.7</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25.0</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25.0</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NON-GAAP ADJUSTED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641</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653</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598</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601</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Poppins;sans-serif" w:hAnsi="Poppins;sans-serif"/>
                <w:b w:val="false"/>
                <w:i/>
                <w:color w:val="000000"/>
                <w:sz w:val="18"/>
              </w:rPr>
              <w:t>Non-GAAP Adjusted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7.2</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9.1</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24.1</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24.3</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23.9</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24.1</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GAAP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7.33</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7.38</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6.98</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6.98</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Poppins;sans-serif" w:hAnsi="Poppins;sans-serif"/>
                <w:b w:val="false"/>
                <w:i/>
                <w:color w:val="000000"/>
                <w:sz w:val="18"/>
              </w:rPr>
              <w:t>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Poppins;sans-serif" w:hAnsi="Poppins;sans-serif"/>
          <w:b w:val="false"/>
          <w:color w:val="000000"/>
          <w:sz w:val="16"/>
        </w:rPr>
      </w:pPr>
      <w:r>
        <w:rPr>
          <w:rFonts w:ascii="Poppins;sans-serif" w:hAnsi="Poppins;sans-serif"/>
          <w:b w:val="false"/>
          <w:color w:val="000000"/>
          <w:sz w:val="16"/>
        </w:rPr>
        <w:t>*Deconversion revenue and related operating expenses for fiscal year 2027 are based on the lowest actual recent historical results. See the Company’s Form 8-K filed with the Securities and Exchange Commission on August 3, 2023.</w:t>
      </w:r>
    </w:p>
    <w:p>
      <w:pPr>
        <w:pStyle w:val="TextBody"/>
        <w:bidi w:val="0"/>
        <w:spacing w:lineRule="auto" w:line="288" w:before="0" w:after="60"/>
        <w:jc w:val="both"/>
        <w:rPr>
          <w:rFonts w:ascii="Poppins;sans-serif" w:hAnsi="Poppins;sans-serif"/>
          <w:b w:val="false"/>
          <w:color w:val="000000"/>
          <w:sz w:val="16"/>
        </w:rPr>
      </w:pPr>
      <w:r>
        <w:rPr>
          <w:rFonts w:ascii="Poppins;sans-serif" w:hAnsi="Poppins;sans-serif"/>
          <w:b w:val="false"/>
          <w:color w:val="000000"/>
          <w:sz w:val="16"/>
        </w:rPr>
        <w:t>**GAAP to Non-GAAP revenue, operating expenses, and operating income may not foot due to rounding.</w:t>
      </w:r>
    </w:p>
    <w:p>
      <w:pPr>
        <w:pStyle w:val="TextBody"/>
        <w:bidi w:val="0"/>
        <w:spacing w:before="0" w:after="60"/>
        <w:jc w:val="both"/>
        <w:rPr/>
      </w:pPr>
      <w:r>
        <w:rPr/>
      </w:r>
    </w:p>
    <w:p>
      <w:pPr>
        <w:pStyle w:val="TextBody"/>
        <w:bidi w:val="0"/>
        <w:spacing w:lineRule="auto" w:line="288" w:before="0" w:after="0"/>
        <w:ind w:left="0" w:right="0" w:hanging="630"/>
        <w:jc w:val="right"/>
        <w:rPr/>
      </w:pPr>
      <w:r>
        <w:rPr/>
        <w:drawing>
          <wp:inline distT="0" distB="0" distL="0" distR="0">
            <wp:extent cx="7772400" cy="95250"/>
            <wp:effectExtent l="0" t="0" r="0" b="0"/>
            <wp:docPr id="4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9" descr=""/>
                    <pic:cNvPicPr>
                      <a:picLocks noChangeAspect="1" noChangeArrowheads="1"/>
                    </pic:cNvPicPr>
                  </pic:nvPicPr>
                  <pic:blipFill>
                    <a:blip r:embed="rId38"/>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814705"/>
                <wp:effectExtent l="0" t="0" r="0" b="0"/>
                <wp:wrapNone/>
                <wp:docPr id="50" name="Frame13"/>
                <a:graphic xmlns:a="http://schemas.openxmlformats.org/drawingml/2006/main">
                  <a:graphicData uri="http://schemas.microsoft.com/office/word/2010/wordprocessingShape">
                    <wps:wsp>
                      <wps:cNvSpPr txBox="1"/>
                      <wps:spPr>
                        <a:xfrm>
                          <a:off x="0" y="0"/>
                          <a:ext cx="6480175" cy="814705"/>
                        </a:xfrm>
                        <a:prstGeom prst="rect"/>
                        <a:solidFill>
                          <a:srgbClr val="FFFFFF"/>
                        </a:solidFill>
                      </wps:spPr>
                      <wps:txbx>
                        <w:txbxContent>
                          <w:tbl>
                            <w:tblPr>
                              <w:tblW w:w="2979"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14"/>
                              <w:gridCol w:w="114"/>
                              <w:gridCol w:w="163"/>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5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8" descr=""/>
                                                <pic:cNvPicPr>
                                                  <a:picLocks noChangeAspect="1" noChangeArrowheads="1"/>
                                                </pic:cNvPicPr>
                                              </pic:nvPicPr>
                                              <pic:blipFill>
                                                <a:blip r:embed="rId39"/>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15pt;mso-wrap-distance-left:0pt;mso-wrap-distance-right:0pt;mso-wrap-distance-top:0pt;mso-wrap-distance-bottom:0pt;margin-top:0pt;mso-position-vertical:top;mso-position-vertical-relative:text;margin-left:0pt;mso-position-horizontal:left;mso-position-horizontal-relative:text">
                <v:textbox>
                  <w:txbxContent>
                    <w:tbl>
                      <w:tblPr>
                        <w:tblW w:w="2979"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14"/>
                        <w:gridCol w:w="114"/>
                        <w:gridCol w:w="163"/>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5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8" descr=""/>
                                          <pic:cNvPicPr>
                                            <a:picLocks noChangeAspect="1" noChangeArrowheads="1"/>
                                          </pic:cNvPicPr>
                                        </pic:nvPicPr>
                                        <pic:blipFill>
                                          <a:blip r:embed="rId40"/>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Poppins;sans-serif" w:hAnsi="Poppins;sans-serif"/>
          <w:b/>
          <w:color w:val="06185F"/>
          <w:sz w:val="20"/>
        </w:rPr>
      </w:pPr>
      <w:r>
        <w:rPr>
          <w:rFonts w:ascii="Poppins;sans-serif" w:hAnsi="Poppins;sans-serif"/>
          <w:b/>
          <w:color w:val="06185F"/>
          <w:sz w:val="20"/>
        </w:rPr>
        <w:t>Balance Sheet and Cash Flow Review</w:t>
      </w:r>
    </w:p>
    <w:p>
      <w:pPr>
        <w:pStyle w:val="TextBody"/>
        <w:bidi w:val="0"/>
        <w:spacing w:lineRule="auto" w:line="276" w:before="0" w:after="120"/>
        <w:ind w:left="0" w:right="0" w:hanging="180"/>
        <w:jc w:val="both"/>
        <w:rPr/>
      </w:pPr>
      <w:r>
        <w:rPr/>
        <w:drawing>
          <wp:inline distT="0" distB="0" distL="0" distR="0">
            <wp:extent cx="3095625" cy="1857375"/>
            <wp:effectExtent l="0" t="0" r="0" b="0"/>
            <wp:docPr id="5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0" descr=""/>
                    <pic:cNvPicPr>
                      <a:picLocks noChangeAspect="1" noChangeArrowheads="1"/>
                    </pic:cNvPicPr>
                  </pic:nvPicPr>
                  <pic:blipFill>
                    <a:blip r:embed="rId41"/>
                    <a:stretch>
                      <a:fillRect/>
                    </a:stretch>
                  </pic:blipFill>
                  <pic:spPr bwMode="auto">
                    <a:xfrm>
                      <a:off x="0" y="0"/>
                      <a:ext cx="3095625" cy="1857375"/>
                    </a:xfrm>
                    <a:prstGeom prst="rect">
                      <a:avLst/>
                    </a:prstGeom>
                  </pic:spPr>
                </pic:pic>
              </a:graphicData>
            </a:graphic>
          </wp:inline>
        </w:drawing>
      </w:r>
      <w:r>
        <w:rPr>
          <w:color w:val="000000"/>
        </w:rPr>
        <w:t>    </w:t>
      </w:r>
      <w:r>
        <w:rPr/>
        <w:drawing>
          <wp:inline distT="0" distB="0" distL="0" distR="0">
            <wp:extent cx="3095625" cy="1857375"/>
            <wp:effectExtent l="0" t="0" r="0" b="0"/>
            <wp:docPr id="5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1" descr=""/>
                    <pic:cNvPicPr>
                      <a:picLocks noChangeAspect="1" noChangeArrowheads="1"/>
                    </pic:cNvPicPr>
                  </pic:nvPicPr>
                  <pic:blipFill>
                    <a:blip r:embed="rId42"/>
                    <a:stretch>
                      <a:fillRect/>
                    </a:stretch>
                  </pic:blipFill>
                  <pic:spPr bwMode="auto">
                    <a:xfrm>
                      <a:off x="0" y="0"/>
                      <a:ext cx="3095625" cy="1857375"/>
                    </a:xfrm>
                    <a:prstGeom prst="rect">
                      <a:avLst/>
                    </a:prstGeom>
                  </pic:spPr>
                </pic:pic>
              </a:graphicData>
            </a:graphic>
          </wp:inline>
        </w:drawing>
      </w:r>
      <w:r>
        <w:rPr/>
        <w:drawing>
          <wp:inline distT="0" distB="0" distL="0" distR="0">
            <wp:extent cx="3000375" cy="1714500"/>
            <wp:effectExtent l="0" t="0" r="0" b="0"/>
            <wp:docPr id="5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2" descr=""/>
                    <pic:cNvPicPr>
                      <a:picLocks noChangeAspect="1" noChangeArrowheads="1"/>
                    </pic:cNvPicPr>
                  </pic:nvPicPr>
                  <pic:blipFill>
                    <a:blip r:embed="rId43"/>
                    <a:stretch>
                      <a:fillRect/>
                    </a:stretch>
                  </pic:blipFill>
                  <pic:spPr bwMode="auto">
                    <a:xfrm>
                      <a:off x="0" y="0"/>
                      <a:ext cx="3000375" cy="1714500"/>
                    </a:xfrm>
                    <a:prstGeom prst="rect">
                      <a:avLst/>
                    </a:prstGeom>
                  </pic:spPr>
                </pic:pic>
              </a:graphicData>
            </a:graphic>
          </wp:inline>
        </w:drawing>
      </w:r>
      <w:r>
        <w:rPr>
          <w:color w:val="000000"/>
          <w:shd w:fill="FFFFFF" w:val="clear"/>
        </w:rPr>
        <w:t>    </w:t>
      </w:r>
      <w:r>
        <w:rPr/>
        <w:drawing>
          <wp:inline distT="0" distB="0" distL="0" distR="0">
            <wp:extent cx="3000375" cy="1714500"/>
            <wp:effectExtent l="0" t="0" r="0" b="0"/>
            <wp:docPr id="5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3" descr=""/>
                    <pic:cNvPicPr>
                      <a:picLocks noChangeAspect="1" noChangeArrowheads="1"/>
                    </pic:cNvPicPr>
                  </pic:nvPicPr>
                  <pic:blipFill>
                    <a:blip r:embed="rId44"/>
                    <a:stretch>
                      <a:fillRect/>
                    </a:stretch>
                  </pic:blipFill>
                  <pic:spPr bwMode="auto">
                    <a:xfrm>
                      <a:off x="0" y="0"/>
                      <a:ext cx="3000375" cy="1714500"/>
                    </a:xfrm>
                    <a:prstGeom prst="rect">
                      <a:avLst/>
                    </a:prstGeom>
                  </pic:spPr>
                </pic:pic>
              </a:graphicData>
            </a:graphic>
          </wp:inline>
        </w:drawing>
      </w:r>
      <w:r>
        <w:rPr>
          <w:color w:val="000000"/>
          <w:shd w:fill="FFFFFF" w:val="clear"/>
        </w:rPr>
        <w:t>    </w:t>
      </w:r>
    </w:p>
    <w:p>
      <w:pPr>
        <w:pStyle w:val="TextBody"/>
        <w:bidi w:val="0"/>
        <w:spacing w:lineRule="auto" w:line="288" w:before="100" w:after="120"/>
        <w:ind w:left="0" w:right="0" w:hanging="360"/>
        <w:jc w:val="both"/>
        <w:rPr/>
      </w:pPr>
      <w:r>
        <w:rPr>
          <w:color w:val="000000"/>
        </w:rPr>
        <w:t>•</w:t>
      </w:r>
      <w:r>
        <w:rPr>
          <w:rFonts w:ascii="Poppins;sans-serif" w:hAnsi="Poppins;sans-serif"/>
          <w:b w:val="false"/>
          <w:color w:val="000000"/>
          <w:sz w:val="18"/>
        </w:rPr>
        <w:t>Cash and cash equivalents were $12 million at June 30, 2026, compared to $102 million at June 30, 2025.</w:t>
      </w:r>
    </w:p>
    <w:p>
      <w:pPr>
        <w:pStyle w:val="TextBody"/>
        <w:bidi w:val="0"/>
        <w:spacing w:lineRule="auto" w:line="288" w:before="100" w:after="120"/>
        <w:ind w:left="0" w:right="0" w:hanging="360"/>
        <w:jc w:val="both"/>
        <w:rPr/>
      </w:pPr>
      <w:r>
        <w:rPr>
          <w:color w:val="000000"/>
        </w:rPr>
        <w:t>•</w:t>
      </w:r>
      <w:r>
        <w:rPr>
          <w:rFonts w:ascii="Poppins;sans-serif" w:hAnsi="Poppins;sans-serif"/>
          <w:b w:val="false"/>
          <w:color w:val="000000"/>
          <w:sz w:val="18"/>
        </w:rPr>
        <w:t xml:space="preserve">Trade receivables were $349 million at June 30, 2026, and $318 million at June 30, 2025. </w:t>
      </w:r>
    </w:p>
    <w:p>
      <w:pPr>
        <w:pStyle w:val="TextBody"/>
        <w:bidi w:val="0"/>
        <w:spacing w:lineRule="auto" w:line="288" w:before="100" w:after="120"/>
        <w:ind w:left="0" w:right="0" w:hanging="360"/>
        <w:jc w:val="both"/>
        <w:rPr/>
      </w:pPr>
      <w:r>
        <w:rPr>
          <w:color w:val="000000"/>
        </w:rPr>
        <w:t>•</w:t>
      </w:r>
      <w:r>
        <w:rPr>
          <w:rFonts w:ascii="Poppins;sans-serif" w:hAnsi="Poppins;sans-serif"/>
          <w:b w:val="false"/>
          <w:color w:val="000000"/>
          <w:sz w:val="18"/>
        </w:rPr>
        <w:t>The Company had $40 million of borrowings at June 30, 2026, compared to $0 of borrowings at June 30, 2025.</w:t>
      </w:r>
    </w:p>
    <w:p>
      <w:pPr>
        <w:pStyle w:val="TextBody"/>
        <w:bidi w:val="0"/>
        <w:spacing w:lineRule="auto" w:line="288" w:before="100" w:after="120"/>
        <w:ind w:left="0" w:right="0" w:hanging="360"/>
        <w:jc w:val="both"/>
        <w:rPr/>
      </w:pPr>
      <w:r>
        <w:rPr>
          <w:color w:val="000000"/>
        </w:rPr>
        <w:t>•</w:t>
      </w:r>
      <w:r>
        <w:rPr>
          <w:rFonts w:ascii="Poppins;sans-serif" w:hAnsi="Poppins;sans-serif"/>
          <w:b w:val="false"/>
          <w:color w:val="000000"/>
          <w:sz w:val="18"/>
        </w:rPr>
        <w:t>Deferred revenue was $372 million at June 30, 2026, compared to $363 million at June 30, 2025.</w:t>
      </w:r>
    </w:p>
    <w:p>
      <w:pPr>
        <w:pStyle w:val="TextBody"/>
        <w:bidi w:val="0"/>
        <w:spacing w:lineRule="auto" w:line="288" w:before="100" w:after="120"/>
        <w:ind w:left="0" w:right="0" w:hanging="360"/>
        <w:jc w:val="both"/>
        <w:rPr/>
      </w:pPr>
      <w:r>
        <w:rPr>
          <w:color w:val="000000"/>
        </w:rPr>
        <w:t>•</w:t>
      </w:r>
      <w:r>
        <w:rPr>
          <w:rFonts w:ascii="Poppins;sans-serif" w:hAnsi="Poppins;sans-serif"/>
          <w:b w:val="false"/>
          <w:color w:val="000000"/>
          <w:sz w:val="18"/>
        </w:rPr>
        <w:t>Stockholders' equity decreased to $2,052 million at June 30, 2026, compared to $2,131 million at June 30, 2025.</w:t>
      </w:r>
    </w:p>
    <w:p>
      <w:pPr>
        <w:pStyle w:val="TextBody"/>
        <w:bidi w:val="0"/>
        <w:spacing w:lineRule="auto" w:line="288" w:before="60" w:after="283"/>
        <w:jc w:val="both"/>
        <w:rPr/>
      </w:pPr>
      <w:r>
        <w:rPr>
          <w:rFonts w:ascii="Poppins;sans-serif" w:hAnsi="Poppins;sans-serif"/>
          <w:b w:val="false"/>
          <w:color w:val="000000"/>
          <w:sz w:val="16"/>
        </w:rPr>
        <w:t>*</w:t>
      </w:r>
      <w:r>
        <w:rPr>
          <w:rFonts w:ascii="Poppins;sans-serif" w:hAnsi="Poppins;sans-serif"/>
          <w:b w:val="false"/>
          <w:color w:val="000000"/>
          <w:sz w:val="14"/>
        </w:rPr>
        <w:t>See table below for Net Cash Provided by Operating Activities and on page 14 for Return on Average Stockholders’ Equity. Tables reconciling the non-GAAP measures Free Cash Flow and Net Operating Profit After Tax Return on Invested Capital (NOPAT ROIC) to GAAP measures are on pages 14 and 15. See the Use of Non-GAAP Financial Information section below for the definitions of Free Cash Flow and NOPAT ROIC.</w:t>
      </w:r>
    </w:p>
    <w:p>
      <w:pPr>
        <w:pStyle w:val="TextBody"/>
        <w:bidi w:val="0"/>
        <w:spacing w:before="60" w:after="120"/>
        <w:jc w:val="both"/>
        <w:rPr/>
      </w:pPr>
      <w:r>
        <w:rPr/>
      </w:r>
    </w:p>
    <w:p>
      <w:pPr>
        <w:pStyle w:val="TextBody"/>
        <w:bidi w:val="0"/>
        <w:spacing w:before="60" w:after="120"/>
        <w:jc w:val="both"/>
        <w:rPr/>
      </w:pPr>
      <w:r>
        <w:rPr/>
      </w:r>
    </w:p>
    <w:p>
      <w:pPr>
        <w:pStyle w:val="TextBody"/>
        <w:bidi w:val="0"/>
        <w:spacing w:lineRule="auto" w:line="288" w:before="180" w:after="120"/>
        <w:jc w:val="both"/>
        <w:rPr>
          <w:rFonts w:ascii="Poppins;sans-serif" w:hAnsi="Poppins;sans-serif"/>
          <w:b w:val="false"/>
          <w:color w:val="000000"/>
          <w:sz w:val="18"/>
        </w:rPr>
      </w:pPr>
      <w:r>
        <w:rPr>
          <w:rFonts w:ascii="Poppins;sans-serif" w:hAnsi="Poppins;sans-serif"/>
          <w:b w:val="false"/>
          <w:color w:val="000000"/>
          <w:sz w:val="18"/>
        </w:rPr>
        <w:t>The following table summarizes net cash from operating activities:</w:t>
      </w:r>
    </w:p>
    <w:tbl>
      <w:tblPr>
        <w:tblW w:w="7073" w:type="dxa"/>
        <w:jc w:val="left"/>
        <w:tblInd w:w="0" w:type="dxa"/>
        <w:tblLayout w:type="fixed"/>
        <w:tblCellMar>
          <w:top w:w="28" w:type="dxa"/>
          <w:left w:w="28" w:type="dxa"/>
          <w:bottom w:w="28" w:type="dxa"/>
          <w:right w:w="28" w:type="dxa"/>
        </w:tblCellMar>
      </w:tblPr>
      <w:tblGrid>
        <w:gridCol w:w="1495"/>
        <w:gridCol w:w="1311"/>
        <w:gridCol w:w="1318"/>
        <w:gridCol w:w="226"/>
        <w:gridCol w:w="961"/>
        <w:gridCol w:w="109"/>
        <w:gridCol w:w="109"/>
        <w:gridCol w:w="109"/>
        <w:gridCol w:w="109"/>
        <w:gridCol w:w="226"/>
        <w:gridCol w:w="946"/>
        <w:gridCol w:w="154"/>
      </w:tblGrid>
      <w:tr>
        <w:trPr/>
        <w:tc>
          <w:tcPr>
            <w:tcW w:w="149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(Unaudited, in thousands)</w:t>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Year Ended June 30,</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Net income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502,776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455,748 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Depreciation</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42,103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43,700 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Amortization</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171,138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161,051 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Change in deferred income taxes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126,032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(3,496)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Other non-cash expenses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35,023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30,358 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Change in receivables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(29,268)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15,056 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Change in deferred revenue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9,099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(25,559)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Change in other assets and liabilities*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(94,943)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(35,354)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NET CASH FROM OPERATING ACTIVITIES</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761,960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641,504 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Poppins;sans-serif" w:hAnsi="Poppins;sans-serif"/>
          <w:b w:val="false"/>
          <w:color w:val="000000"/>
          <w:sz w:val="14"/>
        </w:rPr>
      </w:pPr>
      <w:r>
        <w:rPr>
          <w:rFonts w:ascii="Poppins;sans-serif" w:hAnsi="Poppins;sans-serif"/>
          <w:b w:val="false"/>
          <w:color w:val="000000"/>
          <w:sz w:val="14"/>
        </w:rPr>
        <w:t>*For the fiscal year ended June 30, 2026, the change in other assets and liabilities includes the change in prepaid expenses, deferred costs and other of $(85,512), income taxes of $(14,322), and the change in accounts payable of $(1,431) partially offset by the change in accrued expenses of $6,322. For the fiscal year ended June 30, 2025, the change in other assets and liabilities includes the change in prepaid expenses, deferred costs and other of $(50,933) and the change in accrued expenses of $(3,115) partially offset by the change in income taxes of $16,048 and the change in accounts payable of $2,646.</w:t>
      </w:r>
    </w:p>
    <w:p>
      <w:pPr>
        <w:pStyle w:val="TextBody"/>
        <w:bidi w:val="0"/>
        <w:spacing w:before="60" w:after="120"/>
        <w:jc w:val="both"/>
        <w:rPr/>
      </w:pPr>
      <w:r>
        <w:rPr/>
      </w:r>
    </w:p>
    <w:p>
      <w:pPr>
        <w:pStyle w:val="TextBody"/>
        <w:bidi w:val="0"/>
        <w:spacing w:lineRule="auto" w:line="288" w:before="0" w:after="0"/>
        <w:ind w:left="0" w:right="0" w:hanging="630"/>
        <w:jc w:val="right"/>
        <w:rPr/>
      </w:pPr>
      <w:r>
        <w:rPr/>
        <w:drawing>
          <wp:inline distT="0" distB="0" distL="0" distR="0">
            <wp:extent cx="7772400" cy="95250"/>
            <wp:effectExtent l="0" t="0" r="0" b="0"/>
            <wp:docPr id="5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5" descr=""/>
                    <pic:cNvPicPr>
                      <a:picLocks noChangeAspect="1" noChangeArrowheads="1"/>
                    </pic:cNvPicPr>
                  </pic:nvPicPr>
                  <pic:blipFill>
                    <a:blip r:embed="rId45"/>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814705"/>
                <wp:effectExtent l="0" t="0" r="0" b="0"/>
                <wp:wrapNone/>
                <wp:docPr id="58" name="Frame14"/>
                <a:graphic xmlns:a="http://schemas.openxmlformats.org/drawingml/2006/main">
                  <a:graphicData uri="http://schemas.microsoft.com/office/word/2010/wordprocessingShape">
                    <wps:wsp>
                      <wps:cNvSpPr txBox="1"/>
                      <wps:spPr>
                        <a:xfrm>
                          <a:off x="0" y="0"/>
                          <a:ext cx="6480175" cy="814705"/>
                        </a:xfrm>
                        <a:prstGeom prst="rect"/>
                        <a:solidFill>
                          <a:srgbClr val="FFFFFF"/>
                        </a:solidFill>
                      </wps:spPr>
                      <wps:txbx>
                        <w:txbxContent>
                          <w:tbl>
                            <w:tblPr>
                              <w:tblW w:w="2979"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14"/>
                              <w:gridCol w:w="114"/>
                              <w:gridCol w:w="163"/>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5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4" descr=""/>
                                                <pic:cNvPicPr>
                                                  <a:picLocks noChangeAspect="1" noChangeArrowheads="1"/>
                                                </pic:cNvPicPr>
                                              </pic:nvPicPr>
                                              <pic:blipFill>
                                                <a:blip r:embed="rId46"/>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15pt;mso-wrap-distance-left:0pt;mso-wrap-distance-right:0pt;mso-wrap-distance-top:0pt;mso-wrap-distance-bottom:0pt;margin-top:0pt;mso-position-vertical:top;mso-position-vertical-relative:text;margin-left:0pt;mso-position-horizontal:left;mso-position-horizontal-relative:text">
                <v:textbox>
                  <w:txbxContent>
                    <w:tbl>
                      <w:tblPr>
                        <w:tblW w:w="2979"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14"/>
                        <w:gridCol w:w="114"/>
                        <w:gridCol w:w="163"/>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6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4" descr=""/>
                                          <pic:cNvPicPr>
                                            <a:picLocks noChangeAspect="1" noChangeArrowheads="1"/>
                                          </pic:cNvPicPr>
                                        </pic:nvPicPr>
                                        <pic:blipFill>
                                          <a:blip r:embed="rId47"/>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20"/>
        <w:jc w:val="both"/>
        <w:rPr>
          <w:rFonts w:ascii="Poppins;sans-serif" w:hAnsi="Poppins;sans-serif"/>
          <w:b w:val="false"/>
          <w:color w:val="000000"/>
          <w:sz w:val="18"/>
        </w:rPr>
      </w:pPr>
      <w:r>
        <w:rPr>
          <w:rFonts w:ascii="Poppins;sans-serif" w:hAnsi="Poppins;sans-serif"/>
          <w:b w:val="false"/>
          <w:color w:val="000000"/>
          <w:sz w:val="18"/>
        </w:rPr>
        <w:t>The following table summarizes net cash from investing activities:</w:t>
      </w:r>
    </w:p>
    <w:tbl>
      <w:tblPr>
        <w:tblW w:w="7179" w:type="dxa"/>
        <w:jc w:val="left"/>
        <w:tblInd w:w="0" w:type="dxa"/>
        <w:tblLayout w:type="fixed"/>
        <w:tblCellMar>
          <w:top w:w="28" w:type="dxa"/>
          <w:left w:w="28" w:type="dxa"/>
          <w:bottom w:w="28" w:type="dxa"/>
          <w:right w:w="28" w:type="dxa"/>
        </w:tblCellMar>
      </w:tblPr>
      <w:tblGrid>
        <w:gridCol w:w="1466"/>
        <w:gridCol w:w="1289"/>
        <w:gridCol w:w="1295"/>
        <w:gridCol w:w="226"/>
        <w:gridCol w:w="1051"/>
        <w:gridCol w:w="109"/>
        <w:gridCol w:w="109"/>
        <w:gridCol w:w="109"/>
        <w:gridCol w:w="109"/>
        <w:gridCol w:w="226"/>
        <w:gridCol w:w="1036"/>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(Unaudited, in thousands)</w:t>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Year Ended June 30,</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Payment for acquisitions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(42,390)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0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Capital expenditures</w:t>
            </w:r>
          </w:p>
        </w:tc>
        <w:tc>
          <w:tcPr>
            <w:tcW w:w="12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(67,103)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(53,358)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Proceeds from sale of assets</w:t>
            </w:r>
          </w:p>
        </w:tc>
        <w:tc>
          <w:tcPr>
            <w:tcW w:w="127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32,827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Purchased software</w:t>
            </w:r>
          </w:p>
        </w:tc>
        <w:tc>
          <w:tcPr>
            <w:tcW w:w="12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(4,108)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(5,363)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Computer software developed</w:t>
            </w:r>
          </w:p>
        </w:tc>
        <w:tc>
          <w:tcPr>
            <w:tcW w:w="12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(184,243)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(172,445)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Purchase of investments</w:t>
            </w:r>
          </w:p>
        </w:tc>
        <w:tc>
          <w:tcPr>
            <w:tcW w:w="12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(13,721)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(2,000)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Proceeds from investments</w:t>
            </w:r>
          </w:p>
        </w:tc>
        <w:tc>
          <w:tcPr>
            <w:tcW w:w="127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1,000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NET CASH FROM INVESTING ACTIVITIES</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(277,738)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0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(232,163)</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Poppins;sans-serif" w:hAnsi="Poppins;sans-serif"/>
          <w:b w:val="false"/>
          <w:color w:val="000000"/>
          <w:sz w:val="18"/>
        </w:rPr>
      </w:pPr>
      <w:r>
        <w:rPr>
          <w:rFonts w:ascii="Poppins;sans-serif" w:hAnsi="Poppins;sans-serif"/>
          <w:b w:val="false"/>
          <w:color w:val="000000"/>
          <w:sz w:val="18"/>
        </w:rPr>
        <w:t>The following table summarizes net cash from financing activities:</w:t>
      </w:r>
    </w:p>
    <w:tbl>
      <w:tblPr>
        <w:tblW w:w="10205" w:type="dxa"/>
        <w:jc w:val="left"/>
        <w:tblInd w:w="0" w:type="dxa"/>
        <w:tblLayout w:type="fixed"/>
        <w:tblCellMar>
          <w:top w:w="28" w:type="dxa"/>
          <w:left w:w="28" w:type="dxa"/>
          <w:bottom w:w="28" w:type="dxa"/>
          <w:right w:w="28" w:type="dxa"/>
        </w:tblCellMar>
      </w:tblPr>
      <w:tblGrid>
        <w:gridCol w:w="2564"/>
        <w:gridCol w:w="2251"/>
        <w:gridCol w:w="2261"/>
        <w:gridCol w:w="226"/>
        <w:gridCol w:w="1049"/>
        <w:gridCol w:w="109"/>
        <w:gridCol w:w="109"/>
        <w:gridCol w:w="109"/>
        <w:gridCol w:w="109"/>
        <w:gridCol w:w="226"/>
        <w:gridCol w:w="1034"/>
        <w:gridCol w:w="158"/>
      </w:tblGrid>
      <w:tr>
        <w:trPr/>
        <w:tc>
          <w:tcPr>
            <w:tcW w:w="2564"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(Unaudited, in thousands)</w:t>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Year Ended June 30,</w:t>
            </w:r>
          </w:p>
        </w:tc>
      </w:tr>
      <w:tr>
        <w:trPr/>
        <w:tc>
          <w:tcPr>
            <w:tcW w:w="7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r>
      <w:tr>
        <w:trPr/>
        <w:tc>
          <w:tcPr>
            <w:tcW w:w="70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Borrowings on credit facilities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04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480,000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034"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350,000 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Repayments on credit facilities</w:t>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(440,000)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(500,000)</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Purchase of treasury stock</w:t>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(448,173)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(35,051)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Dividends paid</w:t>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(170,405)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(164,644)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Net cash from issuance of stock and tax related to stock-based compensation</w:t>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4,459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4,023 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NET CASH FROM FINANCING ACTIVITIES</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0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(574,119)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0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(345,672)</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00"/>
        <w:jc w:val="both"/>
        <w:rPr>
          <w:rFonts w:ascii="Poppins;sans-serif" w:hAnsi="Poppins;sans-serif"/>
          <w:b/>
          <w:color w:val="06185F"/>
          <w:sz w:val="20"/>
        </w:rPr>
      </w:pPr>
      <w:r>
        <w:rPr>
          <w:rFonts w:ascii="Poppins;sans-serif" w:hAnsi="Poppins;sans-serif"/>
          <w:b/>
          <w:color w:val="06185F"/>
          <w:sz w:val="20"/>
        </w:rPr>
        <w:t>Use of Non-GAAP Financial Information</w:t>
      </w:r>
    </w:p>
    <w:p>
      <w:pPr>
        <w:pStyle w:val="TextBody"/>
        <w:bidi w:val="0"/>
        <w:spacing w:lineRule="auto" w:line="288" w:before="0" w:after="100"/>
        <w:jc w:val="both"/>
        <w:rPr>
          <w:rFonts w:ascii="Poppins;sans-serif" w:hAnsi="Poppins;sans-serif"/>
          <w:b w:val="false"/>
          <w:color w:val="000000"/>
          <w:sz w:val="18"/>
        </w:rPr>
      </w:pPr>
      <w:r>
        <w:rPr>
          <w:rFonts w:ascii="Poppins;sans-serif" w:hAnsi="Poppins;sans-serif"/>
          <w:b w:val="false"/>
          <w:color w:val="000000"/>
          <w:sz w:val="18"/>
        </w:rPr>
        <w:t>Generally Accepted Accounting Principles (GAAP) is the term used to refer to the standard framework of guidelines for financial accounting in the United States. GAAP includes the standards, conventions, and rules accountants follow in recording and summarizing transactions in the preparation of financial statements. In addition to reporting financial results in accordance with GAAP, we have provided certain non-GAAP financial measures, including adjusted revenue, adjusted segment revenue, adjusted operating income, adjusted segment income, adjusted cost of revenue, adjusted segment cost of revenue, adjusted operating expenses, adjusted operating margin, adjusted segment income margin, non-GAAP earnings before interest, taxes, depreciation, and amortization (non-GAAP EBITDA), free cash flow, net operating profit after tax return on invested capital (NOPAT ROIC), and non-GAAP adjusted net income.</w:t>
      </w:r>
    </w:p>
    <w:p>
      <w:pPr>
        <w:pStyle w:val="TextBody"/>
        <w:bidi w:val="0"/>
        <w:spacing w:lineRule="auto" w:line="288" w:before="0" w:after="100"/>
        <w:jc w:val="both"/>
        <w:rPr>
          <w:rFonts w:ascii="Poppins;sans-serif" w:hAnsi="Poppins;sans-serif"/>
          <w:b w:val="false"/>
          <w:color w:val="000000"/>
          <w:sz w:val="18"/>
        </w:rPr>
      </w:pPr>
      <w:r>
        <w:rPr>
          <w:rFonts w:ascii="Poppins;sans-serif" w:hAnsi="Poppins;sans-serif"/>
          <w:b w:val="false"/>
          <w:color w:val="000000"/>
          <w:sz w:val="18"/>
        </w:rPr>
        <w:t>We believe non-GAAP financial measures help investors better understand the underlying fundamentals and true operations of our business. Adjusted revenue, adjusted segment revenue, adjusted operating income, adjusted operating margin, adjusted segment income, adjusted segment income margin, adjusted cost of revenue, adjusted segment cost of revenue, adjusted operating expenses, and adjusted net income eliminate deconversion revenue and associated costs, the gain on assets, net, an acquisition, and a contractual change, which management believes are not indicative of the Company's operating performance. Such adjustments give investors further insight into our performance. Non-GAAP EBITDA is defined as net income attributable to the Company before the effect of interest income, net, taxes, depreciation, and amortization, adjusted for net income before the effect of interest income, net, taxes, depreciation, and amortization attributable to eliminated deconversions, the gain on assets, net, an acquisition, and a contractual change. Free cash flow is defined as net cash from operating activities, less capitalized expenditures, internal use software, and capitalized software, plus proceeds from the sale of assets. NOPAT ROIC is defined as operating income for the trailing four quarters multiplied by one minus the average effective tax rate (ETR) for the trailing four quarters, with the result divided by average invested capital (average of the beginning and ending period balances). Management believes that non-GAAP EBITDA is an important measure of the Company’s overall operating performance and excludes certain costs and other transactions that management deems one time or non-operational in nature; free cash flow is useful to measure the funds generated in a given period that are available for debt service requirements and strategic capital decisions; and NOPAT ROIC is a measure of the Company’s allocation efficiency and effectiveness of its invested capital. For these reasons, management also uses these non-GAAP financial measures in its assessment and management of the Company's performance.</w:t>
      </w:r>
    </w:p>
    <w:p>
      <w:pPr>
        <w:pStyle w:val="TextBody"/>
        <w:bidi w:val="0"/>
        <w:spacing w:lineRule="auto" w:line="288" w:before="0" w:after="0"/>
        <w:ind w:left="0" w:right="0" w:hanging="630"/>
        <w:jc w:val="right"/>
        <w:rPr/>
      </w:pPr>
      <w:r>
        <w:rPr/>
        <w:drawing>
          <wp:inline distT="0" distB="0" distL="0" distR="0">
            <wp:extent cx="7772400" cy="95250"/>
            <wp:effectExtent l="0" t="0" r="0" b="0"/>
            <wp:docPr id="6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7" descr=""/>
                    <pic:cNvPicPr>
                      <a:picLocks noChangeAspect="1" noChangeArrowheads="1"/>
                    </pic:cNvPicPr>
                  </pic:nvPicPr>
                  <pic:blipFill>
                    <a:blip r:embed="rId48"/>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814705"/>
                <wp:effectExtent l="0" t="0" r="0" b="0"/>
                <wp:wrapNone/>
                <wp:docPr id="62" name="Frame15"/>
                <a:graphic xmlns:a="http://schemas.openxmlformats.org/drawingml/2006/main">
                  <a:graphicData uri="http://schemas.microsoft.com/office/word/2010/wordprocessingShape">
                    <wps:wsp>
                      <wps:cNvSpPr txBox="1"/>
                      <wps:spPr>
                        <a:xfrm>
                          <a:off x="0" y="0"/>
                          <a:ext cx="6480175" cy="814705"/>
                        </a:xfrm>
                        <a:prstGeom prst="rect"/>
                        <a:solidFill>
                          <a:srgbClr val="FFFFFF"/>
                        </a:solidFill>
                      </wps:spPr>
                      <wps:txbx>
                        <w:txbxContent>
                          <w:tbl>
                            <w:tblPr>
                              <w:tblW w:w="2979"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14"/>
                              <w:gridCol w:w="114"/>
                              <w:gridCol w:w="163"/>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6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6" descr=""/>
                                                <pic:cNvPicPr>
                                                  <a:picLocks noChangeAspect="1" noChangeArrowheads="1"/>
                                                </pic:cNvPicPr>
                                              </pic:nvPicPr>
                                              <pic:blipFill>
                                                <a:blip r:embed="rId49"/>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15pt;mso-wrap-distance-left:0pt;mso-wrap-distance-right:0pt;mso-wrap-distance-top:0pt;mso-wrap-distance-bottom:0pt;margin-top:0pt;mso-position-vertical:top;mso-position-vertical-relative:text;margin-left:0pt;mso-position-horizontal:left;mso-position-horizontal-relative:text">
                <v:textbox>
                  <w:txbxContent>
                    <w:tbl>
                      <w:tblPr>
                        <w:tblW w:w="2979"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14"/>
                        <w:gridCol w:w="114"/>
                        <w:gridCol w:w="163"/>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6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6" descr=""/>
                                          <pic:cNvPicPr>
                                            <a:picLocks noChangeAspect="1" noChangeArrowheads="1"/>
                                          </pic:cNvPicPr>
                                        </pic:nvPicPr>
                                        <pic:blipFill>
                                          <a:blip r:embed="rId50"/>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00"/>
        <w:jc w:val="both"/>
        <w:rPr>
          <w:rFonts w:ascii="Poppins;sans-serif" w:hAnsi="Poppins;sans-serif"/>
          <w:b w:val="false"/>
          <w:color w:val="000000"/>
          <w:sz w:val="18"/>
        </w:rPr>
      </w:pPr>
      <w:r>
        <w:rPr>
          <w:rFonts w:ascii="Poppins;sans-serif" w:hAnsi="Poppins;sans-serif"/>
          <w:b w:val="false"/>
          <w:color w:val="000000"/>
          <w:sz w:val="18"/>
        </w:rPr>
        <w:t>Non-GAAP financial measures used by the Company may not be comparable to similarly titled non-GAAP measures used by other companies. Non-GAAP financial measures have no standardized meaning prescribed by GAAP and therefore, are unlikely to be comparable with calculations of similar measures for other companies.</w:t>
      </w:r>
    </w:p>
    <w:p>
      <w:pPr>
        <w:pStyle w:val="TextBody"/>
        <w:bidi w:val="0"/>
        <w:spacing w:lineRule="auto" w:line="288" w:before="0" w:after="100"/>
        <w:jc w:val="both"/>
        <w:rPr>
          <w:rFonts w:ascii="Poppins;sans-serif" w:hAnsi="Poppins;sans-serif"/>
          <w:b w:val="false"/>
          <w:color w:val="000000"/>
          <w:sz w:val="18"/>
        </w:rPr>
      </w:pPr>
      <w:r>
        <w:rPr>
          <w:rFonts w:ascii="Poppins;sans-serif" w:hAnsi="Poppins;sans-serif"/>
          <w:b w:val="false"/>
          <w:color w:val="000000"/>
          <w:sz w:val="18"/>
        </w:rPr>
        <w:t>Any non-GAAP financial measures should be considered in context with the GAAP financial presentation and should not be considered in isolation or as a substitute for GAAP measures. Reconciliations of the non-GAAP financial measures to related GAAP measures are included.</w:t>
      </w:r>
    </w:p>
    <w:p>
      <w:pPr>
        <w:pStyle w:val="TextBody"/>
        <w:bidi w:val="0"/>
        <w:spacing w:before="0" w:after="120"/>
        <w:jc w:val="both"/>
        <w:rPr/>
      </w:pPr>
      <w:r>
        <w:rPr/>
      </w:r>
    </w:p>
    <w:tbl>
      <w:tblPr>
        <w:tblW w:w="10205" w:type="dxa"/>
        <w:jc w:val="left"/>
        <w:tblInd w:w="0" w:type="dxa"/>
        <w:tblLayout w:type="fixed"/>
        <w:tblCellMar>
          <w:top w:w="28" w:type="dxa"/>
          <w:left w:w="28" w:type="dxa"/>
          <w:bottom w:w="28" w:type="dxa"/>
          <w:right w:w="28" w:type="dxa"/>
        </w:tblCellMar>
      </w:tblPr>
      <w:tblGrid>
        <w:gridCol w:w="1882"/>
        <w:gridCol w:w="1308"/>
        <w:gridCol w:w="1313"/>
        <w:gridCol w:w="109"/>
        <w:gridCol w:w="109"/>
        <w:gridCol w:w="109"/>
        <w:gridCol w:w="328"/>
        <w:gridCol w:w="328"/>
        <w:gridCol w:w="330"/>
        <w:gridCol w:w="109"/>
        <w:gridCol w:w="109"/>
        <w:gridCol w:w="109"/>
        <w:gridCol w:w="1188"/>
        <w:gridCol w:w="1188"/>
        <w:gridCol w:w="1686"/>
      </w:tblGrid>
      <w:tr>
        <w:trPr/>
        <w:tc>
          <w:tcPr>
            <w:tcW w:w="188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r>
      <w:tr>
        <w:trPr/>
        <w:tc>
          <w:tcPr>
            <w:tcW w:w="450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Poppins;sans-serif" w:hAnsi="Poppins;sans-serif"/>
                <w:b/>
                <w:color w:val="06185F"/>
                <w:sz w:val="20"/>
              </w:rPr>
              <w:t>About Jack Henry &amp; Associates, Inc.</w:t>
            </w:r>
            <w:r>
              <w:rPr>
                <w:rFonts w:ascii="Poppins;sans-serif" w:hAnsi="Poppins;sans-serif"/>
                <w:b/>
                <w:color w:val="06185F"/>
                <w:sz w:val="13"/>
              </w:rPr>
              <w:t>®</w:t>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71500" cy="571500"/>
                  <wp:effectExtent l="0" t="0" r="0" b="0"/>
                  <wp:docPr id="6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8" descr=""/>
                          <pic:cNvPicPr>
                            <a:picLocks noChangeAspect="1" noChangeArrowheads="1"/>
                          </pic:cNvPicPr>
                        </pic:nvPicPr>
                        <pic:blipFill>
                          <a:blip r:embed="rId51"/>
                          <a:stretch>
                            <a:fillRect/>
                          </a:stretch>
                        </pic:blipFill>
                        <pic:spPr bwMode="auto">
                          <a:xfrm>
                            <a:off x="0" y="0"/>
                            <a:ext cx="571500" cy="5715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left w:val="single" w:sz="8" w:space="0" w:color="76DCFD"/>
              <w:right w:val="single" w:sz="8" w:space="0" w:color="FFFFFF"/>
            </w:tcBorders>
            <w:tcMar>
              <w:top w:w="0" w:type="dxa"/>
              <w:left w:w="200" w:type="dxa"/>
              <w:bottom w:w="0" w:type="dxa"/>
            </w:tcMar>
            <w:vAlign w:val="center"/>
          </w:tcPr>
          <w:p>
            <w:pPr>
              <w:pStyle w:val="TableContents"/>
              <w:bidi w:val="0"/>
              <w:spacing w:lineRule="auto" w:line="288" w:before="0" w:after="283"/>
              <w:jc w:val="left"/>
              <w:rPr>
                <w:rFonts w:ascii="Poppins;sans-serif" w:hAnsi="Poppins;sans-serif"/>
                <w:b/>
                <w:color w:val="06185F"/>
                <w:sz w:val="20"/>
              </w:rPr>
            </w:pPr>
            <w:r>
              <w:rPr>
                <w:rFonts w:ascii="Poppins;sans-serif" w:hAnsi="Poppins;sans-serif"/>
                <w:b/>
                <w:color w:val="06185F"/>
                <w:sz w:val="20"/>
              </w:rPr>
              <w:t>Quarterly Conference Call</w:t>
            </w:r>
          </w:p>
        </w:tc>
      </w:tr>
      <w:tr>
        <w:trPr/>
        <w:tc>
          <w:tcPr>
            <w:tcW w:w="4503" w:type="dxa"/>
            <w:gridSpan w:val="3"/>
            <w:vMerge w:val="restart"/>
            <w:tcBorders/>
            <w:tcMar>
              <w:top w:w="0" w:type="dxa"/>
              <w:left w:w="0" w:type="dxa"/>
              <w:bottom w:w="0" w:type="dxa"/>
              <w:right w:w="0" w:type="dxa"/>
            </w:tcMar>
            <w:vAlign w:val="center"/>
          </w:tcPr>
          <w:p>
            <w:pPr>
              <w:pStyle w:val="TableContents"/>
              <w:bidi w:val="0"/>
              <w:spacing w:lineRule="auto" w:line="288" w:before="0" w:after="0"/>
              <w:jc w:val="both"/>
              <w:rPr/>
            </w:pPr>
            <w:r>
              <w:rPr>
                <w:rFonts w:ascii="Poppins;sans-serif" w:hAnsi="Poppins;sans-serif"/>
                <w:b w:val="false"/>
                <w:color w:val="000000"/>
                <w:sz w:val="18"/>
              </w:rPr>
              <w:t>Jack Henry</w:t>
            </w:r>
            <w:r>
              <w:rPr>
                <w:rFonts w:ascii="Poppins;sans-serif" w:hAnsi="Poppins;sans-serif"/>
                <w:b w:val="false"/>
                <w:color w:val="000000"/>
                <w:sz w:val="12"/>
              </w:rPr>
              <w:t>®</w:t>
            </w:r>
            <w:r>
              <w:rPr>
                <w:color w:val="000000"/>
              </w:rPr>
              <w:t xml:space="preserve"> </w:t>
            </w:r>
            <w:r>
              <w:rPr>
                <w:rFonts w:ascii="Poppins;sans-serif" w:hAnsi="Poppins;sans-serif"/>
                <w:b w:val="false"/>
                <w:color w:val="000000"/>
                <w:sz w:val="18"/>
              </w:rPr>
              <w:t xml:space="preserve">(Nasdaq: JKHY) is a well-rounded financial technology company that strengthens connections between financial institutions and the people and businesses they serve. We are an S&amp;P 500 company that prioritizes openness, collaboration, and user centricity — offering banks and credit unions a vibrant ecosystem of internally developed modern capabilities as well as the ability to integrate with leading fintechs. For 50 years, Jack Henry has provided technology solutions to enable clients to innovate faster, strategically differentiate, and successfully compete while serving the evolving needs of their accountholders. We empower over 7,200 clients with people-inspired innovation, personal service, and insight-driven solutions that help reduce the barriers to financial health. Additional information is available at </w:t>
            </w:r>
            <w:r>
              <w:rPr>
                <w:rFonts w:ascii="Poppins;sans-serif" w:hAnsi="Poppins;sans-serif"/>
                <w:b w:val="false"/>
                <w:color w:val="0645AD"/>
                <w:sz w:val="18"/>
                <w:u w:val="single"/>
              </w:rPr>
              <w:t>www.jackhenry.com</w:t>
            </w:r>
            <w:r>
              <w:rPr>
                <w:rFonts w:ascii="Poppins;sans-serif" w:hAnsi="Poppins;sans-serif"/>
                <w:b w:val="false"/>
                <w:color w:val="000000"/>
                <w:sz w:val="18"/>
              </w:rPr>
              <w:t>.</w:t>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right w:val="single" w:sz="8" w:space="0" w:color="76DCF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062" w:type="dxa"/>
            <w:gridSpan w:val="3"/>
            <w:vMerge w:val="restart"/>
            <w:tcBorders>
              <w:right w:val="single" w:sz="8" w:space="0" w:color="FFFFFF"/>
            </w:tcBorders>
            <w:tcMar>
              <w:top w:w="0" w:type="dxa"/>
              <w:left w:w="0" w:type="dxa"/>
              <w:bottom w:w="0" w:type="dxa"/>
            </w:tcMar>
            <w:vAlign w:val="center"/>
          </w:tcPr>
          <w:p>
            <w:pPr>
              <w:pStyle w:val="TableContents"/>
              <w:bidi w:val="0"/>
              <w:spacing w:lineRule="auto" w:line="288" w:before="0" w:after="0"/>
              <w:jc w:val="both"/>
              <w:rPr/>
            </w:pPr>
            <w:r>
              <w:rPr>
                <w:rFonts w:ascii="Poppins;sans-serif" w:hAnsi="Poppins;sans-serif"/>
                <w:b w:val="false"/>
                <w:color w:val="000000"/>
                <w:sz w:val="18"/>
              </w:rPr>
              <w:t xml:space="preserve">The Company will hold a conference call on August 19, 2026, at 7:45 a.m. Central Time, and investors are invited to listen at </w:t>
            </w:r>
            <w:r>
              <w:rPr>
                <w:rFonts w:ascii="Poppins;sans-serif" w:hAnsi="Poppins;sans-serif"/>
                <w:b w:val="false"/>
                <w:color w:val="0645AD"/>
                <w:sz w:val="18"/>
                <w:u w:val="single"/>
              </w:rPr>
              <w:t>www.jackhenry.com</w:t>
            </w:r>
            <w:r>
              <w:rPr>
                <w:rFonts w:ascii="Poppins;sans-serif" w:hAnsi="Poppins;sans-serif"/>
                <w:b w:val="false"/>
                <w:color w:val="000000"/>
                <w:sz w:val="18"/>
              </w:rPr>
              <w:t xml:space="preserve">. A webcast replay will be available approximately one hour after the event at </w:t>
            </w:r>
            <w:r>
              <w:rPr>
                <w:rFonts w:ascii="Poppins;sans-serif" w:hAnsi="Poppins;sans-serif"/>
                <w:b w:val="false"/>
                <w:color w:val="0645AD"/>
                <w:sz w:val="18"/>
                <w:u w:val="single"/>
              </w:rPr>
              <w:t>ir.jackhenry.com/corporate-events-and-presentations</w:t>
            </w:r>
            <w:r>
              <w:rPr>
                <w:color w:val="000000"/>
              </w:rPr>
              <w:t xml:space="preserve"> </w:t>
            </w:r>
            <w:r>
              <w:rPr>
                <w:rFonts w:ascii="Poppins;sans-serif" w:hAnsi="Poppins;sans-serif"/>
                <w:b w:val="false"/>
                <w:color w:val="000000"/>
                <w:sz w:val="18"/>
              </w:rPr>
              <w:t>and will remain available for one year.</w:t>
            </w:r>
          </w:p>
        </w:tc>
      </w:tr>
      <w:tr>
        <w:trPr/>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right w:val="single" w:sz="8" w:space="0" w:color="76DCF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062" w:type="dxa"/>
            <w:gridSpan w:val="3"/>
            <w:vMerge w:val="continue"/>
            <w:tcBorders>
              <w:right w:val="single" w:sz="8" w:space="0" w:color="FFFFFF"/>
            </w:tcBorders>
            <w:tcMar>
              <w:top w:w="0" w:type="dxa"/>
              <w:left w:w="0" w:type="dxa"/>
              <w:bottom w:w="0" w:type="dxa"/>
            </w:tcMar>
            <w:vAlign w:val="center"/>
          </w:tcPr>
          <w:p>
            <w:pPr>
              <w:pStyle w:val="Normal"/>
              <w:bidi w:val="0"/>
              <w:jc w:val="left"/>
              <w:rPr/>
            </w:pPr>
            <w:r>
              <w:rPr/>
            </w:r>
          </w:p>
        </w:tc>
      </w:tr>
      <w:tr>
        <w:trPr/>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right w:val="single" w:sz="8" w:space="0" w:color="76DCF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062" w:type="dxa"/>
            <w:gridSpan w:val="3"/>
            <w:vMerge w:val="continue"/>
            <w:tcBorders>
              <w:right w:val="single" w:sz="8" w:space="0" w:color="FFFFFF"/>
            </w:tcBorders>
            <w:tcMar>
              <w:top w:w="0" w:type="dxa"/>
              <w:left w:w="0" w:type="dxa"/>
              <w:bottom w:w="0" w:type="dxa"/>
            </w:tcMar>
            <w:vAlign w:val="center"/>
          </w:tcPr>
          <w:p>
            <w:pPr>
              <w:pStyle w:val="Normal"/>
              <w:bidi w:val="0"/>
              <w:jc w:val="left"/>
              <w:rPr/>
            </w:pPr>
            <w:r>
              <w:rPr/>
            </w:r>
          </w:p>
        </w:tc>
      </w:tr>
      <w:tr>
        <w:trPr/>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right w:val="single" w:sz="8" w:space="0" w:color="76DCF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062" w:type="dxa"/>
            <w:gridSpan w:val="3"/>
            <w:vMerge w:val="continue"/>
            <w:tcBorders>
              <w:right w:val="single" w:sz="8" w:space="0" w:color="FFFFFF"/>
            </w:tcBorders>
            <w:tcMar>
              <w:top w:w="0" w:type="dxa"/>
              <w:left w:w="0" w:type="dxa"/>
              <w:bottom w:w="0" w:type="dxa"/>
            </w:tcMar>
            <w:vAlign w:val="center"/>
          </w:tcPr>
          <w:p>
            <w:pPr>
              <w:pStyle w:val="Normal"/>
              <w:bidi w:val="0"/>
              <w:jc w:val="left"/>
              <w:rPr/>
            </w:pPr>
            <w:r>
              <w:rPr/>
            </w:r>
          </w:p>
        </w:tc>
      </w:tr>
      <w:tr>
        <w:trPr/>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vMerge w:val="restart"/>
            <w:tcBorders>
              <w:left w:val="single" w:sz="8" w:space="0" w:color="76DCFD"/>
              <w:right w:val="single" w:sz="8" w:space="0" w:color="FFFFFF"/>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76DCF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062" w:type="dxa"/>
            <w:gridSpan w:val="3"/>
            <w:vMerge w:val="continue"/>
            <w:tcBorders>
              <w:left w:val="single" w:sz="8" w:space="0" w:color="76DCFD"/>
              <w:right w:val="single" w:sz="8" w:space="0" w:color="FFFFFF"/>
            </w:tcBorders>
            <w:tcMar>
              <w:top w:w="0" w:type="dxa"/>
              <w:bottom w:w="0" w:type="dxa"/>
            </w:tcMar>
            <w:vAlign w:val="center"/>
          </w:tcPr>
          <w:p>
            <w:pPr>
              <w:pStyle w:val="Normal"/>
              <w:bidi w:val="0"/>
              <w:jc w:val="left"/>
              <w:rPr/>
            </w:pPr>
            <w:r>
              <w:rPr/>
            </w:r>
          </w:p>
        </w:tc>
      </w:tr>
      <w:tr>
        <w:trPr/>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76DCF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062" w:type="dxa"/>
            <w:gridSpan w:val="3"/>
            <w:vMerge w:val="continue"/>
            <w:tcBorders>
              <w:left w:val="single" w:sz="8" w:space="0" w:color="76DCFD"/>
              <w:right w:val="single" w:sz="8" w:space="0" w:color="FFFFFF"/>
            </w:tcBorders>
            <w:tcMar>
              <w:top w:w="0" w:type="dxa"/>
              <w:bottom w:w="0" w:type="dxa"/>
            </w:tcMar>
            <w:vAlign w:val="center"/>
          </w:tcPr>
          <w:p>
            <w:pPr>
              <w:pStyle w:val="Normal"/>
              <w:bidi w:val="0"/>
              <w:jc w:val="left"/>
              <w:rPr/>
            </w:pPr>
            <w:r>
              <w:rPr/>
            </w:r>
          </w:p>
        </w:tc>
      </w:tr>
      <w:tr>
        <w:trPr/>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76DCF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062" w:type="dxa"/>
            <w:gridSpan w:val="3"/>
            <w:vMerge w:val="continue"/>
            <w:tcBorders>
              <w:left w:val="single" w:sz="8" w:space="0" w:color="76DCFD"/>
              <w:right w:val="single" w:sz="8" w:space="0" w:color="FFFFFF"/>
            </w:tcBorders>
            <w:tcMar>
              <w:top w:w="0" w:type="dxa"/>
              <w:bottom w:w="0" w:type="dxa"/>
            </w:tcMar>
            <w:vAlign w:val="center"/>
          </w:tcPr>
          <w:p>
            <w:pPr>
              <w:pStyle w:val="Normal"/>
              <w:bidi w:val="0"/>
              <w:jc w:val="left"/>
              <w:rPr/>
            </w:pPr>
            <w:r>
              <w:rPr/>
            </w:r>
          </w:p>
        </w:tc>
      </w:tr>
      <w:tr>
        <w:trPr/>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vMerge w:val="restart"/>
            <w:tcBorders/>
            <w:tcMar>
              <w:top w:w="0" w:type="dxa"/>
              <w:left w:w="0" w:type="dxa"/>
              <w:bottom w:w="0" w:type="dxa"/>
              <w:right w:w="0" w:type="dxa"/>
            </w:tcMar>
            <w:vAlign w:val="center"/>
          </w:tcPr>
          <w:p>
            <w:pPr>
              <w:pStyle w:val="TableContents"/>
              <w:bidi w:val="0"/>
              <w:spacing w:lineRule="auto" w:line="288" w:before="0" w:after="0"/>
              <w:jc w:val="both"/>
              <w:rPr>
                <w:rFonts w:ascii="Poppins;sans-serif" w:hAnsi="Poppins;sans-serif"/>
                <w:b w:val="false"/>
                <w:i/>
                <w:color w:val="000000"/>
                <w:sz w:val="18"/>
              </w:rPr>
            </w:pPr>
            <w:r>
              <w:rPr>
                <w:rFonts w:ascii="Poppins;sans-serif" w:hAnsi="Poppins;sans-serif"/>
                <w:b w:val="false"/>
                <w:i/>
                <w:color w:val="000000"/>
                <w:sz w:val="18"/>
              </w:rPr>
              <w:t>Statements made in this news release that are not historical facts are "forward-looking statements" within the meaning of the Private Securities Litigation Reform Act of 1995, Section 27A of the Securities Act of 1933 and Section 21E of the Securities Exchange Act of 1934. Because forward-looking statements relate to the future, they are subject to inherent risks and uncertainties that could cause actual results to differ materially from those expressed or implied by such statements. Such risks and uncertainties include, but are not limited to, those discussed in the Company's Securities and Exchange Commission filings, including the Company's most recent reports on Form 10-K and Form 10-Q, particularly under the heading Risk Factors. Any forward-looking statement made in this news release speaks only as of the date of the news release, and the Company expressly disclaims any obligation to publicly update or revise any forward-looking statement, whether because of new information, future events or otherwise.</w:t>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71500" cy="571500"/>
                  <wp:effectExtent l="0" t="0" r="0" b="0"/>
                  <wp:docPr id="6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9" descr=""/>
                          <pic:cNvPicPr>
                            <a:picLocks noChangeAspect="1" noChangeArrowheads="1"/>
                          </pic:cNvPicPr>
                        </pic:nvPicPr>
                        <pic:blipFill>
                          <a:blip r:embed="rId52"/>
                          <a:stretch>
                            <a:fillRect/>
                          </a:stretch>
                        </pic:blipFill>
                        <pic:spPr bwMode="auto">
                          <a:xfrm>
                            <a:off x="0" y="0"/>
                            <a:ext cx="571500" cy="5715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left w:val="single" w:sz="8" w:space="0" w:color="76DCFD"/>
              <w:right w:val="single" w:sz="8" w:space="0" w:color="FFFFFF"/>
            </w:tcBorders>
            <w:tcMar>
              <w:top w:w="0" w:type="dxa"/>
              <w:left w:w="200" w:type="dxa"/>
              <w:bottom w:w="0" w:type="dxa"/>
            </w:tcMar>
            <w:vAlign w:val="center"/>
          </w:tcPr>
          <w:p>
            <w:pPr>
              <w:pStyle w:val="TableContents"/>
              <w:bidi w:val="0"/>
              <w:spacing w:lineRule="auto" w:line="240" w:before="0" w:after="283"/>
              <w:jc w:val="left"/>
              <w:rPr>
                <w:rFonts w:ascii="Poppins;sans-serif" w:hAnsi="Poppins;sans-serif"/>
                <w:b/>
                <w:color w:val="085CE5"/>
                <w:sz w:val="18"/>
              </w:rPr>
            </w:pPr>
            <w:r>
              <w:rPr>
                <w:rFonts w:ascii="Poppins;sans-serif" w:hAnsi="Poppins;sans-serif"/>
                <w:b/>
                <w:color w:val="085CE5"/>
                <w:sz w:val="18"/>
              </w:rPr>
              <w:t>MEDIA CONTACT</w:t>
            </w:r>
          </w:p>
        </w:tc>
      </w:tr>
      <w:tr>
        <w:trPr/>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left w:val="single" w:sz="8" w:space="0" w:color="76DCFD"/>
              <w:right w:val="single" w:sz="8" w:space="0" w:color="FFFFFF"/>
            </w:tcBorders>
            <w:tcMar>
              <w:top w:w="0" w:type="dxa"/>
              <w:bottom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Jeremy Elwood</w:t>
            </w:r>
          </w:p>
        </w:tc>
      </w:tr>
      <w:tr>
        <w:trPr/>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left w:val="single" w:sz="8" w:space="0" w:color="76DCFD"/>
              <w:right w:val="single" w:sz="8" w:space="0" w:color="FFFFFF"/>
            </w:tcBorders>
            <w:tcMar>
              <w:top w:w="0" w:type="dxa"/>
              <w:left w:w="200" w:type="dxa"/>
              <w:bottom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Corporate Communications</w:t>
            </w:r>
          </w:p>
        </w:tc>
      </w:tr>
      <w:tr>
        <w:trPr/>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left w:val="single" w:sz="8" w:space="0" w:color="76DCFD"/>
              <w:right w:val="single" w:sz="8" w:space="0" w:color="FFFFFF"/>
            </w:tcBorders>
            <w:tcMar>
              <w:top w:w="0" w:type="dxa"/>
              <w:left w:w="200" w:type="dxa"/>
              <w:bottom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Jack Henry &amp; Associates, Inc.</w:t>
            </w:r>
          </w:p>
        </w:tc>
      </w:tr>
      <w:tr>
        <w:trPr/>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left w:val="single" w:sz="8" w:space="0" w:color="76DCFD"/>
              <w:right w:val="single" w:sz="8" w:space="0" w:color="FFFFFF"/>
            </w:tcBorders>
            <w:tcMar>
              <w:top w:w="0" w:type="dxa"/>
              <w:bottom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417-235-6652</w:t>
            </w:r>
          </w:p>
        </w:tc>
      </w:tr>
      <w:tr>
        <w:trPr/>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left w:val="single" w:sz="8" w:space="0" w:color="76DCFD"/>
              <w:right w:val="single" w:sz="8" w:space="0" w:color="FFFFFF"/>
            </w:tcBorders>
            <w:tcMar>
              <w:top w:w="0" w:type="dxa"/>
              <w:bottom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JDElwood@jackhenry.com</w:t>
            </w:r>
          </w:p>
        </w:tc>
      </w:tr>
      <w:tr>
        <w:trPr/>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left w:val="single" w:sz="8" w:space="0" w:color="76DCFD"/>
              <w:right w:val="single" w:sz="8" w:space="0" w:color="FFFFFF"/>
            </w:tcBorders>
            <w:tcMar>
              <w:top w:w="0" w:type="dxa"/>
              <w:left w:w="200" w:type="dxa"/>
              <w:bottom w:w="0" w:type="dxa"/>
            </w:tcMar>
            <w:vAlign w:val="center"/>
          </w:tcPr>
          <w:p>
            <w:pPr>
              <w:pStyle w:val="TableContents"/>
              <w:bidi w:val="0"/>
              <w:spacing w:lineRule="auto" w:line="240" w:before="0" w:after="283"/>
              <w:jc w:val="left"/>
              <w:rPr>
                <w:rFonts w:ascii="Poppins;sans-serif" w:hAnsi="Poppins;sans-serif"/>
                <w:b/>
                <w:color w:val="085CE5"/>
                <w:sz w:val="18"/>
              </w:rPr>
            </w:pPr>
            <w:r>
              <w:rPr>
                <w:rFonts w:ascii="Poppins;sans-serif" w:hAnsi="Poppins;sans-serif"/>
                <w:b/>
                <w:color w:val="085CE5"/>
                <w:sz w:val="18"/>
              </w:rPr>
              <w:t>ANALYST CONTACT</w:t>
            </w:r>
          </w:p>
        </w:tc>
      </w:tr>
      <w:tr>
        <w:trPr/>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left w:val="single" w:sz="8" w:space="0" w:color="76DCFD"/>
              <w:right w:val="single" w:sz="8" w:space="0" w:color="FFFFFF"/>
            </w:tcBorders>
            <w:tcMar>
              <w:top w:w="0" w:type="dxa"/>
              <w:left w:w="200" w:type="dxa"/>
              <w:bottom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Vance Sherard, CFA</w:t>
            </w:r>
          </w:p>
        </w:tc>
      </w:tr>
      <w:tr>
        <w:trPr/>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left w:val="single" w:sz="8" w:space="0" w:color="76DCFD"/>
              <w:right w:val="single" w:sz="8" w:space="0" w:color="FFFFFF"/>
            </w:tcBorders>
            <w:tcMar>
              <w:top w:w="0" w:type="dxa"/>
              <w:left w:w="200" w:type="dxa"/>
              <w:bottom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Investor Relations</w:t>
            </w:r>
          </w:p>
        </w:tc>
      </w:tr>
      <w:tr>
        <w:trPr/>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left w:val="single" w:sz="8" w:space="0" w:color="76DCFD"/>
              <w:right w:val="single" w:sz="8" w:space="0" w:color="FFFFFF"/>
            </w:tcBorders>
            <w:tcMar>
              <w:top w:w="0" w:type="dxa"/>
              <w:left w:w="200" w:type="dxa"/>
              <w:bottom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Jack Henry &amp; Associates, Inc.</w:t>
            </w:r>
          </w:p>
        </w:tc>
      </w:tr>
      <w:tr>
        <w:trPr/>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left w:val="single" w:sz="8" w:space="0" w:color="76DCFD"/>
              <w:right w:val="single" w:sz="8" w:space="0" w:color="FFFFFF"/>
            </w:tcBorders>
            <w:tcMar>
              <w:top w:w="0" w:type="dxa"/>
              <w:left w:w="200" w:type="dxa"/>
              <w:bottom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417-235-6652</w:t>
            </w:r>
          </w:p>
        </w:tc>
      </w:tr>
      <w:tr>
        <w:trPr/>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left w:val="single" w:sz="8" w:space="0" w:color="76DCFD"/>
              <w:right w:val="single" w:sz="8" w:space="0" w:color="FFFFFF"/>
            </w:tcBorders>
            <w:tcMar>
              <w:top w:w="0" w:type="dxa"/>
              <w:left w:w="200" w:type="dxa"/>
              <w:bottom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VSherard@jackhenry.com</w:t>
            </w:r>
          </w:p>
        </w:tc>
      </w:tr>
    </w:tbl>
    <w:p>
      <w:pPr>
        <w:pStyle w:val="TextBody"/>
        <w:bidi w:val="0"/>
        <w:spacing w:lineRule="auto" w:line="288" w:before="0" w:after="0"/>
        <w:ind w:left="0" w:right="0" w:hanging="630"/>
        <w:jc w:val="right"/>
        <w:rPr/>
      </w:pPr>
      <w:r>
        <w:rPr/>
        <w:drawing>
          <wp:inline distT="0" distB="0" distL="0" distR="0">
            <wp:extent cx="7772400" cy="95250"/>
            <wp:effectExtent l="0" t="0" r="0" b="0"/>
            <wp:docPr id="6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1" descr=""/>
                    <pic:cNvPicPr>
                      <a:picLocks noChangeAspect="1" noChangeArrowheads="1"/>
                    </pic:cNvPicPr>
                  </pic:nvPicPr>
                  <pic:blipFill>
                    <a:blip r:embed="rId53"/>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814705"/>
                <wp:effectExtent l="0" t="0" r="0" b="0"/>
                <wp:wrapNone/>
                <wp:docPr id="68" name="Frame16"/>
                <a:graphic xmlns:a="http://schemas.openxmlformats.org/drawingml/2006/main">
                  <a:graphicData uri="http://schemas.microsoft.com/office/word/2010/wordprocessingShape">
                    <wps:wsp>
                      <wps:cNvSpPr txBox="1"/>
                      <wps:spPr>
                        <a:xfrm>
                          <a:off x="0" y="0"/>
                          <a:ext cx="6480175" cy="814705"/>
                        </a:xfrm>
                        <a:prstGeom prst="rect"/>
                        <a:solidFill>
                          <a:srgbClr val="FFFFFF"/>
                        </a:solidFill>
                      </wps:spPr>
                      <wps:txbx>
                        <w:txbxContent>
                          <w:tbl>
                            <w:tblPr>
                              <w:tblW w:w="2979"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14"/>
                              <w:gridCol w:w="114"/>
                              <w:gridCol w:w="163"/>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6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0" descr=""/>
                                                <pic:cNvPicPr>
                                                  <a:picLocks noChangeAspect="1" noChangeArrowheads="1"/>
                                                </pic:cNvPicPr>
                                              </pic:nvPicPr>
                                              <pic:blipFill>
                                                <a:blip r:embed="rId54"/>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15pt;mso-wrap-distance-left:0pt;mso-wrap-distance-right:0pt;mso-wrap-distance-top:0pt;mso-wrap-distance-bottom:0pt;margin-top:0pt;mso-position-vertical:top;mso-position-vertical-relative:text;margin-left:0pt;mso-position-horizontal:left;mso-position-horizontal-relative:text">
                <v:textbox>
                  <w:txbxContent>
                    <w:tbl>
                      <w:tblPr>
                        <w:tblW w:w="2979"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14"/>
                        <w:gridCol w:w="114"/>
                        <w:gridCol w:w="163"/>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7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0" descr=""/>
                                          <pic:cNvPicPr>
                                            <a:picLocks noChangeAspect="1" noChangeArrowheads="1"/>
                                          </pic:cNvPicPr>
                                        </pic:nvPicPr>
                                        <pic:blipFill>
                                          <a:blip r:embed="rId55"/>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959" w:type="dxa"/>
        <w:jc w:val="left"/>
        <w:tblInd w:w="0" w:type="dxa"/>
        <w:tblLayout w:type="fixed"/>
        <w:tblCellMar>
          <w:top w:w="28" w:type="dxa"/>
          <w:left w:w="28" w:type="dxa"/>
          <w:bottom w:w="28" w:type="dxa"/>
          <w:right w:w="28" w:type="dxa"/>
        </w:tblCellMar>
      </w:tblPr>
      <w:tblGrid>
        <w:gridCol w:w="708"/>
        <w:gridCol w:w="358"/>
        <w:gridCol w:w="360"/>
        <w:gridCol w:w="226"/>
        <w:gridCol w:w="961"/>
        <w:gridCol w:w="109"/>
        <w:gridCol w:w="109"/>
        <w:gridCol w:w="109"/>
        <w:gridCol w:w="109"/>
        <w:gridCol w:w="226"/>
        <w:gridCol w:w="946"/>
        <w:gridCol w:w="109"/>
        <w:gridCol w:w="109"/>
        <w:gridCol w:w="109"/>
        <w:gridCol w:w="109"/>
        <w:gridCol w:w="306"/>
        <w:gridCol w:w="310"/>
        <w:gridCol w:w="538"/>
        <w:gridCol w:w="109"/>
        <w:gridCol w:w="109"/>
        <w:gridCol w:w="109"/>
        <w:gridCol w:w="226"/>
        <w:gridCol w:w="1156"/>
        <w:gridCol w:w="109"/>
        <w:gridCol w:w="109"/>
        <w:gridCol w:w="109"/>
        <w:gridCol w:w="109"/>
        <w:gridCol w:w="226"/>
        <w:gridCol w:w="1126"/>
        <w:gridCol w:w="109"/>
        <w:gridCol w:w="109"/>
        <w:gridCol w:w="109"/>
        <w:gridCol w:w="109"/>
        <w:gridCol w:w="306"/>
        <w:gridCol w:w="310"/>
        <w:gridCol w:w="599"/>
      </w:tblGrid>
      <w:tr>
        <w:trPr/>
        <w:tc>
          <w:tcPr>
            <w:tcW w:w="7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0959"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Consolidated Statements of Income (Unaudited)</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(Dollars in thousands, except per share data)</w:t>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6"/>
              </w:rPr>
            </w:pPr>
            <w:r>
              <w:rPr>
                <w:rFonts w:ascii="Poppins;sans-serif" w:hAnsi="Poppins;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6"/>
              </w:rPr>
            </w:pPr>
            <w:r>
              <w:rPr>
                <w:rFonts w:ascii="Poppins;sans-serif" w:hAnsi="Poppins;sans-serif"/>
                <w:b w:val="false"/>
                <w:color w:val="000000"/>
                <w:sz w:val="16"/>
              </w:rPr>
              <w:t>% Change</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644,023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615,372 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4.7</w:t>
            </w:r>
            <w:r>
              <w:rPr>
                <w:color w:val="000000"/>
              </w:rPr>
              <w:t>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2,544,339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2,375,288 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7.1</w:t>
            </w:r>
            <w:r>
              <w:rPr>
                <w:color w:val="000000"/>
              </w:rPr>
              <w:t>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Cost of Revenue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370,175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343,879 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7.6</w:t>
            </w:r>
            <w:r>
              <w:rPr>
                <w:color w:val="000000"/>
              </w:rPr>
              <w:t> </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1,433,651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1,360,747 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5.4</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Research and Development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49,830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42,580 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17.0</w:t>
            </w:r>
            <w:r>
              <w:rPr>
                <w:color w:val="000000"/>
              </w:rPr>
              <w:t> </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176,445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162,771 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8.4</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Selling, General, and Administrative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87,245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73,216 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19.2</w:t>
            </w:r>
            <w:r>
              <w:rPr>
                <w:color w:val="000000"/>
              </w:rPr>
              <w:t> </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299,210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283,055 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5.7</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EXPENSES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507,250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459,675 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10.3</w:t>
            </w:r>
            <w:r>
              <w:rPr>
                <w:color w:val="000000"/>
              </w:rPr>
              <w:t>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1,909,306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1,806,573 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5.7</w:t>
            </w:r>
            <w:r>
              <w:rPr>
                <w:color w:val="000000"/>
              </w:rPr>
              <w:t>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OPERATING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136,773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155,697 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(12.2)</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635,033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568,715 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11.7</w:t>
            </w:r>
            <w:r>
              <w:rPr>
                <w:color w:val="000000"/>
              </w:rPr>
              <w:t>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Interest income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4,949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6,354 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(22.1)</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23,144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27,759 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(16.6)</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Interest expense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(1,984)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(2,102)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(5.6)</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(5,387)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(10,438)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(48.4)</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Interest Income, net</w:t>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2,965</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4,252 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(30.3)</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17,757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17,321 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2.5</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INCOME BEFORE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139,738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159,949 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(12.6)</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652,790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586,036 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11.4</w:t>
            </w:r>
            <w:r>
              <w:rPr>
                <w:color w:val="000000"/>
              </w:rPr>
              <w:t>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Provision for Income Taxes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28,510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32,345 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(11.9)</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150,014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130,288 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15.1</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NET INCOME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111,228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127,604 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(12.8)</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502,776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455,748 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10.3</w:t>
            </w:r>
            <w:r>
              <w:rPr>
                <w:color w:val="000000"/>
              </w:rPr>
              <w:t>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Diluted net income per share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1.57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Diluted weighted average shares outstanding</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70,872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73,005 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72,043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73,045 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9"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Consolidated Balance Sheet Highlights (Unaudited)</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(In thousands)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6"/>
              </w:rPr>
            </w:pPr>
            <w:r>
              <w:rPr>
                <w:rFonts w:ascii="Poppins;sans-serif" w:hAnsi="Poppins;sans-serif"/>
                <w:b w:val="false"/>
                <w:color w:val="000000"/>
                <w:sz w:val="16"/>
              </w:rPr>
              <w:t>% Change</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Cash and cash equivalents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12,056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101,953 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(88.2)</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Receivables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349,111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317,977 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9.8</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Total 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3,145,711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3,043,970 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3.3</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Accounts payable and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261,476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245,299 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6.6</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Debt</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40,000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Deferred revenue</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372,472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363,374 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2.5</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Stockholders' equity</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2,051,949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2,130,832 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(3.7)</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630"/>
        <w:jc w:val="right"/>
        <w:rPr/>
      </w:pPr>
      <w:r>
        <w:rPr/>
        <w:drawing>
          <wp:inline distT="0" distB="0" distL="0" distR="0">
            <wp:extent cx="7772400" cy="95250"/>
            <wp:effectExtent l="0" t="0" r="0" b="0"/>
            <wp:docPr id="7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3" descr=""/>
                    <pic:cNvPicPr>
                      <a:picLocks noChangeAspect="1" noChangeArrowheads="1"/>
                    </pic:cNvPicPr>
                  </pic:nvPicPr>
                  <pic:blipFill>
                    <a:blip r:embed="rId56"/>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814705"/>
                <wp:effectExtent l="0" t="0" r="0" b="0"/>
                <wp:wrapNone/>
                <wp:docPr id="72" name="Frame17"/>
                <a:graphic xmlns:a="http://schemas.openxmlformats.org/drawingml/2006/main">
                  <a:graphicData uri="http://schemas.microsoft.com/office/word/2010/wordprocessingShape">
                    <wps:wsp>
                      <wps:cNvSpPr txBox="1"/>
                      <wps:spPr>
                        <a:xfrm>
                          <a:off x="0" y="0"/>
                          <a:ext cx="6480175" cy="814705"/>
                        </a:xfrm>
                        <a:prstGeom prst="rect"/>
                        <a:solidFill>
                          <a:srgbClr val="FFFFFF"/>
                        </a:solidFill>
                      </wps:spPr>
                      <wps:txbx>
                        <w:txbxContent>
                          <w:tbl>
                            <w:tblPr>
                              <w:tblW w:w="2979"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14"/>
                              <w:gridCol w:w="114"/>
                              <w:gridCol w:w="163"/>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7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2" descr=""/>
                                                <pic:cNvPicPr>
                                                  <a:picLocks noChangeAspect="1" noChangeArrowheads="1"/>
                                                </pic:cNvPicPr>
                                              </pic:nvPicPr>
                                              <pic:blipFill>
                                                <a:blip r:embed="rId57"/>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15pt;mso-wrap-distance-left:0pt;mso-wrap-distance-right:0pt;mso-wrap-distance-top:0pt;mso-wrap-distance-bottom:0pt;margin-top:0pt;mso-position-vertical:top;mso-position-vertical-relative:text;margin-left:0pt;mso-position-horizontal:left;mso-position-horizontal-relative:text">
                <v:textbox>
                  <w:txbxContent>
                    <w:tbl>
                      <w:tblPr>
                        <w:tblW w:w="2979"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14"/>
                        <w:gridCol w:w="114"/>
                        <w:gridCol w:w="163"/>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7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42" descr=""/>
                                          <pic:cNvPicPr>
                                            <a:picLocks noChangeAspect="1" noChangeArrowheads="1"/>
                                          </pic:cNvPicPr>
                                        </pic:nvPicPr>
                                        <pic:blipFill>
                                          <a:blip r:embed="rId58"/>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9" w:type="dxa"/>
        <w:jc w:val="left"/>
        <w:tblInd w:w="0" w:type="dxa"/>
        <w:tblLayout w:type="fixed"/>
        <w:tblCellMar>
          <w:top w:w="28" w:type="dxa"/>
          <w:left w:w="28" w:type="dxa"/>
          <w:bottom w:w="28" w:type="dxa"/>
          <w:right w:w="28" w:type="dxa"/>
        </w:tblCellMar>
      </w:tblPr>
      <w:tblGrid>
        <w:gridCol w:w="674"/>
        <w:gridCol w:w="315"/>
        <w:gridCol w:w="317"/>
        <w:gridCol w:w="226"/>
        <w:gridCol w:w="961"/>
        <w:gridCol w:w="109"/>
        <w:gridCol w:w="109"/>
        <w:gridCol w:w="109"/>
        <w:gridCol w:w="109"/>
        <w:gridCol w:w="226"/>
        <w:gridCol w:w="946"/>
        <w:gridCol w:w="109"/>
        <w:gridCol w:w="109"/>
        <w:gridCol w:w="109"/>
        <w:gridCol w:w="109"/>
        <w:gridCol w:w="248"/>
        <w:gridCol w:w="248"/>
        <w:gridCol w:w="538"/>
        <w:gridCol w:w="109"/>
        <w:gridCol w:w="109"/>
        <w:gridCol w:w="109"/>
        <w:gridCol w:w="226"/>
        <w:gridCol w:w="961"/>
        <w:gridCol w:w="109"/>
        <w:gridCol w:w="109"/>
        <w:gridCol w:w="109"/>
        <w:gridCol w:w="109"/>
        <w:gridCol w:w="226"/>
        <w:gridCol w:w="946"/>
        <w:gridCol w:w="109"/>
        <w:gridCol w:w="109"/>
        <w:gridCol w:w="109"/>
        <w:gridCol w:w="109"/>
        <w:gridCol w:w="240"/>
        <w:gridCol w:w="241"/>
        <w:gridCol w:w="599"/>
      </w:tblGrid>
      <w:tr>
        <w:trPr/>
        <w:tc>
          <w:tcPr>
            <w:tcW w:w="67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0209" w:type="dxa"/>
            <w:gridSpan w:val="36"/>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Calculation of Non-GAAP Earnings Before Interest Income, Net, Income Taxes, Depreciation and Amortization (Non-GAAP EBITDA)</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6"/>
              </w:rPr>
            </w:pPr>
            <w:r>
              <w:rPr>
                <w:rFonts w:ascii="Poppins;sans-serif" w:hAnsi="Poppins;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6"/>
              </w:rPr>
            </w:pPr>
            <w:r>
              <w:rPr>
                <w:rFonts w:ascii="Poppins;sans-serif" w:hAnsi="Poppins;sans-serif"/>
                <w:b w:val="false"/>
                <w:color w:val="000000"/>
                <w:sz w:val="16"/>
              </w:rPr>
              <w:t>% Change</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6"/>
              </w:rPr>
            </w:pPr>
            <w:r>
              <w:rPr>
                <w:rFonts w:ascii="Poppins;sans-serif" w:hAnsi="Poppins;sans-serif"/>
                <w:b w:val="false"/>
                <w:color w:val="000000"/>
                <w:sz w:val="16"/>
              </w:rPr>
              <w:t>(Dollars 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Net income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111,228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127,604 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502,776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455,748 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Net interest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(2,965)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(4,252)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(17,757)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(17,321)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Taxes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28,510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32,345 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150,013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130,288 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Depreciation and amortization</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54,541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51,490 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213,241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204,751 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Less: Net income before interest expense, taxes, depreciation and amortization attributable to eliminated one-time adjustments*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(3,954)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(18,118)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(35,244)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(30,021)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EBITDA</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187,360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189,069 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(0.9)</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813,029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743,445 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9.4</w:t>
            </w:r>
            <w:r>
              <w:rPr>
                <w:color w:val="000000"/>
              </w:rPr>
              <w:t>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0209" w:type="dxa"/>
            <w:gridSpan w:val="36"/>
            <w:tcBorders/>
            <w:tcMar>
              <w:top w:w="0" w:type="dxa"/>
              <w:left w:w="0" w:type="dxa"/>
              <w:bottom w:w="0" w:type="dxa"/>
              <w:right w:w="0" w:type="dxa"/>
            </w:tcMar>
            <w:vAlign w:val="center"/>
          </w:tcPr>
          <w:p>
            <w:pPr>
              <w:pStyle w:val="TableContents"/>
              <w:bidi w:val="0"/>
              <w:spacing w:lineRule="auto" w:line="288" w:before="0" w:after="0"/>
              <w:jc w:val="both"/>
              <w:rPr>
                <w:rFonts w:ascii="Poppins;sans-serif" w:hAnsi="Poppins;sans-serif"/>
                <w:b w:val="false"/>
                <w:color w:val="000000"/>
                <w:sz w:val="16"/>
              </w:rPr>
            </w:pPr>
            <w:r>
              <w:rPr>
                <w:rFonts w:ascii="Poppins;sans-serif" w:hAnsi="Poppins;sans-serif"/>
                <w:b w:val="false"/>
                <w:color w:val="000000"/>
                <w:sz w:val="16"/>
              </w:rPr>
              <w:t>*The fiscal fourth quarter 2026 and 2025 adjustments for net income before interest expense, taxes, depreciation and amortization were for deconversions of ($4,616) and an acquisition of $662, and were for deconversions of ($17,938) and a contract change of ($180), respectively. The fiscal year 2026 and 2025 adjustments were for deconversions of ($29,953), a gain on assets, net, of ($6,829), and an acquisition of $1,538, and were for deconversions of ($27,663) and a contractual change of ($2,358), respectively.</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Calculation of Free Cash Flow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6"/>
              </w:rPr>
            </w:pPr>
            <w:r>
              <w:rPr>
                <w:rFonts w:ascii="Poppins;sans-serif" w:hAnsi="Poppins;sans-serif"/>
                <w:b w:val="false"/>
                <w:color w:val="000000"/>
                <w:sz w:val="16"/>
              </w:rPr>
              <w:t>(In thousands)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Net cash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761,960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641,504 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Capitalized expenditures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(67,103)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(53,358)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Internal use software</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(4,108)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(5,363)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Proceeds from sale of 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32,827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Capitalized software</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(184,243)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(172,445)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FREE CASH FLOW</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539,333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410,341 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Net income</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502,776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455,748 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Operating cash conversion*</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151.6%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140.8%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Free cash flow conversion (excluding proceeds from sale of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100.7%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90.0%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9" w:type="dxa"/>
            <w:gridSpan w:val="36"/>
            <w:tcBorders/>
            <w:tcMar>
              <w:top w:w="0" w:type="dxa"/>
              <w:left w:w="0" w:type="dxa"/>
              <w:bottom w:w="0" w:type="dxa"/>
              <w:right w:w="0" w:type="dxa"/>
            </w:tcMar>
            <w:vAlign w:val="center"/>
          </w:tcPr>
          <w:p>
            <w:pPr>
              <w:pStyle w:val="TableContents"/>
              <w:bidi w:val="0"/>
              <w:spacing w:lineRule="auto" w:line="240" w:before="0" w:after="0"/>
              <w:jc w:val="both"/>
              <w:rPr>
                <w:rFonts w:ascii="Poppins;sans-serif" w:hAnsi="Poppins;sans-serif"/>
                <w:b w:val="false"/>
                <w:color w:val="000000"/>
                <w:sz w:val="18"/>
              </w:rPr>
            </w:pPr>
            <w:r>
              <w:rPr>
                <w:rFonts w:ascii="Poppins;sans-serif" w:hAnsi="Poppins;sans-serif"/>
                <w:b w:val="false"/>
                <w:color w:val="000000"/>
                <w:sz w:val="18"/>
              </w:rPr>
              <w:t>*Operating cash conversion is net cash from operating activities divided by net income. Free cash flow conversion is free cash flow less proceeds from sale of assets of $32,827 for fiscal 2026 and $3 for fiscal 2025 divided by net income.</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0"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Calculation of the Return on Average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6"/>
              </w:rPr>
            </w:pPr>
            <w:r>
              <w:rPr>
                <w:rFonts w:ascii="Poppins;sans-serif" w:hAnsi="Poppins;sans-serif"/>
                <w:b w:val="false"/>
                <w:color w:val="000000"/>
                <w:sz w:val="16"/>
              </w:rPr>
              <w:t>(In thousands)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Net income (trailing four 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502,776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455,748 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Average stockholder's equity (period beginning and ending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2,091,391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1,986,598 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RETURN ON AVERAGE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22.9%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0" w:type="dxa"/>
            <w:gridSpan w:val="27"/>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630"/>
        <w:jc w:val="right"/>
        <w:rPr/>
      </w:pPr>
      <w:r>
        <w:rPr/>
        <w:drawing>
          <wp:inline distT="0" distB="0" distL="0" distR="0">
            <wp:extent cx="7772400" cy="95250"/>
            <wp:effectExtent l="0" t="0" r="0" b="0"/>
            <wp:docPr id="7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5" descr=""/>
                    <pic:cNvPicPr>
                      <a:picLocks noChangeAspect="1" noChangeArrowheads="1"/>
                    </pic:cNvPicPr>
                  </pic:nvPicPr>
                  <pic:blipFill>
                    <a:blip r:embed="rId59"/>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814705"/>
                <wp:effectExtent l="0" t="0" r="0" b="0"/>
                <wp:wrapNone/>
                <wp:docPr id="76" name="Frame18"/>
                <a:graphic xmlns:a="http://schemas.openxmlformats.org/drawingml/2006/main">
                  <a:graphicData uri="http://schemas.microsoft.com/office/word/2010/wordprocessingShape">
                    <wps:wsp>
                      <wps:cNvSpPr txBox="1"/>
                      <wps:spPr>
                        <a:xfrm>
                          <a:off x="0" y="0"/>
                          <a:ext cx="6480175" cy="814705"/>
                        </a:xfrm>
                        <a:prstGeom prst="rect"/>
                        <a:solidFill>
                          <a:srgbClr val="FFFFFF"/>
                        </a:solidFill>
                      </wps:spPr>
                      <wps:txbx>
                        <w:txbxContent>
                          <w:tbl>
                            <w:tblPr>
                              <w:tblW w:w="2979"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14"/>
                              <w:gridCol w:w="114"/>
                              <w:gridCol w:w="163"/>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7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44" descr=""/>
                                                <pic:cNvPicPr>
                                                  <a:picLocks noChangeAspect="1" noChangeArrowheads="1"/>
                                                </pic:cNvPicPr>
                                              </pic:nvPicPr>
                                              <pic:blipFill>
                                                <a:blip r:embed="rId60"/>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15pt;mso-wrap-distance-left:0pt;mso-wrap-distance-right:0pt;mso-wrap-distance-top:0pt;mso-wrap-distance-bottom:0pt;margin-top:0pt;mso-position-vertical:top;mso-position-vertical-relative:text;margin-left:0pt;mso-position-horizontal:left;mso-position-horizontal-relative:text">
                <v:textbox>
                  <w:txbxContent>
                    <w:tbl>
                      <w:tblPr>
                        <w:tblW w:w="2979"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14"/>
                        <w:gridCol w:w="114"/>
                        <w:gridCol w:w="163"/>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7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4" descr=""/>
                                          <pic:cNvPicPr>
                                            <a:picLocks noChangeAspect="1" noChangeArrowheads="1"/>
                                          </pic:cNvPicPr>
                                        </pic:nvPicPr>
                                        <pic:blipFill>
                                          <a:blip r:embed="rId61"/>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066" w:type="dxa"/>
        <w:jc w:val="left"/>
        <w:tblInd w:w="0" w:type="dxa"/>
        <w:tblLayout w:type="fixed"/>
        <w:tblCellMar>
          <w:top w:w="28" w:type="dxa"/>
          <w:left w:w="28" w:type="dxa"/>
          <w:bottom w:w="28" w:type="dxa"/>
          <w:right w:w="28" w:type="dxa"/>
        </w:tblCellMar>
      </w:tblPr>
      <w:tblGrid>
        <w:gridCol w:w="1561"/>
        <w:gridCol w:w="1369"/>
        <w:gridCol w:w="1376"/>
        <w:gridCol w:w="115"/>
        <w:gridCol w:w="115"/>
        <w:gridCol w:w="115"/>
        <w:gridCol w:w="115"/>
        <w:gridCol w:w="115"/>
        <w:gridCol w:w="115"/>
        <w:gridCol w:w="115"/>
        <w:gridCol w:w="115"/>
        <w:gridCol w:w="115"/>
        <w:gridCol w:w="115"/>
        <w:gridCol w:w="115"/>
        <w:gridCol w:w="115"/>
        <w:gridCol w:w="115"/>
        <w:gridCol w:w="115"/>
        <w:gridCol w:w="115"/>
        <w:gridCol w:w="109"/>
        <w:gridCol w:w="109"/>
        <w:gridCol w:w="109"/>
        <w:gridCol w:w="241"/>
        <w:gridCol w:w="1051"/>
        <w:gridCol w:w="109"/>
        <w:gridCol w:w="109"/>
        <w:gridCol w:w="109"/>
        <w:gridCol w:w="109"/>
        <w:gridCol w:w="226"/>
        <w:gridCol w:w="946"/>
        <w:gridCol w:w="109"/>
        <w:gridCol w:w="109"/>
        <w:gridCol w:w="109"/>
        <w:gridCol w:w="109"/>
        <w:gridCol w:w="109"/>
        <w:gridCol w:w="109"/>
        <w:gridCol w:w="154"/>
      </w:tblGrid>
      <w:tr>
        <w:trPr/>
        <w:tc>
          <w:tcPr>
            <w:tcW w:w="156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Calculation of NOPAT ROIC (Non-GAAP)</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6"/>
              </w:rPr>
            </w:pPr>
            <w:r>
              <w:rPr>
                <w:rFonts w:ascii="Poppins;sans-serif" w:hAnsi="Poppins;sans-serif"/>
                <w:b w:val="false"/>
                <w:color w:val="000000"/>
                <w:sz w:val="16"/>
              </w:rPr>
              <w:t>(In thousands)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Operating income (trailing four quarters)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20"/>
              </w:rPr>
              <w:t>635,033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568,715 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341"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Average Effective Tax Rate (trailing four quarters)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22.8%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20"/>
              </w:rPr>
            </w:pPr>
            <w:r>
              <w:rPr>
                <w:rFonts w:ascii="Poppins;sans-serif" w:hAnsi="Poppins;sans-serif"/>
                <w:b w:val="false"/>
                <w:color w:val="000000"/>
                <w:sz w:val="20"/>
              </w:rPr>
              <w:t>22.2%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NOPAT operating income (trailing four 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20"/>
              </w:rPr>
              <w:t>490,245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442,460 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Average invested capital (period beginning and ending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20"/>
              </w:rPr>
              <w:t>2,111,391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2,061,598 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NOPAT ROIC</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20"/>
              </w:rPr>
            </w:pPr>
            <w:r>
              <w:rPr>
                <w:rFonts w:ascii="Poppins;sans-serif" w:hAnsi="Poppins;sans-serif"/>
                <w:b w:val="false"/>
                <w:color w:val="000000"/>
                <w:sz w:val="20"/>
              </w:rPr>
              <w:t>21.5%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Poppins;sans-serif" w:hAnsi="Poppins;sans-serif"/>
          <w:b w:val="false"/>
          <w:color w:val="000000"/>
          <w:sz w:val="18"/>
        </w:rPr>
      </w:pPr>
      <w:r>
        <w:rPr>
          <w:rFonts w:ascii="Poppins;sans-serif" w:hAnsi="Poppins;sans-serif"/>
          <w:b w:val="false"/>
          <w:color w:val="000000"/>
          <w:sz w:val="18"/>
        </w:rPr>
        <w:t>*NOPAT operating income is calculated by multiplying the trailing four quarters operating income by one minus the average ETR. NOPAT ROIC is calculated by dividing NOPAT operating income by average invested capital (period beginning and ending balances).</w:t>
      </w:r>
    </w:p>
    <w:p>
      <w:pPr>
        <w:pStyle w:val="TextBody"/>
        <w:bidi w:val="0"/>
        <w:spacing w:before="0" w:after="120"/>
        <w:jc w:val="left"/>
        <w:rPr/>
      </w:pPr>
      <w:r>
        <w:rPr/>
      </w:r>
    </w:p>
    <w:p>
      <w:pPr>
        <w:pStyle w:val="TextBody"/>
        <w:bidi w:val="0"/>
        <w:spacing w:lineRule="auto" w:line="288" w:before="0" w:after="120"/>
        <w:jc w:val="left"/>
        <w:rPr>
          <w:rFonts w:ascii="Poppins;sans-serif" w:hAnsi="Poppins;sans-serif"/>
          <w:b/>
          <w:color w:val="000000"/>
          <w:sz w:val="20"/>
        </w:rPr>
      </w:pPr>
      <w:r>
        <w:rPr>
          <w:rFonts w:ascii="Poppins;sans-serif" w:hAnsi="Poppins;sans-serif"/>
          <w:b/>
          <w:color w:val="000000"/>
          <w:sz w:val="20"/>
        </w:rPr>
        <w:t>FAQ for Analysts / Investors</w:t>
      </w:r>
    </w:p>
    <w:p>
      <w:pPr>
        <w:pStyle w:val="TextBody"/>
        <w:bidi w:val="0"/>
        <w:spacing w:lineRule="auto" w:line="288" w:before="0" w:after="120"/>
        <w:ind w:left="0" w:right="0" w:hanging="360"/>
        <w:jc w:val="left"/>
        <w:rPr>
          <w:rFonts w:ascii="Poppins;sans-serif" w:hAnsi="Poppins;sans-serif"/>
          <w:b/>
          <w:color w:val="000000"/>
          <w:sz w:val="20"/>
        </w:rPr>
      </w:pPr>
      <w:r>
        <w:rPr>
          <w:rFonts w:ascii="Poppins;sans-serif" w:hAnsi="Poppins;sans-serif"/>
          <w:b/>
          <w:color w:val="000000"/>
          <w:sz w:val="20"/>
        </w:rPr>
        <w:t>1.Why does fiscal 2025 non-GAAP revenue used for growth calculation not match reported fiscal 2025 non-GAAP revenue?</w:t>
      </w:r>
    </w:p>
    <w:p>
      <w:pPr>
        <w:pStyle w:val="TextBody"/>
        <w:bidi w:val="0"/>
        <w:spacing w:lineRule="auto" w:line="288" w:before="0" w:after="120"/>
        <w:ind w:left="0" w:right="0" w:hanging="360"/>
        <w:jc w:val="both"/>
        <w:rPr/>
      </w:pPr>
      <w:r>
        <w:rPr>
          <w:color w:val="000000"/>
        </w:rPr>
        <w:t>•</w:t>
      </w:r>
      <w:r>
        <w:rPr>
          <w:rFonts w:ascii="Poppins;sans-serif" w:hAnsi="Poppins;sans-serif"/>
          <w:b w:val="false"/>
          <w:color w:val="000000"/>
          <w:sz w:val="20"/>
        </w:rPr>
        <w:t>The restructuring of a third-party agreement resulted in a $16 million fiscal year-over-year revenue headwind, with $12 million of that in the first quarter and $4 million additional in the second, third, and fourth quarters.</w:t>
      </w:r>
    </w:p>
    <w:p>
      <w:pPr>
        <w:pStyle w:val="TextBody"/>
        <w:bidi w:val="0"/>
        <w:spacing w:lineRule="auto" w:line="288" w:before="0" w:after="120"/>
        <w:ind w:left="0" w:right="0" w:hanging="360"/>
        <w:jc w:val="both"/>
        <w:rPr/>
      </w:pPr>
      <w:r>
        <w:rPr>
          <w:color w:val="000000"/>
        </w:rPr>
        <w:t>•</w:t>
      </w:r>
      <w:r>
        <w:rPr>
          <w:rFonts w:ascii="Poppins;sans-serif" w:hAnsi="Poppins;sans-serif"/>
          <w:b w:val="false"/>
          <w:color w:val="000000"/>
          <w:sz w:val="20"/>
        </w:rPr>
        <w:t>This restructuring also resulted in a decrease in the related costs and the impact on margins was minimal.</w:t>
      </w:r>
    </w:p>
    <w:p>
      <w:pPr>
        <w:pStyle w:val="TextBody"/>
        <w:bidi w:val="0"/>
        <w:spacing w:lineRule="auto" w:line="288" w:before="0" w:after="120"/>
        <w:ind w:left="0" w:right="0" w:hanging="360"/>
        <w:jc w:val="both"/>
        <w:rPr/>
      </w:pPr>
      <w:r>
        <w:rPr>
          <w:color w:val="000000"/>
        </w:rPr>
        <w:t>•</w:t>
      </w:r>
      <w:r>
        <w:rPr>
          <w:rFonts w:ascii="Poppins;sans-serif" w:hAnsi="Poppins;sans-serif"/>
          <w:b w:val="false"/>
          <w:color w:val="000000"/>
          <w:sz w:val="20"/>
        </w:rPr>
        <w:t>This was adjusted for a consistent fiscal year-over-year comparison.</w:t>
      </w:r>
    </w:p>
    <w:p>
      <w:pPr>
        <w:pStyle w:val="TextBody"/>
        <w:bidi w:val="0"/>
        <w:spacing w:before="0" w:after="120"/>
        <w:jc w:val="both"/>
        <w:rPr/>
      </w:pPr>
      <w:r>
        <w:rPr/>
      </w:r>
    </w:p>
    <w:p>
      <w:pPr>
        <w:pStyle w:val="TextBody"/>
        <w:bidi w:val="0"/>
        <w:spacing w:lineRule="auto" w:line="288" w:before="0" w:after="120"/>
        <w:ind w:left="0" w:right="0" w:hanging="360"/>
        <w:jc w:val="left"/>
        <w:rPr>
          <w:rFonts w:ascii="Poppins;sans-serif" w:hAnsi="Poppins;sans-serif"/>
          <w:b/>
          <w:color w:val="000000"/>
          <w:sz w:val="20"/>
        </w:rPr>
      </w:pPr>
      <w:r>
        <w:rPr>
          <w:rFonts w:ascii="Poppins;sans-serif" w:hAnsi="Poppins;sans-serif"/>
          <w:b/>
          <w:color w:val="000000"/>
          <w:sz w:val="20"/>
        </w:rPr>
        <w:t>2.    What will be the impact of the Victor acquisition in fiscal year 2027?</w:t>
      </w:r>
    </w:p>
    <w:p>
      <w:pPr>
        <w:pStyle w:val="TextBody"/>
        <w:bidi w:val="0"/>
        <w:spacing w:lineRule="auto" w:line="288" w:before="0" w:after="120"/>
        <w:ind w:left="0" w:right="0" w:hanging="360"/>
        <w:jc w:val="both"/>
        <w:rPr/>
      </w:pPr>
      <w:r>
        <w:rPr>
          <w:color w:val="000000"/>
        </w:rPr>
        <w:t>•</w:t>
      </w:r>
      <w:r>
        <w:rPr>
          <w:rFonts w:ascii="Poppins;sans-serif" w:hAnsi="Poppins;sans-serif"/>
          <w:b w:val="false"/>
          <w:color w:val="000000"/>
          <w:sz w:val="20"/>
        </w:rPr>
        <w:t>With the one-year anniversary of the acquisition rolling off on September 30, 2026, Victor's ongoing revenue will be fully integrated into Non-GAAP adjusted (organic) revenue starting October 1, 2026.</w:t>
      </w:r>
    </w:p>
    <w:p>
      <w:pPr>
        <w:pStyle w:val="TextBody"/>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14705"/>
                <wp:effectExtent l="0" t="0" r="0" b="0"/>
                <wp:wrapNone/>
                <wp:docPr id="79" name="Frame19"/>
                <a:graphic xmlns:a="http://schemas.openxmlformats.org/drawingml/2006/main">
                  <a:graphicData uri="http://schemas.microsoft.com/office/word/2010/wordprocessingShape">
                    <wps:wsp>
                      <wps:cNvSpPr txBox="1"/>
                      <wps:spPr>
                        <a:xfrm>
                          <a:off x="0" y="0"/>
                          <a:ext cx="6480175" cy="814705"/>
                        </a:xfrm>
                        <a:prstGeom prst="rect"/>
                        <a:solidFill>
                          <a:srgbClr val="FFFFFF"/>
                        </a:solidFill>
                      </wps:spPr>
                      <wps:txbx>
                        <w:txbxContent>
                          <w:tbl>
                            <w:tblPr>
                              <w:tblW w:w="2979"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14"/>
                              <w:gridCol w:w="114"/>
                              <w:gridCol w:w="163"/>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8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6" descr=""/>
                                                <pic:cNvPicPr>
                                                  <a:picLocks noChangeAspect="1" noChangeArrowheads="1"/>
                                                </pic:cNvPicPr>
                                              </pic:nvPicPr>
                                              <pic:blipFill>
                                                <a:blip r:embed="rId62"/>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15pt;mso-wrap-distance-left:0pt;mso-wrap-distance-right:0pt;mso-wrap-distance-top:0pt;mso-wrap-distance-bottom:0pt;margin-top:0pt;mso-position-vertical:top;mso-position-vertical-relative:text;margin-left:0pt;mso-position-horizontal:left;mso-position-horizontal-relative:text">
                <v:textbox>
                  <w:txbxContent>
                    <w:tbl>
                      <w:tblPr>
                        <w:tblW w:w="2979"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14"/>
                        <w:gridCol w:w="114"/>
                        <w:gridCol w:w="163"/>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8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6" descr=""/>
                                          <pic:cNvPicPr>
                                            <a:picLocks noChangeAspect="1" noChangeArrowheads="1"/>
                                          </pic:cNvPicPr>
                                        </pic:nvPicPr>
                                        <pic:blipFill>
                                          <a:blip r:embed="rId63"/>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16</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Poppins">
    <w:altName w:val="sans-serif"/>
    <w:charset w:val="01"/>
    <w:family w:val="auto"/>
    <w:pitch w:val="default"/>
  </w:font>
  <w:font w:name="Poppins SemiBold">
    <w:altName w:val="sans-serif"/>
    <w:charset w:val="01"/>
    <w:family w:val="auto"/>
    <w:pitch w:val="default"/>
  </w:font>
  <w:font w:name="Avenir LT Pro 55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image" Target="media/image1.pn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1.pn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1.pn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1.pn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1.pn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1.pn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1.pn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1.pn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1.pn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1.pn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3.jpeg"/><Relationship Id="rId42" Type="http://schemas.openxmlformats.org/officeDocument/2006/relationships/image" Target="media/image4.jpeg"/><Relationship Id="rId43" Type="http://schemas.openxmlformats.org/officeDocument/2006/relationships/image" Target="media/image5.jpeg"/><Relationship Id="rId44" Type="http://schemas.openxmlformats.org/officeDocument/2006/relationships/image" Target="media/image6.jpeg"/><Relationship Id="rId45" Type="http://schemas.openxmlformats.org/officeDocument/2006/relationships/image" Target="media/image1.pn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1.pn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7.png"/><Relationship Id="rId52" Type="http://schemas.openxmlformats.org/officeDocument/2006/relationships/image" Target="media/image8.png"/><Relationship Id="rId53" Type="http://schemas.openxmlformats.org/officeDocument/2006/relationships/image" Target="media/image1.pn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1.pn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1.pn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image" Target="media/image2.jpeg"/><Relationship Id="rId63" Type="http://schemas.openxmlformats.org/officeDocument/2006/relationships/image" Target="media/image2.jpeg"/><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6423</Words>
  <Characters>35327</Characters>
  <CharactersWithSpaces>40827</CharactersWithSpaces>
  <Paragraphs>1609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