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before="0" w:after="0"/>
        <w:jc w:val="center"/>
        <w:rPr/>
      </w:pPr>
      <w:r>
        <w:rPr/>
      </w:r>
    </w:p>
    <w:p>
      <w:pPr>
        <w:pStyle w:val="TextBody"/>
        <w:bidi w:val="0"/>
        <w:spacing w:lineRule="auto" w:line="288" w:before="0" w:after="10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lineRule="auto" w:line="288" w:before="0" w:after="10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before="10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lineRule="auto" w:line="288" w:before="100" w:after="100"/>
        <w:jc w:val="center"/>
        <w:rPr>
          <w:rFonts w:ascii="Arial;sans-serif" w:hAnsi="Arial;sans-serif"/>
          <w:b w:val="false"/>
          <w:color w:val="000000"/>
          <w:sz w:val="20"/>
        </w:rPr>
      </w:pPr>
      <w:r>
        <w:rPr>
          <w:rFonts w:ascii="Arial;sans-serif" w:hAnsi="Arial;sans-serif"/>
          <w:b w:val="false"/>
          <w:color w:val="000000"/>
          <w:sz w:val="20"/>
        </w:rPr>
        <w:t xml:space="preserve">Date of Report (Date of earliest event reported): August 20, 2026 </w:t>
      </w:r>
    </w:p>
    <w:p>
      <w:pPr>
        <w:pStyle w:val="TextBody"/>
        <w:bidi w:val="0"/>
        <w:spacing w:before="100" w:after="100"/>
        <w:jc w:val="center"/>
        <w:rPr/>
      </w:pPr>
      <w:r>
        <w:rPr/>
      </w:r>
    </w:p>
    <w:p>
      <w:pPr>
        <w:pStyle w:val="TextBody"/>
        <w:bidi w:val="0"/>
        <w:spacing w:lineRule="auto" w:line="288" w:before="100" w:after="10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center"/>
        <w:tblInd w:w="0" w:type="dxa"/>
        <w:tblLayout w:type="fixed"/>
        <w:tblCellMar>
          <w:top w:w="28" w:type="dxa"/>
          <w:left w:w="28" w:type="dxa"/>
          <w:bottom w:w="28" w:type="dxa"/>
          <w:right w:w="28" w:type="dxa"/>
        </w:tblCellMar>
      </w:tblPr>
      <w:tblGrid>
        <w:gridCol w:w="1380"/>
        <w:gridCol w:w="1210"/>
        <w:gridCol w:w="1219"/>
        <w:gridCol w:w="802"/>
        <w:gridCol w:w="802"/>
        <w:gridCol w:w="810"/>
        <w:gridCol w:w="880"/>
        <w:gridCol w:w="880"/>
        <w:gridCol w:w="1255"/>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0-14112</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Not Applicable</w:t>
      </w:r>
    </w:p>
    <w:p>
      <w:pPr>
        <w:pStyle w:val="TextBody"/>
        <w:bidi w:val="0"/>
        <w:spacing w:lineRule="auto" w:line="288" w:before="0" w:after="10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before="0" w:after="100"/>
        <w:jc w:val="center"/>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00"/>
        <w:jc w:val="both"/>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Arial;sans-serif" w:hAnsi="Arial;sans-serif"/>
          <w:b w:val="false"/>
          <w:color w:val="000000"/>
          <w:sz w:val="20"/>
        </w:rPr>
        <w:t>Pre-commencement communications pursuant to Rule 13e-4 (c) under the Exchange Act (17 CFR 240.13e-4(c))</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D0D0D"/>
          <w:sz w:val="20"/>
        </w:rPr>
      </w:pPr>
      <w:r>
        <w:rPr>
          <w:rFonts w:ascii="Arial;sans-serif" w:hAnsi="Arial;sans-serif"/>
          <w:b w:val="false"/>
          <w:color w:val="0D0D0D"/>
          <w:sz w:val="20"/>
        </w:rPr>
        <w:t>Securities registered pursuant to Section 12(b) of the Act:</w:t>
      </w:r>
    </w:p>
    <w:p>
      <w:pPr>
        <w:pStyle w:val="TextBody"/>
        <w:bidi w:val="0"/>
        <w:spacing w:before="0" w:after="0"/>
        <w:jc w:val="left"/>
        <w:rPr/>
      </w:pPr>
      <w:r>
        <w:rPr/>
      </w:r>
    </w:p>
    <w:tbl>
      <w:tblPr>
        <w:tblW w:w="8488" w:type="dxa"/>
        <w:jc w:val="center"/>
        <w:tblInd w:w="0" w:type="dxa"/>
        <w:tblLayout w:type="fixed"/>
        <w:tblCellMar>
          <w:top w:w="28" w:type="dxa"/>
          <w:left w:w="28" w:type="dxa"/>
          <w:bottom w:w="28" w:type="dxa"/>
          <w:right w:w="28" w:type="dxa"/>
        </w:tblCellMar>
      </w:tblPr>
      <w:tblGrid>
        <w:gridCol w:w="1059"/>
        <w:gridCol w:w="928"/>
        <w:gridCol w:w="938"/>
        <w:gridCol w:w="519"/>
        <w:gridCol w:w="519"/>
        <w:gridCol w:w="521"/>
        <w:gridCol w:w="1170"/>
        <w:gridCol w:w="1170"/>
        <w:gridCol w:w="1664"/>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Ticker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20, 2026, the Board of Directors (the “Board”) of Jack Henry &amp; Associates, Inc. (the “Company”) appointed Richard N. Preece as a director of the Company to fill the vacancy created when David B. Foss retired from the Board on July 15, 2026. The Board also reduced the size of the Board, from ten directors to nine, with such change to go into effect immediately prior to the 2026 Annual Meeting of Stockholders, at which time nine director nominees are expected to stand for election to the Board. Wes Brown has reached the age of 72 and will not stand for reelection based on the mandatory retirement restrictions in the Company’s Corporate Governance Guidelines.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Richard N. Preece, age 51, is Chief Executive Officer of Liminex, Inc., doing business as GoGuardian, an educational software company. Prior to joining GoGuardian in 2024, Mr. Preece served as the Chief Operating Officer at LegalZoom.com, Inc. (Nasdaq: LZ) from 2019 to 2024 and held various management and leadership positions at Intuit Inc. (Nasdaq: INTU) from 2002 to 2019, including as a Senior Vice President and US General Manager for QuickBooks. Mr. Preece brings to the Board practical experience of driving business innovation and product development in the financial services industry, as well as a deep understanding of operational and strategic needs for technology companies. Mr. Preece is a named inventor on four US patents.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appointment, the Board determined Mr. Preece to be an independent director within the meaning of the Nasdaq Stock Market listing standards and the rules and regulations of the Securities and Exchange Commission.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Mr. Preece’s appointment, and pursuant to the Company’s compensation practices for non-employee directors, Mr. Preece will be granted a prorated portion of the annual director restricted stock unit award equaling approximately $45,479 and will be eligible for the $70,000 annual director cash retainer, which is paid quarterly in arrears. The Company and Mr. Preece will enter into the Company’s standard form of indemnification agreement for directors and officers, a copy of which was previously filed as Exhibit 10.71 to the Company’s Current Report on Form 8-K filed February 17, 2022, and is incorporated herein by reference.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not entered into any transaction with Mr. Preece for which disclosure is required under Item 404(a) of Regulation S-K and Mr. Preece will not be employed by the Company. Mr. Preece was not elected pursuant to any arrangement or understanding between such director and any other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appointed Mr. Preece to serve on the Human Capital &amp; Compensation Committee and the Risk &amp; Compliance Committee. In addition to the compensation for his service as a director, Mr. Preece will be compensated for his service on these two committees according to the Company’s non-employee director compensation program, which provides for a $15,000 annual retainer for service on the Human Capital &amp; Compensation Committee and a $15,000 annual retainer for service on the Risk &amp; Compliance Committee. Each such fee is paid quarterly in arrears and will be pro-rated based on the date of appointment to such committee.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 information regarding the appointment of Mr. Preece is detailed in the Company’s press release dated August 24, 2026, the text of which is attached hereto as Exhibit 99.1.</w:t>
      </w:r>
    </w:p>
    <w:p>
      <w:pPr>
        <w:pStyle w:val="TextBody"/>
        <w:bidi w:val="0"/>
        <w:spacing w:before="0" w:after="0"/>
        <w:jc w:val="both"/>
        <w:rPr/>
      </w:pPr>
      <w:r>
        <w:rPr/>
      </w:r>
    </w:p>
    <w:p>
      <w:pPr>
        <w:pStyle w:val="TextBody"/>
        <w:bidi w:val="0"/>
        <w:spacing w:lineRule="auto" w:line="288" w:before="100" w:after="20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Exhibits</w:t>
      </w:r>
    </w:p>
    <w:p>
      <w:pPr>
        <w:pStyle w:val="TextBody"/>
        <w:bidi w:val="0"/>
        <w:spacing w:lineRule="auto" w:line="288" w:before="100" w:after="200"/>
        <w:jc w:val="both"/>
        <w:rPr/>
      </w:pPr>
      <w:r>
        <w:rPr>
          <w:rFonts w:ascii="Arial;sans-serif" w:hAnsi="Arial;sans-serif"/>
          <w:b w:val="false"/>
          <w:color w:val="000000"/>
          <w:sz w:val="20"/>
          <w:u w:val="single"/>
        </w:rPr>
        <w:t>Exhibit No.</w:t>
      </w:r>
      <w:r>
        <w:rPr>
          <w:color w:val="000000"/>
        </w:rPr>
        <w:t xml:space="preserve">     </w:t>
      </w:r>
      <w:r>
        <w:rPr>
          <w:rFonts w:ascii="Arial;sans-serif" w:hAnsi="Arial;sans-serif"/>
          <w:b w:val="false"/>
          <w:color w:val="000000"/>
          <w:sz w:val="20"/>
          <w:u w:val="single"/>
        </w:rPr>
        <w:t>Description</w:t>
      </w:r>
    </w:p>
    <w:p>
      <w:pPr>
        <w:pStyle w:val="TextBody"/>
        <w:bidi w:val="0"/>
        <w:spacing w:lineRule="auto" w:line="288" w:before="100" w:after="100"/>
        <w:jc w:val="both"/>
        <w:rPr/>
      </w:pPr>
      <w:r>
        <w:rPr>
          <w:rFonts w:ascii="Arial;sans-serif" w:hAnsi="Arial;sans-serif"/>
          <w:b w:val="false"/>
          <w:color w:val="000000"/>
          <w:sz w:val="20"/>
        </w:rPr>
        <w:t>99.1        </w:t>
      </w:r>
      <w:hyperlink w:anchor="jkhy-prdatedaugust242026xa.htm">
        <w:r>
          <w:rPr>
            <w:rStyle w:val="InternetLink"/>
            <w:rFonts w:ascii="Arial;sans-serif" w:hAnsi="Arial;sans-serif"/>
            <w:b w:val="false"/>
            <w:color w:val="0000FF"/>
            <w:sz w:val="20"/>
            <w:u w:val="single"/>
          </w:rPr>
          <w:t>Press Release dated August 24, 2026</w:t>
        </w:r>
      </w:hyperlink>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ind w:left="0" w:right="0" w:firstLine="270"/>
        <w:jc w:val="both"/>
        <w:rPr/>
      </w:pPr>
      <w:r>
        <w:rPr/>
      </w:r>
    </w:p>
    <w:p>
      <w:pPr>
        <w:pStyle w:val="TextBody"/>
        <w:bidi w:val="0"/>
        <w:spacing w:lineRule="auto" w:line="288" w:before="1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87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JACK HENRY &amp; ASSOCIATES,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80" w:type="dxa"/>
        <w:jc w:val="left"/>
        <w:tblInd w:w="0" w:type="dxa"/>
        <w:tblLayout w:type="fixed"/>
        <w:tblCellMar>
          <w:top w:w="28" w:type="dxa"/>
          <w:left w:w="28" w:type="dxa"/>
          <w:bottom w:w="28" w:type="dxa"/>
          <w:right w:w="28" w:type="dxa"/>
        </w:tblCellMar>
      </w:tblPr>
      <w:tblGrid>
        <w:gridCol w:w="363"/>
        <w:gridCol w:w="320"/>
        <w:gridCol w:w="322"/>
        <w:gridCol w:w="929"/>
        <w:gridCol w:w="929"/>
        <w:gridCol w:w="931"/>
        <w:gridCol w:w="109"/>
        <w:gridCol w:w="109"/>
        <w:gridCol w:w="109"/>
        <w:gridCol w:w="519"/>
        <w:gridCol w:w="519"/>
        <w:gridCol w:w="521"/>
        <w:gridCol w:w="967"/>
        <w:gridCol w:w="967"/>
        <w:gridCol w:w="136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Jack Henry &amp;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Analyst Contact: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Vance Sherard</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663 Highway 60, P.O. Box 807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Monett, MO 65708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(417) 235-6652</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Press Contact: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Folk</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Corporate Communications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(704) 890-5323</w:t>
            </w:r>
          </w:p>
        </w:tc>
      </w:tr>
    </w:tbl>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 xml:space="preserve">Richard Preece Appointed to Jack Henry Board of Directors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shd w:fill="FFFFFF" w:val="clear"/>
        </w:rPr>
        <w:t>MONETT, Mo., August 24, 2026</w:t>
      </w:r>
      <w:r>
        <w:rPr>
          <w:color w:val="000000"/>
          <w:shd w:fill="FFFFFF" w:val="clear"/>
        </w:rPr>
        <w:t xml:space="preserve"> – </w:t>
      </w:r>
      <w:r>
        <w:rPr>
          <w:rFonts w:ascii="Arial;sans-serif" w:hAnsi="Arial;sans-serif"/>
          <w:b w:val="false"/>
          <w:color w:val="000000"/>
          <w:sz w:val="20"/>
          <w:shd w:fill="FFFFFF" w:val="clear"/>
        </w:rPr>
        <w:t>Jack Henry &amp; Associates Inc.</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 xml:space="preserve">(Nasdaq: JKHY) announced the appointment of </w:t>
      </w:r>
      <w:r>
        <w:rPr>
          <w:rFonts w:ascii="Arial;sans-serif" w:hAnsi="Arial;sans-serif"/>
          <w:b w:val="false"/>
          <w:color w:val="000000"/>
          <w:sz w:val="20"/>
        </w:rPr>
        <w:t xml:space="preserve">Richard N. Preece to its Board of Directors, effective August 20, 2026. Preece joins the Board’s Human Capital &amp; Compensation and Risk &amp; Compliance committees.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Preece, 51, currently serves as Chief Executive Officer of Liminex, Inc., doing business as GoGuardian, the leader in education technology supporting more than 25 million students and 10,000 schools nationwide. Prior to joining GoGuardian in 2024, Preece was Chief Operating Officer at LegalZoom.com, Inc. from 2019 to 2024. He also held various management and leadership positions at Intuit Inc. from 2002 to 2019, including serving as U.S. General Manager for QuickBooks.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We are very excited to welcome Rich to our Board of Directors,” said Board Chair Matt Flanigan. “Rich is an outstanding leader who brings extensive, practical experience driving business innovation and product development in financial services, along with a deep understanding of operations, risk management, and strategic priorities for technology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Jack Henry also announced that director Wes Brown will not stand for reelection at the Company’s November annual meeting in keeping with the Company’s retirement age policy. Brown, President of Bent St. Vrain &amp; Company, LLC, a Denver-based bank consulting firm, has served on the Board since 2015 in addition to a prior term from 2005 to 2014.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 xml:space="preserve">On behalf of the Board, I want to thank Wes for his tremendous service over these past many years,” Flanigan said. “Jack Henry has benefited immensely from Wes’ extensive expertise in many areas including finance, compliance, and banking, as well as his specialized insights into mergers and acquisitions. His legacy of Board service for Jack Henry will be a long and lasting one.”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About Jack Henry &amp; Associates, Inc.</w:t>
      </w:r>
      <w:r>
        <w:rPr>
          <w:rFonts w:ascii="Arial;sans-serif" w:hAnsi="Arial;sans-serif"/>
          <w:b/>
          <w:color w:val="000000"/>
          <w:sz w:val="13"/>
        </w:rPr>
        <w:t>®</w:t>
      </w:r>
      <w:r>
        <w:rPr>
          <w:color w:val="000000"/>
          <w:shd w:fill="FFFFFF" w:val="clear"/>
        </w:rPr>
        <w:t xml:space="preserve"> </w:t>
      </w:r>
    </w:p>
    <w:p>
      <w:pPr>
        <w:pStyle w:val="TextBody"/>
        <w:bidi w:val="0"/>
        <w:spacing w:lineRule="auto" w:line="288"/>
        <w:jc w:val="both"/>
        <w:rPr/>
      </w:pPr>
      <w:r>
        <w:rPr>
          <w:rFonts w:ascii="Arial;sans-serif" w:hAnsi="Arial;sans-serif"/>
          <w:b w:val="false"/>
          <w:color w:val="000000"/>
          <w:sz w:val="20"/>
          <w:shd w:fill="FFFFFF" w:val="clear"/>
        </w:rPr>
        <w:t>Jack Henry</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 xml:space="preserve">(Nasdaq: JKHY) is a well-rounded financial technology company that strengthens connections between financial institutions and the people and businesses they serve. We are an S&amp;P 500 company that prioritizes openness, collaboration, and user centricity – offering banks and credit unions a vibrant ecosystem of internally developed modern capabilities as well as the ability to integrate with leading fintechs. For 50 years, Jack Henry has provided technology solutions to enable clients to innovate faster, strategically differentiate, and successfully compete while serving the evolving needs of their accountholders. We empower more than 7,200 clients with people-inspired innovation, personal service, and insight-driven solutions that help reduce the barriers to financial health. Additional information is available at www.jackhenry.com. </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01040"/>
                <wp:effectExtent l="0" t="0" r="0" b="0"/>
                <wp:wrapNone/>
                <wp:docPr id="4" name="Frame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1406</Words>
  <Characters>7723</Characters>
  <CharactersWithSpaces>9095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